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146A" w14:textId="77777777" w:rsidR="00EA7FA2" w:rsidRDefault="00EA7FA2" w:rsidP="00EA7FA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10"/>
        <w:gridCol w:w="142"/>
        <w:gridCol w:w="3634"/>
      </w:tblGrid>
      <w:tr w:rsidR="00EA7FA2" w14:paraId="6B901470" w14:textId="77777777" w:rsidTr="00EA7FA2">
        <w:tc>
          <w:tcPr>
            <w:tcW w:w="9016" w:type="dxa"/>
            <w:gridSpan w:val="4"/>
            <w:tcBorders>
              <w:top w:val="single" w:sz="4" w:space="0" w:color="auto"/>
              <w:left w:val="single" w:sz="4" w:space="0" w:color="auto"/>
              <w:bottom w:val="single" w:sz="4" w:space="0" w:color="auto"/>
              <w:right w:val="single" w:sz="4" w:space="0" w:color="auto"/>
            </w:tcBorders>
          </w:tcPr>
          <w:p w14:paraId="6B90146B" w14:textId="77777777" w:rsidR="00EA7FA2" w:rsidRDefault="00EA7FA2">
            <w:pPr>
              <w:spacing w:after="0" w:line="240" w:lineRule="auto"/>
              <w:jc w:val="center"/>
              <w:rPr>
                <w:rFonts w:ascii="Arial" w:eastAsia="Times New Roman" w:hAnsi="Arial" w:cs="Arial"/>
                <w:b/>
                <w:sz w:val="24"/>
                <w:szCs w:val="20"/>
                <w:lang w:eastAsia="en-AU"/>
              </w:rPr>
            </w:pPr>
          </w:p>
          <w:p w14:paraId="6B90146C" w14:textId="77777777" w:rsidR="00EA7FA2" w:rsidRDefault="00EA7FA2">
            <w:pPr>
              <w:spacing w:after="0" w:line="240" w:lineRule="auto"/>
              <w:jc w:val="center"/>
              <w:rPr>
                <w:rFonts w:ascii="Arial" w:eastAsia="Times New Roman" w:hAnsi="Arial" w:cs="Arial"/>
                <w:b/>
                <w:sz w:val="24"/>
                <w:szCs w:val="20"/>
                <w:lang w:eastAsia="en-AU"/>
              </w:rPr>
            </w:pPr>
            <w:r>
              <w:rPr>
                <w:rFonts w:ascii="Arial" w:eastAsia="Times New Roman" w:hAnsi="Arial" w:cs="Arial"/>
                <w:b/>
                <w:noProof/>
                <w:sz w:val="24"/>
                <w:szCs w:val="20"/>
                <w:lang w:eastAsia="en-AU"/>
              </w:rPr>
              <w:drawing>
                <wp:inline distT="0" distB="0" distL="0" distR="0" wp14:anchorId="6B90154C" wp14:editId="6B90154D">
                  <wp:extent cx="9525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p w14:paraId="6B90146D" w14:textId="77777777" w:rsidR="00EA7FA2" w:rsidRDefault="00EA7FA2">
            <w:pPr>
              <w:spacing w:after="0" w:line="240" w:lineRule="auto"/>
              <w:jc w:val="center"/>
              <w:rPr>
                <w:rFonts w:ascii="Arial" w:eastAsia="Times New Roman" w:hAnsi="Arial" w:cs="Arial"/>
                <w:b/>
                <w:sz w:val="24"/>
                <w:szCs w:val="20"/>
                <w:lang w:eastAsia="en-AU"/>
              </w:rPr>
            </w:pPr>
          </w:p>
          <w:p w14:paraId="6B90146E" w14:textId="77777777" w:rsidR="00EA7FA2" w:rsidRDefault="00EA7FA2">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PRELIMINARY IMPACT ANALYSIS</w:t>
            </w:r>
          </w:p>
          <w:p w14:paraId="6B90146F" w14:textId="77777777" w:rsidR="00EA7FA2" w:rsidRDefault="00EA7FA2">
            <w:pPr>
              <w:spacing w:after="0" w:line="240" w:lineRule="auto"/>
              <w:rPr>
                <w:rFonts w:ascii="Arial" w:eastAsia="Times New Roman" w:hAnsi="Arial" w:cs="Arial"/>
                <w:b/>
                <w:sz w:val="24"/>
                <w:szCs w:val="20"/>
                <w:lang w:eastAsia="en-AU"/>
              </w:rPr>
            </w:pPr>
          </w:p>
        </w:tc>
      </w:tr>
      <w:tr w:rsidR="00EA7FA2" w14:paraId="6B901472" w14:textId="77777777" w:rsidTr="00EA7FA2">
        <w:trPr>
          <w:trHeight w:val="142"/>
        </w:trPr>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71" w14:textId="77777777" w:rsidR="00EA7FA2" w:rsidRDefault="00EA7FA2">
            <w:pPr>
              <w:spacing w:after="0" w:line="240" w:lineRule="auto"/>
              <w:rPr>
                <w:rFonts w:ascii="Arial" w:eastAsia="Times New Roman" w:hAnsi="Arial" w:cs="Arial"/>
                <w:b/>
                <w:sz w:val="12"/>
                <w:szCs w:val="12"/>
                <w:lang w:eastAsia="en-AU"/>
              </w:rPr>
            </w:pPr>
          </w:p>
        </w:tc>
      </w:tr>
      <w:tr w:rsidR="00EA7FA2" w14:paraId="6B901475" w14:textId="77777777" w:rsidTr="00EA7FA2">
        <w:trPr>
          <w:trHeight w:val="1151"/>
        </w:trPr>
        <w:tc>
          <w:tcPr>
            <w:tcW w:w="9016" w:type="dxa"/>
            <w:gridSpan w:val="4"/>
            <w:tcBorders>
              <w:top w:val="single" w:sz="4" w:space="0" w:color="auto"/>
              <w:left w:val="single" w:sz="4" w:space="0" w:color="auto"/>
              <w:bottom w:val="single" w:sz="4" w:space="0" w:color="auto"/>
              <w:right w:val="single" w:sz="4" w:space="0" w:color="auto"/>
            </w:tcBorders>
            <w:hideMark/>
          </w:tcPr>
          <w:p w14:paraId="6B901473" w14:textId="35F9DDDA" w:rsidR="00EA7FA2" w:rsidRDefault="00EA7FA2">
            <w:pPr>
              <w:spacing w:before="120" w:after="0"/>
              <w:rPr>
                <w:rFonts w:ascii="Arial" w:eastAsia="Times New Roman" w:hAnsi="Arial" w:cs="Arial"/>
                <w:sz w:val="20"/>
                <w:szCs w:val="16"/>
                <w:lang w:eastAsia="en-AU"/>
              </w:rPr>
            </w:pPr>
            <w:r>
              <w:rPr>
                <w:rFonts w:ascii="Arial" w:eastAsia="Times New Roman" w:hAnsi="Arial" w:cs="Arial"/>
                <w:b/>
                <w:sz w:val="24"/>
                <w:szCs w:val="20"/>
                <w:lang w:eastAsia="en-AU"/>
              </w:rPr>
              <w:t>PROPOSAL:</w:t>
            </w:r>
            <w:r>
              <w:rPr>
                <w:rFonts w:ascii="Arial" w:eastAsia="Times New Roman" w:hAnsi="Arial" w:cs="Arial"/>
                <w:sz w:val="20"/>
                <w:szCs w:val="16"/>
                <w:lang w:eastAsia="en-AU"/>
              </w:rPr>
              <w:t xml:space="preserve">  This proposal seeks to review Australian Standard </w:t>
            </w:r>
            <w:r w:rsidR="00962369">
              <w:rPr>
                <w:rFonts w:ascii="Arial" w:eastAsia="Times New Roman" w:hAnsi="Arial" w:cs="Arial"/>
                <w:sz w:val="20"/>
                <w:szCs w:val="16"/>
                <w:lang w:eastAsia="en-AU"/>
              </w:rPr>
              <w:t>AS/NZS 3500 Plumbing and Drainage, P</w:t>
            </w:r>
            <w:r w:rsidR="00030B18">
              <w:rPr>
                <w:rFonts w:ascii="Arial" w:eastAsia="Times New Roman" w:hAnsi="Arial" w:cs="Arial"/>
                <w:sz w:val="20"/>
                <w:szCs w:val="16"/>
                <w:lang w:eastAsia="en-AU"/>
              </w:rPr>
              <w:t xml:space="preserve">art 0 Glossary of terms. This proposal will also include amendments to AS/NZS 3500 Parts 1, 2, 3 and 4 to consolidate definitions contained in other parts of the AS/NZS 3500 suite. </w:t>
            </w:r>
          </w:p>
          <w:p w14:paraId="6B901474" w14:textId="2F072097" w:rsidR="00EA7FA2" w:rsidRDefault="005F1A48" w:rsidP="00962369">
            <w:pPr>
              <w:tabs>
                <w:tab w:val="left" w:pos="3715"/>
              </w:tabs>
              <w:spacing w:before="120" w:after="120"/>
              <w:rPr>
                <w:rFonts w:ascii="Arial" w:eastAsia="Times New Roman" w:hAnsi="Arial" w:cs="Arial"/>
                <w:sz w:val="16"/>
                <w:szCs w:val="16"/>
                <w:lang w:eastAsia="en-AU"/>
              </w:rPr>
            </w:pPr>
            <w:r>
              <w:rPr>
                <w:rFonts w:ascii="Arial" w:eastAsia="Times New Roman" w:hAnsi="Arial" w:cs="Arial"/>
                <w:sz w:val="20"/>
                <w:szCs w:val="16"/>
                <w:lang w:eastAsia="en-AU"/>
              </w:rPr>
              <w:t>Responsible Technical C</w:t>
            </w:r>
            <w:r w:rsidR="00EA7FA2">
              <w:rPr>
                <w:rFonts w:ascii="Arial" w:eastAsia="Times New Roman" w:hAnsi="Arial" w:cs="Arial"/>
                <w:sz w:val="20"/>
                <w:szCs w:val="16"/>
                <w:lang w:eastAsia="en-AU"/>
              </w:rPr>
              <w:t>ommittee:</w:t>
            </w:r>
            <w:r w:rsidR="00962369">
              <w:rPr>
                <w:rFonts w:ascii="Arial" w:eastAsia="Times New Roman" w:hAnsi="Arial" w:cs="Arial"/>
                <w:sz w:val="20"/>
                <w:szCs w:val="20"/>
                <w:lang w:eastAsia="en-AU"/>
              </w:rPr>
              <w:t xml:space="preserve"> </w:t>
            </w:r>
            <w:r w:rsidR="00EA7FA2">
              <w:rPr>
                <w:rFonts w:ascii="Arial" w:eastAsia="Times New Roman" w:hAnsi="Arial" w:cs="Arial"/>
                <w:sz w:val="20"/>
                <w:szCs w:val="20"/>
                <w:lang w:eastAsia="en-AU"/>
              </w:rPr>
              <w:t xml:space="preserve">Australian Standard Committee </w:t>
            </w:r>
            <w:r w:rsidR="00962369">
              <w:rPr>
                <w:rFonts w:ascii="Arial" w:eastAsia="Times New Roman" w:hAnsi="Arial" w:cs="Arial"/>
                <w:sz w:val="20"/>
                <w:szCs w:val="20"/>
                <w:lang w:eastAsia="en-AU"/>
              </w:rPr>
              <w:t xml:space="preserve">WS-014, Plumbing and Drainage </w:t>
            </w:r>
          </w:p>
        </w:tc>
      </w:tr>
      <w:tr w:rsidR="00EA7FA2" w14:paraId="6B901477" w14:textId="77777777" w:rsidTr="00EA7FA2">
        <w:trPr>
          <w:trHeight w:val="70"/>
        </w:trPr>
        <w:tc>
          <w:tcPr>
            <w:tcW w:w="9016" w:type="dxa"/>
            <w:gridSpan w:val="4"/>
            <w:tcBorders>
              <w:top w:val="single" w:sz="4" w:space="0" w:color="auto"/>
              <w:left w:val="single" w:sz="4" w:space="0" w:color="auto"/>
              <w:bottom w:val="nil"/>
              <w:right w:val="single" w:sz="4" w:space="0" w:color="auto"/>
            </w:tcBorders>
            <w:shd w:val="clear" w:color="auto" w:fill="E6E6E6"/>
          </w:tcPr>
          <w:p w14:paraId="6B901476" w14:textId="77777777" w:rsidR="00EA7FA2" w:rsidRDefault="00EA7FA2">
            <w:pPr>
              <w:spacing w:after="0"/>
              <w:rPr>
                <w:rFonts w:ascii="Arial" w:eastAsia="Times New Roman" w:hAnsi="Arial" w:cs="Arial"/>
                <w:sz w:val="12"/>
                <w:szCs w:val="12"/>
                <w:lang w:eastAsia="en-AU"/>
              </w:rPr>
            </w:pPr>
          </w:p>
        </w:tc>
      </w:tr>
      <w:tr w:rsidR="00EA7FA2" w14:paraId="6B901482" w14:textId="77777777" w:rsidTr="00EA7FA2">
        <w:trPr>
          <w:trHeight w:val="688"/>
        </w:trPr>
        <w:tc>
          <w:tcPr>
            <w:tcW w:w="2830" w:type="dxa"/>
            <w:tcBorders>
              <w:top w:val="single" w:sz="4" w:space="0" w:color="auto"/>
              <w:left w:val="single" w:sz="4" w:space="0" w:color="auto"/>
              <w:bottom w:val="single" w:sz="4" w:space="0" w:color="auto"/>
              <w:right w:val="single" w:sz="4" w:space="0" w:color="auto"/>
            </w:tcBorders>
            <w:hideMark/>
          </w:tcPr>
          <w:p w14:paraId="6B901478" w14:textId="77777777" w:rsidR="00EA7FA2" w:rsidRDefault="00EA7FA2">
            <w:pPr>
              <w:spacing w:before="120" w:after="0"/>
              <w:rPr>
                <w:rFonts w:ascii="Arial" w:eastAsia="Times New Roman" w:hAnsi="Arial" w:cs="Arial"/>
                <w:b/>
                <w:sz w:val="24"/>
                <w:szCs w:val="20"/>
                <w:lang w:eastAsia="en-AU"/>
              </w:rPr>
            </w:pPr>
            <w:r>
              <w:rPr>
                <w:rFonts w:ascii="Arial" w:eastAsia="Times New Roman" w:hAnsi="Arial" w:cs="Arial"/>
                <w:b/>
                <w:sz w:val="24"/>
                <w:szCs w:val="20"/>
                <w:lang w:eastAsia="en-AU"/>
              </w:rPr>
              <w:t>NCC REFERENCE:</w:t>
            </w:r>
          </w:p>
          <w:p w14:paraId="6B901479" w14:textId="77777777" w:rsidR="00EA7FA2" w:rsidRDefault="00EA7FA2">
            <w:pPr>
              <w:spacing w:after="0"/>
              <w:rPr>
                <w:rFonts w:ascii="Arial" w:eastAsia="Times New Roman" w:hAnsi="Arial" w:cs="Arial"/>
                <w:sz w:val="16"/>
                <w:szCs w:val="16"/>
                <w:lang w:eastAsia="en-AU"/>
              </w:rPr>
            </w:pPr>
            <w:r>
              <w:rPr>
                <w:rFonts w:ascii="Arial" w:eastAsia="Times New Roman" w:hAnsi="Arial" w:cs="Arial"/>
                <w:sz w:val="20"/>
                <w:szCs w:val="16"/>
                <w:lang w:eastAsia="en-AU"/>
              </w:rPr>
              <w:t>For revisions or amendments to existing National Construction Code (NCC) referenced documents, provide additional information</w:t>
            </w:r>
          </w:p>
        </w:tc>
        <w:tc>
          <w:tcPr>
            <w:tcW w:w="2410" w:type="dxa"/>
            <w:tcBorders>
              <w:top w:val="single" w:sz="4" w:space="0" w:color="auto"/>
              <w:left w:val="single" w:sz="4" w:space="0" w:color="auto"/>
              <w:bottom w:val="single" w:sz="4" w:space="0" w:color="auto"/>
              <w:right w:val="nil"/>
            </w:tcBorders>
          </w:tcPr>
          <w:p w14:paraId="6B90147B" w14:textId="282D2EF0" w:rsidR="00EA7FA2" w:rsidRDefault="00EA7FA2" w:rsidP="00962369">
            <w:pPr>
              <w:spacing w:before="120" w:after="0"/>
              <w:rPr>
                <w:rFonts w:ascii="Arial" w:eastAsia="Times New Roman" w:hAnsi="Arial" w:cs="Arial"/>
                <w:b/>
                <w:sz w:val="20"/>
                <w:szCs w:val="16"/>
                <w:lang w:eastAsia="en-AU"/>
              </w:rPr>
            </w:pPr>
            <w:r>
              <w:rPr>
                <w:rFonts w:ascii="Arial" w:eastAsia="Times New Roman" w:hAnsi="Arial" w:cs="Arial"/>
                <w:b/>
                <w:sz w:val="20"/>
                <w:szCs w:val="16"/>
                <w:lang w:eastAsia="en-AU"/>
              </w:rPr>
              <w:t xml:space="preserve">BCA Volume One: </w:t>
            </w:r>
          </w:p>
          <w:p w14:paraId="6B90147D" w14:textId="0E74A835" w:rsidR="00EA7FA2" w:rsidRDefault="00EA7FA2" w:rsidP="00962369">
            <w:pPr>
              <w:spacing w:before="120" w:after="0"/>
              <w:rPr>
                <w:rFonts w:ascii="Arial" w:eastAsia="Times New Roman" w:hAnsi="Arial" w:cs="Arial"/>
                <w:b/>
                <w:sz w:val="20"/>
                <w:szCs w:val="16"/>
                <w:lang w:eastAsia="en-AU"/>
              </w:rPr>
            </w:pPr>
            <w:r>
              <w:rPr>
                <w:rFonts w:ascii="Arial" w:eastAsia="Times New Roman" w:hAnsi="Arial" w:cs="Arial"/>
                <w:b/>
                <w:sz w:val="20"/>
                <w:szCs w:val="16"/>
                <w:lang w:eastAsia="en-AU"/>
              </w:rPr>
              <w:t xml:space="preserve">BCA Volume Two: </w:t>
            </w:r>
          </w:p>
          <w:p w14:paraId="6B90147E" w14:textId="77777777" w:rsidR="00EA7FA2" w:rsidRDefault="00EA7FA2">
            <w:pPr>
              <w:spacing w:before="120" w:after="0"/>
              <w:rPr>
                <w:rFonts w:ascii="Arial" w:eastAsia="Times New Roman" w:hAnsi="Arial" w:cs="Arial"/>
                <w:b/>
                <w:sz w:val="20"/>
                <w:szCs w:val="16"/>
                <w:lang w:eastAsia="en-AU"/>
              </w:rPr>
            </w:pPr>
            <w:r>
              <w:rPr>
                <w:rFonts w:ascii="Arial" w:eastAsia="Times New Roman" w:hAnsi="Arial" w:cs="Arial"/>
                <w:b/>
                <w:sz w:val="20"/>
                <w:szCs w:val="16"/>
                <w:lang w:eastAsia="en-AU"/>
              </w:rPr>
              <w:t xml:space="preserve">PCA Volume Three:  </w:t>
            </w:r>
          </w:p>
        </w:tc>
        <w:tc>
          <w:tcPr>
            <w:tcW w:w="3776" w:type="dxa"/>
            <w:gridSpan w:val="2"/>
            <w:tcBorders>
              <w:top w:val="single" w:sz="4" w:space="0" w:color="auto"/>
              <w:left w:val="nil"/>
              <w:bottom w:val="single" w:sz="4" w:space="0" w:color="auto"/>
              <w:right w:val="single" w:sz="4" w:space="0" w:color="auto"/>
            </w:tcBorders>
            <w:hideMark/>
          </w:tcPr>
          <w:p w14:paraId="72C6EA6D" w14:textId="37F2487F" w:rsidR="00962369" w:rsidRDefault="00EA7FA2">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N/A</w:t>
            </w:r>
          </w:p>
          <w:p w14:paraId="0F7CC871" w14:textId="501190BD" w:rsidR="00962369" w:rsidRDefault="00EA7FA2">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 xml:space="preserve">N/A </w:t>
            </w:r>
          </w:p>
          <w:p w14:paraId="6B901481" w14:textId="0CC4F8E5" w:rsidR="00EA7FA2" w:rsidRPr="00962369" w:rsidRDefault="00962369">
            <w:pPr>
              <w:spacing w:before="120" w:after="120"/>
              <w:rPr>
                <w:rFonts w:ascii="Arial" w:eastAsia="Times New Roman" w:hAnsi="Arial" w:cs="Arial"/>
                <w:sz w:val="20"/>
                <w:szCs w:val="16"/>
                <w:lang w:eastAsia="en-AU"/>
              </w:rPr>
            </w:pPr>
            <w:r>
              <w:rPr>
                <w:rFonts w:ascii="Arial" w:eastAsia="Times New Roman" w:hAnsi="Arial" w:cs="Arial"/>
                <w:sz w:val="20"/>
                <w:szCs w:val="16"/>
                <w:lang w:eastAsia="en-AU"/>
              </w:rPr>
              <w:t>A1.0 Interpreting the NCC</w:t>
            </w:r>
          </w:p>
        </w:tc>
      </w:tr>
      <w:tr w:rsidR="00EA7FA2" w14:paraId="6B901484" w14:textId="77777777" w:rsidTr="00EA7FA2">
        <w:trPr>
          <w:trHeight w:val="70"/>
        </w:trPr>
        <w:tc>
          <w:tcPr>
            <w:tcW w:w="9016" w:type="dxa"/>
            <w:gridSpan w:val="4"/>
            <w:tcBorders>
              <w:top w:val="single" w:sz="4" w:space="0" w:color="auto"/>
              <w:left w:val="single" w:sz="4" w:space="0" w:color="auto"/>
              <w:bottom w:val="nil"/>
              <w:right w:val="single" w:sz="4" w:space="0" w:color="auto"/>
            </w:tcBorders>
            <w:shd w:val="clear" w:color="auto" w:fill="E6E6E6"/>
          </w:tcPr>
          <w:p w14:paraId="6B901483" w14:textId="77777777" w:rsidR="00EA7FA2" w:rsidRDefault="00EA7FA2">
            <w:pPr>
              <w:spacing w:after="0"/>
              <w:rPr>
                <w:rFonts w:ascii="Arial" w:eastAsia="Times New Roman" w:hAnsi="Arial" w:cs="Arial"/>
                <w:sz w:val="12"/>
                <w:szCs w:val="12"/>
                <w:lang w:eastAsia="en-AU"/>
              </w:rPr>
            </w:pPr>
          </w:p>
        </w:tc>
      </w:tr>
      <w:tr w:rsidR="00EA7FA2" w14:paraId="6B90148F" w14:textId="77777777" w:rsidTr="00EA7FA2">
        <w:trPr>
          <w:trHeight w:val="688"/>
        </w:trPr>
        <w:tc>
          <w:tcPr>
            <w:tcW w:w="2830" w:type="dxa"/>
            <w:tcBorders>
              <w:top w:val="single" w:sz="4" w:space="0" w:color="auto"/>
              <w:left w:val="single" w:sz="4" w:space="0" w:color="auto"/>
              <w:bottom w:val="single" w:sz="4" w:space="0" w:color="auto"/>
              <w:right w:val="single" w:sz="4" w:space="0" w:color="auto"/>
            </w:tcBorders>
          </w:tcPr>
          <w:p w14:paraId="6B901485" w14:textId="77777777" w:rsidR="00EA7FA2" w:rsidRDefault="00EA7FA2">
            <w:pPr>
              <w:spacing w:before="120" w:after="0"/>
              <w:rPr>
                <w:rFonts w:ascii="Arial" w:eastAsia="Times New Roman" w:hAnsi="Arial" w:cs="Arial"/>
                <w:b/>
                <w:sz w:val="24"/>
                <w:szCs w:val="20"/>
                <w:lang w:eastAsia="en-AU"/>
              </w:rPr>
            </w:pPr>
            <w:r>
              <w:rPr>
                <w:rFonts w:ascii="Arial" w:eastAsia="Times New Roman" w:hAnsi="Arial" w:cs="Arial"/>
                <w:b/>
                <w:sz w:val="24"/>
                <w:szCs w:val="20"/>
                <w:lang w:eastAsia="en-AU"/>
              </w:rPr>
              <w:t>PROPONENT:</w:t>
            </w:r>
          </w:p>
          <w:p w14:paraId="6B901486" w14:textId="77777777" w:rsidR="00EA7FA2" w:rsidRDefault="00EA7FA2">
            <w:pPr>
              <w:spacing w:after="0"/>
              <w:rPr>
                <w:rFonts w:ascii="Arial" w:eastAsia="Times New Roman" w:hAnsi="Arial" w:cs="Arial"/>
                <w:sz w:val="16"/>
                <w:szCs w:val="16"/>
                <w:lang w:eastAsia="en-AU"/>
              </w:rPr>
            </w:pPr>
          </w:p>
        </w:tc>
        <w:tc>
          <w:tcPr>
            <w:tcW w:w="2552" w:type="dxa"/>
            <w:gridSpan w:val="2"/>
            <w:tcBorders>
              <w:top w:val="single" w:sz="4" w:space="0" w:color="auto"/>
              <w:left w:val="single" w:sz="4" w:space="0" w:color="auto"/>
              <w:bottom w:val="single" w:sz="4" w:space="0" w:color="auto"/>
              <w:right w:val="nil"/>
            </w:tcBorders>
            <w:hideMark/>
          </w:tcPr>
          <w:p w14:paraId="6B901487" w14:textId="77777777" w:rsidR="00EA7FA2" w:rsidRDefault="00EA7FA2">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Nominating organisation:</w:t>
            </w:r>
          </w:p>
          <w:p w14:paraId="6B901488" w14:textId="77777777" w:rsidR="00EA7FA2" w:rsidRDefault="00EA7FA2">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Nominating individual:</w:t>
            </w:r>
          </w:p>
          <w:p w14:paraId="6B901489" w14:textId="77777777" w:rsidR="00EA7FA2" w:rsidRDefault="00EA7FA2">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Position:</w:t>
            </w:r>
          </w:p>
          <w:p w14:paraId="6B90148A" w14:textId="77777777" w:rsidR="00EA7FA2" w:rsidRDefault="00EA7FA2">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Contact email:</w:t>
            </w:r>
          </w:p>
        </w:tc>
        <w:tc>
          <w:tcPr>
            <w:tcW w:w="3634" w:type="dxa"/>
            <w:tcBorders>
              <w:top w:val="single" w:sz="4" w:space="0" w:color="auto"/>
              <w:left w:val="nil"/>
              <w:bottom w:val="single" w:sz="4" w:space="0" w:color="auto"/>
              <w:right w:val="single" w:sz="4" w:space="0" w:color="auto"/>
            </w:tcBorders>
            <w:hideMark/>
          </w:tcPr>
          <w:p w14:paraId="6B90148B" w14:textId="3A4F068B" w:rsidR="00EA7FA2" w:rsidRDefault="00962369">
            <w:pPr>
              <w:spacing w:before="120" w:after="0"/>
              <w:rPr>
                <w:rFonts w:ascii="Arial" w:eastAsia="Times New Roman" w:hAnsi="Arial" w:cs="Arial"/>
                <w:sz w:val="20"/>
                <w:szCs w:val="20"/>
                <w:lang w:eastAsia="en-AU"/>
              </w:rPr>
            </w:pPr>
            <w:r>
              <w:rPr>
                <w:rFonts w:ascii="Arial" w:eastAsia="Times New Roman" w:hAnsi="Arial" w:cs="Arial"/>
                <w:sz w:val="20"/>
                <w:szCs w:val="20"/>
                <w:lang w:eastAsia="en-AU"/>
              </w:rPr>
              <w:t>Australian Building Codes Board</w:t>
            </w:r>
          </w:p>
          <w:p w14:paraId="6B90148C" w14:textId="51062CDE" w:rsidR="00EA7FA2" w:rsidRDefault="00962369">
            <w:pPr>
              <w:spacing w:before="120" w:after="0"/>
              <w:rPr>
                <w:rFonts w:ascii="Arial" w:eastAsia="Times New Roman" w:hAnsi="Arial" w:cs="Arial"/>
                <w:sz w:val="20"/>
                <w:szCs w:val="20"/>
                <w:lang w:eastAsia="en-AU"/>
              </w:rPr>
            </w:pPr>
            <w:r>
              <w:rPr>
                <w:rFonts w:ascii="Arial" w:eastAsia="Times New Roman" w:hAnsi="Arial" w:cs="Arial"/>
                <w:sz w:val="20"/>
                <w:szCs w:val="20"/>
                <w:lang w:eastAsia="en-AU"/>
              </w:rPr>
              <w:t>Tom Roberts</w:t>
            </w:r>
          </w:p>
          <w:p w14:paraId="6B90148D" w14:textId="53956B43" w:rsidR="00EA7FA2" w:rsidRDefault="00962369">
            <w:pPr>
              <w:spacing w:before="120" w:after="0"/>
              <w:rPr>
                <w:rFonts w:ascii="Arial" w:eastAsia="Times New Roman" w:hAnsi="Arial" w:cs="Arial"/>
                <w:sz w:val="20"/>
                <w:szCs w:val="20"/>
                <w:lang w:eastAsia="en-AU"/>
              </w:rPr>
            </w:pPr>
            <w:r>
              <w:rPr>
                <w:rFonts w:ascii="Arial" w:eastAsia="Times New Roman" w:hAnsi="Arial" w:cs="Arial"/>
                <w:sz w:val="20"/>
                <w:szCs w:val="20"/>
                <w:lang w:eastAsia="en-AU"/>
              </w:rPr>
              <w:t xml:space="preserve">Director </w:t>
            </w:r>
          </w:p>
          <w:p w14:paraId="6B90148E" w14:textId="3CABDAAE" w:rsidR="00EA7FA2" w:rsidRDefault="00962369" w:rsidP="00962369">
            <w:pPr>
              <w:spacing w:before="120" w:after="120"/>
              <w:rPr>
                <w:rFonts w:ascii="Arial" w:eastAsia="Times New Roman" w:hAnsi="Arial" w:cs="Arial"/>
                <w:sz w:val="20"/>
                <w:szCs w:val="20"/>
                <w:lang w:eastAsia="en-AU"/>
              </w:rPr>
            </w:pPr>
            <w:r w:rsidRPr="00962369">
              <w:rPr>
                <w:rStyle w:val="Hyperlink"/>
                <w:rFonts w:ascii="Arial" w:eastAsia="Times New Roman" w:hAnsi="Arial" w:cs="Arial"/>
                <w:sz w:val="20"/>
                <w:szCs w:val="20"/>
                <w:lang w:eastAsia="en-AU"/>
              </w:rPr>
              <w:t>T</w:t>
            </w:r>
            <w:r>
              <w:rPr>
                <w:rStyle w:val="Hyperlink"/>
                <w:rFonts w:ascii="Arial" w:eastAsia="Times New Roman" w:hAnsi="Arial" w:cs="Arial"/>
                <w:sz w:val="20"/>
                <w:szCs w:val="20"/>
                <w:lang w:eastAsia="en-AU"/>
              </w:rPr>
              <w:t>om.Roberts@abcb.gov.au</w:t>
            </w:r>
          </w:p>
        </w:tc>
      </w:tr>
      <w:tr w:rsidR="00EA7FA2" w14:paraId="6B901491"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90" w14:textId="77777777" w:rsidR="00EA7FA2" w:rsidRDefault="00EA7FA2">
            <w:pPr>
              <w:spacing w:after="0"/>
              <w:rPr>
                <w:rFonts w:ascii="Arial" w:eastAsia="Times New Roman" w:hAnsi="Arial" w:cs="Arial"/>
                <w:sz w:val="12"/>
                <w:szCs w:val="12"/>
                <w:lang w:eastAsia="en-AU"/>
              </w:rPr>
            </w:pPr>
          </w:p>
        </w:tc>
      </w:tr>
      <w:tr w:rsidR="00EA7FA2" w14:paraId="6B901497" w14:textId="77777777" w:rsidTr="00EA7FA2">
        <w:tc>
          <w:tcPr>
            <w:tcW w:w="2830" w:type="dxa"/>
            <w:tcBorders>
              <w:top w:val="single" w:sz="4" w:space="0" w:color="auto"/>
              <w:left w:val="single" w:sz="4" w:space="0" w:color="auto"/>
              <w:bottom w:val="single" w:sz="4" w:space="0" w:color="auto"/>
              <w:right w:val="single" w:sz="4" w:space="0" w:color="auto"/>
            </w:tcBorders>
            <w:hideMark/>
          </w:tcPr>
          <w:p w14:paraId="6B901492" w14:textId="77777777" w:rsidR="00EA7FA2" w:rsidRDefault="00EA7FA2">
            <w:pPr>
              <w:spacing w:before="120" w:after="0"/>
              <w:rPr>
                <w:rFonts w:ascii="Arial" w:eastAsia="Times New Roman" w:hAnsi="Arial" w:cs="Arial"/>
                <w:b/>
                <w:sz w:val="24"/>
                <w:szCs w:val="20"/>
                <w:lang w:eastAsia="en-AU"/>
              </w:rPr>
            </w:pPr>
            <w:r>
              <w:rPr>
                <w:rFonts w:ascii="Arial" w:eastAsia="Times New Roman" w:hAnsi="Arial" w:cs="Arial"/>
                <w:b/>
                <w:sz w:val="24"/>
                <w:szCs w:val="20"/>
                <w:lang w:eastAsia="en-AU"/>
              </w:rPr>
              <w:t>DATE OF PIA:</w:t>
            </w:r>
          </w:p>
          <w:p w14:paraId="6B901493" w14:textId="77777777" w:rsidR="00EA7FA2" w:rsidRDefault="00EA7FA2">
            <w:pPr>
              <w:spacing w:before="120" w:after="120"/>
              <w:rPr>
                <w:rFonts w:ascii="Arial" w:eastAsia="Times New Roman" w:hAnsi="Arial" w:cs="Arial"/>
                <w:sz w:val="20"/>
                <w:szCs w:val="20"/>
                <w:lang w:eastAsia="en-AU"/>
              </w:rPr>
            </w:pPr>
            <w:r>
              <w:rPr>
                <w:rFonts w:ascii="Arial" w:eastAsia="Times New Roman" w:hAnsi="Arial" w:cs="Arial"/>
                <w:sz w:val="20"/>
                <w:szCs w:val="20"/>
                <w:lang w:eastAsia="en-AU"/>
              </w:rPr>
              <w:t>To differentiate between versions include the document date and/or version number</w:t>
            </w:r>
          </w:p>
        </w:tc>
        <w:tc>
          <w:tcPr>
            <w:tcW w:w="6186" w:type="dxa"/>
            <w:gridSpan w:val="3"/>
            <w:tcBorders>
              <w:top w:val="single" w:sz="4" w:space="0" w:color="auto"/>
              <w:left w:val="single" w:sz="4" w:space="0" w:color="auto"/>
              <w:bottom w:val="single" w:sz="4" w:space="0" w:color="auto"/>
              <w:right w:val="single" w:sz="4" w:space="0" w:color="auto"/>
            </w:tcBorders>
            <w:hideMark/>
          </w:tcPr>
          <w:p w14:paraId="6B901494" w14:textId="2E62EE56" w:rsidR="00EA7FA2" w:rsidRDefault="00EA7FA2">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Date:</w:t>
            </w:r>
            <w:r>
              <w:rPr>
                <w:rFonts w:ascii="Arial" w:eastAsia="Times New Roman" w:hAnsi="Arial" w:cs="Arial"/>
                <w:sz w:val="20"/>
                <w:szCs w:val="16"/>
                <w:lang w:eastAsia="en-AU"/>
              </w:rPr>
              <w:tab/>
            </w:r>
            <w:r>
              <w:rPr>
                <w:rFonts w:ascii="Arial" w:eastAsia="Times New Roman" w:hAnsi="Arial" w:cs="Arial"/>
                <w:sz w:val="20"/>
                <w:szCs w:val="16"/>
                <w:lang w:eastAsia="en-AU"/>
              </w:rPr>
              <w:tab/>
            </w:r>
            <w:r w:rsidR="00962369">
              <w:rPr>
                <w:rFonts w:ascii="Arial" w:eastAsia="Times New Roman" w:hAnsi="Arial" w:cs="Arial"/>
                <w:sz w:val="20"/>
                <w:szCs w:val="16"/>
                <w:lang w:eastAsia="en-AU"/>
              </w:rPr>
              <w:t>Jan 2020</w:t>
            </w:r>
          </w:p>
          <w:p w14:paraId="6B901495" w14:textId="39B6F2DA" w:rsidR="00EA7FA2" w:rsidRDefault="00962369">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 xml:space="preserve">Version: </w:t>
            </w:r>
            <w:r>
              <w:rPr>
                <w:rFonts w:ascii="Arial" w:eastAsia="Times New Roman" w:hAnsi="Arial" w:cs="Arial"/>
                <w:sz w:val="20"/>
                <w:szCs w:val="16"/>
                <w:lang w:eastAsia="en-AU"/>
              </w:rPr>
              <w:tab/>
              <w:t>1.0</w:t>
            </w:r>
          </w:p>
          <w:p w14:paraId="6B901496" w14:textId="3A8F60A6" w:rsidR="00EA7FA2" w:rsidRDefault="00EA7FA2" w:rsidP="00962369">
            <w:pPr>
              <w:spacing w:before="120" w:after="0"/>
              <w:rPr>
                <w:rFonts w:ascii="Arial" w:eastAsia="Times New Roman" w:hAnsi="Arial" w:cs="Arial"/>
                <w:sz w:val="20"/>
                <w:szCs w:val="16"/>
                <w:lang w:eastAsia="en-AU"/>
              </w:rPr>
            </w:pPr>
            <w:r>
              <w:rPr>
                <w:rFonts w:ascii="Arial" w:eastAsia="Times New Roman" w:hAnsi="Arial" w:cs="Arial"/>
                <w:sz w:val="20"/>
                <w:szCs w:val="16"/>
                <w:lang w:eastAsia="en-AU"/>
              </w:rPr>
              <w:t xml:space="preserve">Status: </w:t>
            </w:r>
            <w:r>
              <w:rPr>
                <w:rFonts w:ascii="Arial" w:eastAsia="Times New Roman" w:hAnsi="Arial" w:cs="Arial"/>
                <w:sz w:val="20"/>
                <w:szCs w:val="16"/>
                <w:lang w:eastAsia="en-AU"/>
              </w:rPr>
              <w:tab/>
            </w:r>
            <w:r>
              <w:rPr>
                <w:rFonts w:ascii="Arial" w:eastAsia="Times New Roman" w:hAnsi="Arial" w:cs="Arial"/>
                <w:sz w:val="20"/>
                <w:szCs w:val="16"/>
                <w:lang w:eastAsia="en-AU"/>
              </w:rPr>
              <w:tab/>
              <w:t>DRAFT</w:t>
            </w:r>
          </w:p>
        </w:tc>
      </w:tr>
      <w:tr w:rsidR="00EA7FA2" w14:paraId="6B901499"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98" w14:textId="77777777" w:rsidR="00EA7FA2" w:rsidRDefault="00EA7FA2">
            <w:pPr>
              <w:spacing w:after="0"/>
              <w:rPr>
                <w:rFonts w:ascii="Arial" w:eastAsia="Times New Roman" w:hAnsi="Arial" w:cs="Arial"/>
                <w:sz w:val="12"/>
                <w:szCs w:val="12"/>
                <w:lang w:eastAsia="en-AU"/>
              </w:rPr>
            </w:pPr>
          </w:p>
        </w:tc>
      </w:tr>
      <w:tr w:rsidR="00EA7FA2" w14:paraId="6B90149B"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9A" w14:textId="77777777" w:rsidR="00EA7FA2" w:rsidRDefault="00EA7FA2">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NATURE AND EXTENT OF THE PROBLEM:</w:t>
            </w:r>
          </w:p>
        </w:tc>
      </w:tr>
      <w:tr w:rsidR="00EA7FA2" w14:paraId="6B9014A5" w14:textId="77777777" w:rsidTr="00A94095">
        <w:tc>
          <w:tcPr>
            <w:tcW w:w="9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373265" w14:textId="508DA997" w:rsidR="00030B18" w:rsidRDefault="00030B18" w:rsidP="00DD59CA">
            <w:pPr>
              <w:spacing w:before="240" w:after="100" w:afterAutospacing="1"/>
              <w:rPr>
                <w:lang w:eastAsia="en-AU"/>
              </w:rPr>
            </w:pPr>
            <w:r>
              <w:rPr>
                <w:lang w:eastAsia="en-AU"/>
              </w:rPr>
              <w:t>AS/NZS 3500 Plumbing and drainage, Part 0 Glossary of terms is an important document heavily relied upon within the construction industry as one of the few available glossaries of construction terms. This Australian Standard is used not only by the AS/NZS 3500</w:t>
            </w:r>
            <w:r w:rsidR="00802940">
              <w:rPr>
                <w:lang w:eastAsia="en-AU"/>
              </w:rPr>
              <w:t xml:space="preserve"> suite, but Australia’s National </w:t>
            </w:r>
            <w:r w:rsidR="00802940">
              <w:rPr>
                <w:lang w:eastAsia="en-AU"/>
              </w:rPr>
              <w:lastRenderedPageBreak/>
              <w:t>Construction Code, New Zealand Building Code</w:t>
            </w:r>
            <w:r>
              <w:rPr>
                <w:lang w:eastAsia="en-AU"/>
              </w:rPr>
              <w:t xml:space="preserve"> and a large number of plumbing product specifications. </w:t>
            </w:r>
          </w:p>
          <w:p w14:paraId="05B9E3A7" w14:textId="77777777" w:rsidR="00030B18" w:rsidRDefault="00030B18" w:rsidP="00030B18">
            <w:pPr>
              <w:spacing w:before="100" w:beforeAutospacing="1" w:after="100" w:afterAutospacing="1"/>
              <w:rPr>
                <w:lang w:eastAsia="en-AU"/>
              </w:rPr>
            </w:pPr>
            <w:r>
              <w:rPr>
                <w:lang w:eastAsia="en-AU"/>
              </w:rPr>
              <w:t xml:space="preserve">The glossary has not been updated since 2003 and during the fifteen years since it was published the main parts of the series have been updated twice, in 2015 and 2018. This has left a number of defined terms being listed within AS/NZS parts 1, 2, 3 and 4 which are not included in part 0, resulting in the misalignment between the parts of the AS/NZS 3500 series. </w:t>
            </w:r>
          </w:p>
          <w:p w14:paraId="315D0023" w14:textId="102DB7B3" w:rsidR="00030B18" w:rsidRDefault="00030B18" w:rsidP="00030B18">
            <w:pPr>
              <w:spacing w:before="100" w:beforeAutospacing="1" w:after="100" w:afterAutospacing="1"/>
              <w:rPr>
                <w:lang w:eastAsia="en-AU"/>
              </w:rPr>
            </w:pPr>
            <w:r>
              <w:rPr>
                <w:lang w:eastAsia="en-AU"/>
              </w:rPr>
              <w:t xml:space="preserve">There are also definitions contained within AS/NZS 3500.0 which are in conflict with </w:t>
            </w:r>
            <w:r w:rsidR="00DD59CA">
              <w:rPr>
                <w:lang w:eastAsia="en-AU"/>
              </w:rPr>
              <w:t>definitions</w:t>
            </w:r>
            <w:r>
              <w:rPr>
                <w:lang w:eastAsia="en-AU"/>
              </w:rPr>
              <w:t xml:space="preserve"> contained in the NCC and State and Territory Legislation. </w:t>
            </w:r>
          </w:p>
          <w:p w14:paraId="26387DE6" w14:textId="51164431" w:rsidR="00030B18" w:rsidRDefault="00030B18" w:rsidP="00030B18">
            <w:pPr>
              <w:spacing w:before="100" w:beforeAutospacing="1" w:after="100" w:afterAutospacing="1"/>
              <w:rPr>
                <w:lang w:eastAsia="en-AU"/>
              </w:rPr>
            </w:pPr>
            <w:r>
              <w:rPr>
                <w:lang w:eastAsia="en-AU"/>
              </w:rPr>
              <w:t xml:space="preserve">This misalignment has the potential to cause confusion through defined terms not being </w:t>
            </w:r>
            <w:r w:rsidR="00DD59CA">
              <w:rPr>
                <w:lang w:eastAsia="en-AU"/>
              </w:rPr>
              <w:t>consistent</w:t>
            </w:r>
            <w:r>
              <w:rPr>
                <w:lang w:eastAsia="en-AU"/>
              </w:rPr>
              <w:t xml:space="preserve"> across all legislative </w:t>
            </w:r>
            <w:r w:rsidR="00DD59CA">
              <w:rPr>
                <w:lang w:eastAsia="en-AU"/>
              </w:rPr>
              <w:t>instruments</w:t>
            </w:r>
            <w:r>
              <w:rPr>
                <w:lang w:eastAsia="en-AU"/>
              </w:rPr>
              <w:t xml:space="preserve"> and located in the one place, the glossary, as well as having the potential to create inconsistencies in the meaning of a term if they are defined separately in different parts. </w:t>
            </w:r>
          </w:p>
          <w:p w14:paraId="78ED3DC5" w14:textId="77777777" w:rsidR="00030B18" w:rsidRDefault="00030B18" w:rsidP="00030B18">
            <w:pPr>
              <w:spacing w:before="100" w:beforeAutospacing="1" w:after="100" w:afterAutospacing="1"/>
              <w:rPr>
                <w:lang w:eastAsia="en-AU"/>
              </w:rPr>
            </w:pPr>
            <w:r>
              <w:rPr>
                <w:lang w:eastAsia="en-AU"/>
              </w:rPr>
              <w:t xml:space="preserve">The separation of defined terms may force practitioners simply seeking to find a defined term to purchase numerous parts of the series rather than use AS/NZS 3500.0 as the single source of information. This potential increased financial burden would be removed through the proposed alignment of the AS/NZS 3500 series. </w:t>
            </w:r>
          </w:p>
          <w:p w14:paraId="6B9014A4" w14:textId="10143250" w:rsidR="00EA7FA2" w:rsidRPr="00030B18" w:rsidRDefault="00030B18" w:rsidP="00A94095">
            <w:pPr>
              <w:spacing w:before="100" w:beforeAutospacing="1"/>
              <w:rPr>
                <w:rFonts w:ascii="Arial" w:eastAsia="Times New Roman" w:hAnsi="Arial" w:cs="Arial"/>
                <w:sz w:val="20"/>
                <w:szCs w:val="16"/>
                <w:lang w:eastAsia="en-AU"/>
              </w:rPr>
            </w:pPr>
            <w:r>
              <w:rPr>
                <w:lang w:eastAsia="en-AU"/>
              </w:rPr>
              <w:t xml:space="preserve">The potential for confusion is also increased by the glossary not being kept up to date with current industry terminology., This risk of confusion is exacerbated through the inclusion of additional sections for new and innovative technologies within the AS/NZS 3500 series such as </w:t>
            </w:r>
            <w:proofErr w:type="spellStart"/>
            <w:r>
              <w:rPr>
                <w:lang w:eastAsia="en-AU"/>
              </w:rPr>
              <w:t>siphonic</w:t>
            </w:r>
            <w:proofErr w:type="spellEnd"/>
            <w:r>
              <w:rPr>
                <w:lang w:eastAsia="en-AU"/>
              </w:rPr>
              <w:t xml:space="preserve"> stormwater, circulatory heated water systems, vacuum sanitary drainage systems without the key new terms being added to the glossary.</w:t>
            </w:r>
          </w:p>
        </w:tc>
      </w:tr>
      <w:tr w:rsidR="00EA7FA2" w14:paraId="6B9014A7"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A6" w14:textId="77777777" w:rsidR="00EA7FA2" w:rsidRDefault="00EA7FA2">
            <w:pPr>
              <w:spacing w:after="0"/>
              <w:rPr>
                <w:rFonts w:ascii="Arial" w:eastAsia="Times New Roman" w:hAnsi="Arial" w:cs="Arial"/>
                <w:sz w:val="12"/>
                <w:szCs w:val="12"/>
                <w:lang w:eastAsia="en-AU"/>
              </w:rPr>
            </w:pPr>
          </w:p>
        </w:tc>
      </w:tr>
      <w:tr w:rsidR="00EA7FA2" w14:paraId="6B9014A9"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A8" w14:textId="77777777" w:rsidR="00EA7FA2" w:rsidRDefault="00EA7FA2">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OBJECTIVES:</w:t>
            </w:r>
          </w:p>
        </w:tc>
      </w:tr>
      <w:tr w:rsidR="00EA7FA2" w14:paraId="6B9014AC"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AB" w14:textId="4C9E44AE" w:rsidR="00EA7FA2" w:rsidRPr="00030B18" w:rsidRDefault="00030B18" w:rsidP="00A94095">
            <w:pPr>
              <w:spacing w:before="240"/>
              <w:jc w:val="both"/>
              <w:rPr>
                <w:rFonts w:ascii="Arial" w:eastAsia="Times New Roman" w:hAnsi="Arial" w:cs="Arial"/>
                <w:sz w:val="20"/>
                <w:szCs w:val="20"/>
                <w:lang w:eastAsia="en-AU"/>
              </w:rPr>
            </w:pPr>
            <w:r>
              <w:rPr>
                <w:lang w:eastAsia="en-AU"/>
              </w:rPr>
              <w:t xml:space="preserve">The objective of this proposal is to have a single document with clear, up to date definitions for plumbing and construction terms which do not conflict with other definitions contained in either State and Territory </w:t>
            </w:r>
            <w:r w:rsidR="00DD59CA">
              <w:rPr>
                <w:lang w:eastAsia="en-AU"/>
              </w:rPr>
              <w:t>legislation</w:t>
            </w:r>
            <w:r>
              <w:rPr>
                <w:lang w:eastAsia="en-AU"/>
              </w:rPr>
              <w:t xml:space="preserve">, the National Construction Code or individual product or installation standard. </w:t>
            </w:r>
          </w:p>
        </w:tc>
      </w:tr>
      <w:tr w:rsidR="00EA7FA2" w14:paraId="6B9014AE"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AD" w14:textId="77777777" w:rsidR="00EA7FA2" w:rsidRDefault="00EA7FA2">
            <w:pPr>
              <w:spacing w:after="0"/>
              <w:rPr>
                <w:rFonts w:ascii="Arial" w:eastAsia="Times New Roman" w:hAnsi="Arial" w:cs="Arial"/>
                <w:b/>
                <w:sz w:val="12"/>
                <w:szCs w:val="12"/>
                <w:lang w:eastAsia="en-AU"/>
              </w:rPr>
            </w:pPr>
          </w:p>
        </w:tc>
      </w:tr>
      <w:tr w:rsidR="00EA7FA2" w14:paraId="6B9014B0"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AF" w14:textId="77777777" w:rsidR="00EA7FA2" w:rsidRDefault="00EA7FA2">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OPTIONS:</w:t>
            </w:r>
          </w:p>
        </w:tc>
      </w:tr>
      <w:tr w:rsidR="00EA7FA2" w14:paraId="6B9014B3"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33CA0B37" w14:textId="00A86CF4" w:rsidR="00EA394A" w:rsidRDefault="00EA394A" w:rsidP="00EA394A">
            <w:pPr>
              <w:rPr>
                <w:lang w:eastAsia="en-AU"/>
              </w:rPr>
            </w:pPr>
            <w:r>
              <w:rPr>
                <w:lang w:eastAsia="en-AU"/>
              </w:rPr>
              <w:t>Possible options include the following:</w:t>
            </w:r>
          </w:p>
          <w:p w14:paraId="761C207A" w14:textId="691D1BC3" w:rsidR="009E6C66" w:rsidRPr="009E6C66" w:rsidRDefault="009E6C66" w:rsidP="009E6C66">
            <w:pPr>
              <w:pStyle w:val="Subtitle"/>
              <w:rPr>
                <w:u w:val="single"/>
                <w:lang w:eastAsia="en-AU"/>
              </w:rPr>
            </w:pPr>
            <w:r w:rsidRPr="009E6C66">
              <w:rPr>
                <w:u w:val="single"/>
                <w:lang w:eastAsia="en-AU"/>
              </w:rPr>
              <w:t>Option 1 – Status Quo</w:t>
            </w:r>
          </w:p>
          <w:p w14:paraId="7B08613B" w14:textId="6908ED7F" w:rsidR="009E6C66" w:rsidRDefault="009E6C66" w:rsidP="009E6C66">
            <w:pPr>
              <w:spacing w:after="120"/>
              <w:rPr>
                <w:rFonts w:ascii="Arial" w:hAnsi="Arial" w:cs="Arial"/>
                <w:sz w:val="20"/>
                <w:lang w:eastAsia="en-AU"/>
              </w:rPr>
            </w:pPr>
            <w:r>
              <w:rPr>
                <w:rFonts w:ascii="Arial" w:hAnsi="Arial" w:cs="Arial"/>
                <w:sz w:val="20"/>
                <w:lang w:eastAsia="en-AU"/>
              </w:rPr>
              <w:t xml:space="preserve">This option would see no change to any documents. </w:t>
            </w:r>
          </w:p>
          <w:p w14:paraId="4B6C7617" w14:textId="7025D2FD" w:rsidR="00A94095" w:rsidRDefault="00A94095" w:rsidP="009E6C66">
            <w:pPr>
              <w:pStyle w:val="Subtitle"/>
              <w:rPr>
                <w:rFonts w:eastAsia="Times New Roman"/>
                <w:u w:val="single"/>
                <w:lang w:eastAsia="en-AU"/>
              </w:rPr>
            </w:pPr>
            <w:r w:rsidRPr="009E6C66">
              <w:rPr>
                <w:rFonts w:eastAsia="Times New Roman"/>
                <w:u w:val="single"/>
                <w:lang w:eastAsia="en-AU"/>
              </w:rPr>
              <w:t>Option 2 – Non-Regulatory Options</w:t>
            </w:r>
          </w:p>
          <w:p w14:paraId="31510362" w14:textId="78DA9A45" w:rsidR="009E6C66" w:rsidRPr="009E6C66" w:rsidRDefault="009E6C66" w:rsidP="009E6C66">
            <w:pPr>
              <w:rPr>
                <w:lang w:eastAsia="en-AU"/>
              </w:rPr>
            </w:pPr>
            <w:r>
              <w:rPr>
                <w:lang w:eastAsia="en-AU"/>
              </w:rPr>
              <w:t xml:space="preserve">There are two possible options for a non-regulatory approach to the </w:t>
            </w:r>
            <w:r w:rsidR="00DD59CA">
              <w:rPr>
                <w:lang w:eastAsia="en-AU"/>
              </w:rPr>
              <w:t>problem</w:t>
            </w:r>
            <w:r>
              <w:rPr>
                <w:lang w:eastAsia="en-AU"/>
              </w:rPr>
              <w:t xml:space="preserve"> described above. </w:t>
            </w:r>
          </w:p>
          <w:p w14:paraId="7E07CC64" w14:textId="77777777" w:rsidR="009E6C66" w:rsidRDefault="00A94095" w:rsidP="009E6C66">
            <w:pPr>
              <w:pStyle w:val="ListParagraph"/>
              <w:numPr>
                <w:ilvl w:val="0"/>
                <w:numId w:val="3"/>
              </w:numPr>
              <w:spacing w:after="120"/>
              <w:rPr>
                <w:rFonts w:eastAsia="Times New Roman" w:cstheme="minorHAnsi"/>
                <w:szCs w:val="20"/>
                <w:lang w:eastAsia="en-AU"/>
              </w:rPr>
            </w:pPr>
            <w:r w:rsidRPr="009E6C66">
              <w:rPr>
                <w:rFonts w:eastAsia="Times New Roman" w:cstheme="minorHAnsi"/>
                <w:szCs w:val="20"/>
                <w:lang w:eastAsia="en-AU"/>
              </w:rPr>
              <w:t>Option 2.1</w:t>
            </w:r>
          </w:p>
          <w:p w14:paraId="49264F5C" w14:textId="0C3923D9" w:rsidR="00A94095" w:rsidRPr="009E6C66" w:rsidRDefault="00A94095" w:rsidP="009E6C66">
            <w:pPr>
              <w:pStyle w:val="ListParagraph"/>
              <w:spacing w:after="120"/>
              <w:rPr>
                <w:rFonts w:eastAsia="Times New Roman" w:cstheme="minorHAnsi"/>
                <w:szCs w:val="20"/>
                <w:lang w:eastAsia="en-AU"/>
              </w:rPr>
            </w:pPr>
            <w:r w:rsidRPr="009E6C66">
              <w:rPr>
                <w:rFonts w:eastAsia="Times New Roman" w:cstheme="minorHAnsi"/>
                <w:szCs w:val="20"/>
                <w:lang w:eastAsia="en-AU"/>
              </w:rPr>
              <w:lastRenderedPageBreak/>
              <w:t xml:space="preserve">Non-regulatory options could include the development of guidance within the Standard to assist readers in the interpretation of clauses which may be considered difficult to interpret. </w:t>
            </w:r>
          </w:p>
          <w:p w14:paraId="277178B2" w14:textId="77777777" w:rsidR="009E6C66" w:rsidRDefault="00A94095" w:rsidP="009E6C66">
            <w:pPr>
              <w:pStyle w:val="ListParagraph"/>
              <w:numPr>
                <w:ilvl w:val="0"/>
                <w:numId w:val="10"/>
              </w:numPr>
              <w:spacing w:after="120"/>
              <w:rPr>
                <w:rFonts w:eastAsia="Times New Roman" w:cstheme="minorHAnsi"/>
                <w:szCs w:val="20"/>
                <w:lang w:eastAsia="en-AU"/>
              </w:rPr>
            </w:pPr>
            <w:r w:rsidRPr="009E6C66">
              <w:rPr>
                <w:rFonts w:eastAsia="Times New Roman" w:cstheme="minorHAnsi"/>
                <w:szCs w:val="20"/>
                <w:lang w:eastAsia="en-AU"/>
              </w:rPr>
              <w:t>Option 2.2</w:t>
            </w:r>
          </w:p>
          <w:p w14:paraId="745DF868" w14:textId="198849A3" w:rsidR="00A94095" w:rsidRDefault="009E6C66" w:rsidP="009E6C66">
            <w:pPr>
              <w:pStyle w:val="ListParagraph"/>
              <w:spacing w:after="120"/>
              <w:rPr>
                <w:rFonts w:eastAsia="Times New Roman" w:cstheme="minorHAnsi"/>
                <w:szCs w:val="20"/>
                <w:lang w:eastAsia="en-AU"/>
              </w:rPr>
            </w:pPr>
            <w:r>
              <w:rPr>
                <w:rFonts w:eastAsia="Times New Roman" w:cstheme="minorHAnsi"/>
                <w:szCs w:val="20"/>
                <w:lang w:eastAsia="en-AU"/>
              </w:rPr>
              <w:t>T</w:t>
            </w:r>
            <w:r w:rsidR="00A94095" w:rsidRPr="009E6C66">
              <w:rPr>
                <w:rFonts w:eastAsia="Times New Roman" w:cstheme="minorHAnsi"/>
                <w:szCs w:val="20"/>
                <w:lang w:eastAsia="en-AU"/>
              </w:rPr>
              <w:t xml:space="preserve">he creation of a separate guidance document such as a handbook. This would either see AS/NZS 3500.0 become an informative document or the creation of an additional document with the new or amended definitions.  </w:t>
            </w:r>
          </w:p>
          <w:p w14:paraId="5BF23763" w14:textId="77777777" w:rsidR="00A94095" w:rsidRPr="009E6C66" w:rsidRDefault="00A94095" w:rsidP="009E6C66">
            <w:pPr>
              <w:pStyle w:val="Subtitle"/>
              <w:rPr>
                <w:rFonts w:eastAsia="Times New Roman"/>
                <w:u w:val="single"/>
                <w:lang w:eastAsia="en-AU"/>
              </w:rPr>
            </w:pPr>
            <w:r w:rsidRPr="009E6C66">
              <w:rPr>
                <w:rFonts w:eastAsia="Times New Roman"/>
                <w:u w:val="single"/>
                <w:lang w:eastAsia="en-AU"/>
              </w:rPr>
              <w:t>Option 3 – Revision of AS/NZS 3500.0</w:t>
            </w:r>
          </w:p>
          <w:p w14:paraId="0D9CF580" w14:textId="7643A9C0" w:rsidR="00A94095" w:rsidRPr="009E6C66" w:rsidRDefault="00A94095" w:rsidP="009E6C66">
            <w:pPr>
              <w:spacing w:after="120"/>
              <w:rPr>
                <w:rFonts w:eastAsia="Times New Roman" w:cstheme="minorHAnsi"/>
                <w:szCs w:val="20"/>
                <w:lang w:eastAsia="en-AU"/>
              </w:rPr>
            </w:pPr>
            <w:r w:rsidRPr="009E6C66">
              <w:rPr>
                <w:rFonts w:eastAsia="Times New Roman" w:cstheme="minorHAnsi"/>
                <w:szCs w:val="20"/>
                <w:lang w:eastAsia="en-AU"/>
              </w:rPr>
              <w:t>The proposed scope of the project seeks to undertake the following:</w:t>
            </w:r>
          </w:p>
          <w:p w14:paraId="1A5F8098" w14:textId="77777777" w:rsidR="00EA394A" w:rsidRDefault="00A94095" w:rsidP="009E6C66">
            <w:pPr>
              <w:pStyle w:val="ListParagraph"/>
              <w:numPr>
                <w:ilvl w:val="0"/>
                <w:numId w:val="3"/>
              </w:numPr>
              <w:spacing w:after="120"/>
              <w:rPr>
                <w:rFonts w:eastAsia="Times New Roman" w:cstheme="minorHAnsi"/>
                <w:szCs w:val="20"/>
                <w:lang w:eastAsia="en-AU"/>
              </w:rPr>
            </w:pPr>
            <w:r w:rsidRPr="009E6C66">
              <w:rPr>
                <w:rFonts w:eastAsia="Times New Roman" w:cstheme="minorHAnsi"/>
                <w:szCs w:val="20"/>
                <w:lang w:eastAsia="en-AU"/>
              </w:rPr>
              <w:t xml:space="preserve">Defined terms located in AS/NZS 3500 Parts 1, 2, 3 and 4 be included in AS/NZS 3500.0 and deleted from parts 1, 2, 3 and 4. </w:t>
            </w:r>
          </w:p>
          <w:p w14:paraId="1063BECD" w14:textId="7165F30D" w:rsidR="00A94095" w:rsidRPr="009E6C66" w:rsidRDefault="00EA394A" w:rsidP="00EA394A">
            <w:pPr>
              <w:pStyle w:val="ListParagraph"/>
              <w:spacing w:after="120"/>
              <w:rPr>
                <w:rFonts w:eastAsia="Times New Roman" w:cstheme="minorHAnsi"/>
                <w:szCs w:val="20"/>
                <w:lang w:eastAsia="en-AU"/>
              </w:rPr>
            </w:pPr>
            <w:r>
              <w:rPr>
                <w:rFonts w:eastAsia="Times New Roman" w:cstheme="minorHAnsi"/>
                <w:szCs w:val="20"/>
                <w:lang w:eastAsia="en-AU"/>
              </w:rPr>
              <w:t xml:space="preserve">Note: </w:t>
            </w:r>
            <w:r w:rsidR="00A94095" w:rsidRPr="009E6C66">
              <w:rPr>
                <w:rFonts w:eastAsia="Times New Roman" w:cstheme="minorHAnsi"/>
                <w:szCs w:val="20"/>
                <w:lang w:eastAsia="en-AU"/>
              </w:rPr>
              <w:t xml:space="preserve">where a defined term only applies to a particular part or section of the AS/NZS 3500 series the relocated definition shall state ‘for the purposes of..’ to ensure the definition is not applied inappropriately. </w:t>
            </w:r>
          </w:p>
          <w:p w14:paraId="31637273" w14:textId="616DD5D8" w:rsidR="00A94095" w:rsidRPr="009E6C66" w:rsidRDefault="00A94095" w:rsidP="009E6C66">
            <w:pPr>
              <w:pStyle w:val="ListParagraph"/>
              <w:numPr>
                <w:ilvl w:val="0"/>
                <w:numId w:val="3"/>
              </w:numPr>
              <w:spacing w:after="120"/>
              <w:rPr>
                <w:rFonts w:eastAsia="Times New Roman" w:cstheme="minorHAnsi"/>
                <w:szCs w:val="20"/>
                <w:lang w:eastAsia="en-AU"/>
              </w:rPr>
            </w:pPr>
            <w:r w:rsidRPr="009E6C66">
              <w:rPr>
                <w:rFonts w:eastAsia="Times New Roman" w:cstheme="minorHAnsi"/>
                <w:szCs w:val="20"/>
                <w:lang w:eastAsia="en-AU"/>
              </w:rPr>
              <w:t>Existing definitions will be reviewed to see if they need to be amended (or deleted) in the light of new technology or practices.</w:t>
            </w:r>
          </w:p>
          <w:p w14:paraId="4F2A64A4" w14:textId="5F02E668" w:rsidR="00A94095" w:rsidRPr="009E6C66" w:rsidRDefault="00A94095" w:rsidP="009E6C66">
            <w:pPr>
              <w:pStyle w:val="ListParagraph"/>
              <w:numPr>
                <w:ilvl w:val="0"/>
                <w:numId w:val="3"/>
              </w:numPr>
              <w:spacing w:after="120"/>
              <w:rPr>
                <w:rFonts w:eastAsia="Times New Roman" w:cstheme="minorHAnsi"/>
                <w:szCs w:val="20"/>
                <w:lang w:eastAsia="en-AU"/>
              </w:rPr>
            </w:pPr>
            <w:r w:rsidRPr="009E6C66">
              <w:rPr>
                <w:rFonts w:eastAsia="Times New Roman" w:cstheme="minorHAnsi"/>
                <w:szCs w:val="20"/>
                <w:lang w:eastAsia="en-AU"/>
              </w:rPr>
              <w:t>Defined terms in the Plumbing Code of Australia (PCA) relevant to the AS/NZS 3500 series be duplicated within the PCA and AS/NZS 3500.0. This also captures defined terms used by the WaterMark Certification Scheme.</w:t>
            </w:r>
          </w:p>
          <w:p w14:paraId="18477D4B" w14:textId="5389722F" w:rsidR="00A94095" w:rsidRPr="009E6C66" w:rsidRDefault="00A94095" w:rsidP="009E6C66">
            <w:pPr>
              <w:pStyle w:val="ListParagraph"/>
              <w:numPr>
                <w:ilvl w:val="0"/>
                <w:numId w:val="3"/>
              </w:numPr>
              <w:spacing w:after="120"/>
              <w:rPr>
                <w:rFonts w:eastAsia="Times New Roman" w:cstheme="minorHAnsi"/>
                <w:szCs w:val="20"/>
                <w:lang w:eastAsia="en-AU"/>
              </w:rPr>
            </w:pPr>
            <w:r w:rsidRPr="009E6C66">
              <w:rPr>
                <w:rFonts w:eastAsia="Times New Roman" w:cstheme="minorHAnsi"/>
                <w:szCs w:val="20"/>
                <w:lang w:eastAsia="en-AU"/>
              </w:rPr>
              <w:t xml:space="preserve">Defined terms in the Building Codes of Australia (NCC Volumes One and Two) relevant to the AS/NZS 3500 series be duplicated within AS/NZS 3500.0. </w:t>
            </w:r>
          </w:p>
          <w:p w14:paraId="1BF033DB" w14:textId="54AA2429" w:rsidR="00A94095" w:rsidRPr="009E6C66" w:rsidRDefault="00A94095" w:rsidP="009E6C66">
            <w:pPr>
              <w:pStyle w:val="ListParagraph"/>
              <w:numPr>
                <w:ilvl w:val="0"/>
                <w:numId w:val="3"/>
              </w:numPr>
              <w:spacing w:after="120"/>
              <w:rPr>
                <w:rFonts w:eastAsia="Times New Roman" w:cstheme="minorHAnsi"/>
                <w:szCs w:val="20"/>
                <w:lang w:eastAsia="en-AU"/>
              </w:rPr>
            </w:pPr>
            <w:r w:rsidRPr="009E6C66">
              <w:rPr>
                <w:rFonts w:eastAsia="Times New Roman" w:cstheme="minorHAnsi"/>
                <w:szCs w:val="20"/>
                <w:lang w:eastAsia="en-AU"/>
              </w:rPr>
              <w:t xml:space="preserve">Defined terms from AS/NZS 6400 Water Efficient Products, Rating and labelling to be duplicated within AS/NZS 3500.0 to ensure consistency in terminology. </w:t>
            </w:r>
          </w:p>
          <w:p w14:paraId="454A7F31" w14:textId="77777777" w:rsidR="00EA394A" w:rsidRPr="00EA394A" w:rsidRDefault="00A94095" w:rsidP="00EA394A">
            <w:pPr>
              <w:pStyle w:val="ListParagraph"/>
              <w:numPr>
                <w:ilvl w:val="0"/>
                <w:numId w:val="3"/>
              </w:numPr>
              <w:spacing w:after="120"/>
              <w:rPr>
                <w:rFonts w:ascii="Arial" w:eastAsia="Times New Roman" w:hAnsi="Arial" w:cs="Arial"/>
                <w:sz w:val="20"/>
                <w:szCs w:val="20"/>
                <w:lang w:eastAsia="en-AU"/>
              </w:rPr>
            </w:pPr>
            <w:r w:rsidRPr="009E6C66">
              <w:rPr>
                <w:rFonts w:eastAsia="Times New Roman" w:cstheme="minorHAnsi"/>
                <w:szCs w:val="20"/>
                <w:lang w:eastAsia="en-AU"/>
              </w:rPr>
              <w:t xml:space="preserve">Any additional terms commonly used within AS/NZS 3500 Parts 1, 2, 3, and 4 which a definition would provide greater clarity or remove any ambiguity in the meaning shall be added to AS/NZS 3500.0. </w:t>
            </w:r>
          </w:p>
          <w:p w14:paraId="6B9014B2" w14:textId="168C16ED" w:rsidR="00EA394A" w:rsidRPr="00EA394A" w:rsidRDefault="00EA394A" w:rsidP="00EA394A">
            <w:pPr>
              <w:pStyle w:val="ListParagraph"/>
              <w:spacing w:after="120"/>
              <w:rPr>
                <w:rFonts w:eastAsia="Times New Roman" w:cstheme="minorHAnsi"/>
                <w:szCs w:val="20"/>
                <w:lang w:eastAsia="en-AU"/>
              </w:rPr>
            </w:pPr>
            <w:r>
              <w:rPr>
                <w:rFonts w:eastAsia="Times New Roman" w:cstheme="minorHAnsi"/>
                <w:szCs w:val="20"/>
                <w:lang w:eastAsia="en-AU"/>
              </w:rPr>
              <w:t>Note: a</w:t>
            </w:r>
            <w:r w:rsidR="00A94095" w:rsidRPr="009E6C66">
              <w:rPr>
                <w:rFonts w:eastAsia="Times New Roman" w:cstheme="minorHAnsi"/>
                <w:szCs w:val="20"/>
                <w:lang w:eastAsia="en-AU"/>
              </w:rPr>
              <w:t xml:space="preserve">s far as possible new definitions </w:t>
            </w:r>
            <w:r>
              <w:rPr>
                <w:rFonts w:eastAsia="Times New Roman" w:cstheme="minorHAnsi"/>
                <w:szCs w:val="20"/>
                <w:lang w:eastAsia="en-AU"/>
              </w:rPr>
              <w:t>are</w:t>
            </w:r>
            <w:r w:rsidR="00A94095" w:rsidRPr="009E6C66">
              <w:rPr>
                <w:rFonts w:eastAsia="Times New Roman" w:cstheme="minorHAnsi"/>
                <w:szCs w:val="20"/>
                <w:lang w:eastAsia="en-AU"/>
              </w:rPr>
              <w:t xml:space="preserve"> sourced from an authoritative publication, or where a definition cannot be located, be developed by the WS-014 committee.</w:t>
            </w:r>
          </w:p>
        </w:tc>
      </w:tr>
      <w:tr w:rsidR="00EA7FA2" w14:paraId="6B9014B5"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B4" w14:textId="77777777" w:rsidR="00EA7FA2" w:rsidRDefault="00EA7FA2">
            <w:pPr>
              <w:spacing w:after="0"/>
              <w:rPr>
                <w:rFonts w:ascii="Arial" w:eastAsia="Times New Roman" w:hAnsi="Arial" w:cs="Arial"/>
                <w:sz w:val="12"/>
                <w:szCs w:val="12"/>
                <w:lang w:eastAsia="en-AU"/>
              </w:rPr>
            </w:pPr>
          </w:p>
        </w:tc>
      </w:tr>
      <w:tr w:rsidR="00EA7FA2" w14:paraId="6B9014B7"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B6" w14:textId="77777777" w:rsidR="00EA7FA2" w:rsidRDefault="00EA7FA2">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IMPACT ANALYSIS (OF ALL OPTIONS):</w:t>
            </w:r>
          </w:p>
        </w:tc>
      </w:tr>
      <w:tr w:rsidR="00EA7FA2" w14:paraId="6B9014BF"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1543D196" w14:textId="53F0E9CC" w:rsidR="00EA394A" w:rsidRPr="00EA394A" w:rsidRDefault="00EA394A" w:rsidP="0092435D">
            <w:pPr>
              <w:pStyle w:val="Subtitle"/>
              <w:spacing w:before="240"/>
              <w:rPr>
                <w:rFonts w:eastAsia="Times New Roman"/>
                <w:u w:val="single"/>
                <w:lang w:eastAsia="en-AU"/>
              </w:rPr>
            </w:pPr>
            <w:r w:rsidRPr="00EA394A">
              <w:rPr>
                <w:rFonts w:eastAsia="Times New Roman"/>
                <w:u w:val="single"/>
                <w:lang w:eastAsia="en-AU"/>
              </w:rPr>
              <w:t>Option 1 – Status Quo</w:t>
            </w:r>
          </w:p>
          <w:p w14:paraId="65CC2AB3" w14:textId="5EE71F35" w:rsidR="00EA394A" w:rsidRPr="00AF3875" w:rsidRDefault="00EA394A" w:rsidP="00EA394A">
            <w:pPr>
              <w:spacing w:before="100" w:beforeAutospacing="1" w:after="100" w:afterAutospacing="1"/>
              <w:rPr>
                <w:rFonts w:eastAsia="Times New Roman" w:cstheme="minorHAnsi"/>
                <w:szCs w:val="16"/>
                <w:lang w:eastAsia="en-AU"/>
              </w:rPr>
            </w:pPr>
            <w:r w:rsidRPr="00AF3875">
              <w:rPr>
                <w:rFonts w:eastAsia="Times New Roman" w:cstheme="minorHAnsi"/>
                <w:szCs w:val="16"/>
                <w:lang w:eastAsia="en-AU"/>
              </w:rPr>
              <w:t xml:space="preserve">Whilst there have not been any considerable issues reported from industry, none of the potential benefits of the proposed change would be achieved and the risks for misinterpretation or confusion from conflicting defined terms </w:t>
            </w:r>
            <w:r w:rsidR="00DD59CA" w:rsidRPr="00AF3875">
              <w:rPr>
                <w:rFonts w:eastAsia="Times New Roman" w:cstheme="minorHAnsi"/>
                <w:szCs w:val="16"/>
                <w:lang w:eastAsia="en-AU"/>
              </w:rPr>
              <w:t>would</w:t>
            </w:r>
            <w:r w:rsidRPr="00AF3875">
              <w:rPr>
                <w:rFonts w:eastAsia="Times New Roman" w:cstheme="minorHAnsi"/>
                <w:szCs w:val="16"/>
                <w:lang w:eastAsia="en-AU"/>
              </w:rPr>
              <w:t xml:space="preserve"> continue, as such there would be no benefits associated with this option. It is anticipated that there would be no costs associated with this option</w:t>
            </w:r>
            <w:r w:rsidR="00647937" w:rsidRPr="00AF3875">
              <w:rPr>
                <w:rFonts w:eastAsia="Times New Roman" w:cstheme="minorHAnsi"/>
                <w:szCs w:val="16"/>
                <w:lang w:eastAsia="en-AU"/>
              </w:rPr>
              <w:t xml:space="preserve"> as limited evidence of issues have been indicated.</w:t>
            </w:r>
            <w:r w:rsidRPr="00AF3875">
              <w:rPr>
                <w:rFonts w:eastAsia="Times New Roman" w:cstheme="minorHAnsi"/>
                <w:szCs w:val="16"/>
                <w:lang w:eastAsia="en-AU"/>
              </w:rPr>
              <w:t xml:space="preserve"> </w:t>
            </w:r>
          </w:p>
          <w:p w14:paraId="648F129B" w14:textId="77777777" w:rsidR="00EA394A" w:rsidRPr="00EA394A" w:rsidRDefault="00EA394A" w:rsidP="00EA394A">
            <w:pPr>
              <w:pStyle w:val="Subtitle"/>
              <w:rPr>
                <w:rFonts w:eastAsia="Times New Roman"/>
                <w:u w:val="single"/>
                <w:lang w:eastAsia="en-AU"/>
              </w:rPr>
            </w:pPr>
            <w:r w:rsidRPr="00EA394A">
              <w:rPr>
                <w:rFonts w:eastAsia="Times New Roman"/>
                <w:u w:val="single"/>
                <w:lang w:eastAsia="en-AU"/>
              </w:rPr>
              <w:t>Option 2 – Non-Regulatory Options</w:t>
            </w:r>
          </w:p>
          <w:p w14:paraId="76DCC599" w14:textId="6F5F4C56" w:rsidR="00EA394A" w:rsidRPr="00AF3875" w:rsidRDefault="00EA394A" w:rsidP="00EA394A">
            <w:pPr>
              <w:spacing w:before="100" w:beforeAutospacing="1" w:after="100" w:afterAutospacing="1"/>
              <w:rPr>
                <w:rFonts w:eastAsia="Times New Roman" w:cstheme="minorHAnsi"/>
                <w:szCs w:val="16"/>
                <w:lang w:eastAsia="en-AU"/>
              </w:rPr>
            </w:pPr>
            <w:r w:rsidRPr="00AF3875">
              <w:rPr>
                <w:rFonts w:eastAsia="Times New Roman" w:cstheme="minorHAnsi"/>
                <w:szCs w:val="16"/>
                <w:lang w:eastAsia="en-AU"/>
              </w:rPr>
              <w:t>These options would potentially see the potential for misint</w:t>
            </w:r>
            <w:r w:rsidR="005F1A48">
              <w:rPr>
                <w:rFonts w:eastAsia="Times New Roman" w:cstheme="minorHAnsi"/>
                <w:szCs w:val="16"/>
                <w:lang w:eastAsia="en-AU"/>
              </w:rPr>
              <w:t xml:space="preserve">erpretation of requirements which could lead to </w:t>
            </w:r>
            <w:r w:rsidRPr="00AF3875">
              <w:rPr>
                <w:rFonts w:eastAsia="Times New Roman" w:cstheme="minorHAnsi"/>
                <w:szCs w:val="16"/>
                <w:lang w:eastAsia="en-AU"/>
              </w:rPr>
              <w:t xml:space="preserve">non-compliance increase </w:t>
            </w:r>
            <w:r w:rsidR="00DD59CA" w:rsidRPr="00AF3875">
              <w:rPr>
                <w:rFonts w:eastAsia="Times New Roman" w:cstheme="minorHAnsi"/>
                <w:szCs w:val="16"/>
                <w:lang w:eastAsia="en-AU"/>
              </w:rPr>
              <w:t>through</w:t>
            </w:r>
            <w:r w:rsidRPr="00AF3875">
              <w:rPr>
                <w:rFonts w:eastAsia="Times New Roman" w:cstheme="minorHAnsi"/>
                <w:szCs w:val="16"/>
                <w:lang w:eastAsia="en-AU"/>
              </w:rPr>
              <w:t xml:space="preserve"> the creation of a separate location for </w:t>
            </w:r>
            <w:r w:rsidR="00DD59CA" w:rsidRPr="00AF3875">
              <w:rPr>
                <w:rFonts w:eastAsia="Times New Roman" w:cstheme="minorHAnsi"/>
                <w:szCs w:val="16"/>
                <w:lang w:eastAsia="en-AU"/>
              </w:rPr>
              <w:t>practitioners</w:t>
            </w:r>
            <w:r w:rsidRPr="00AF3875">
              <w:rPr>
                <w:rFonts w:eastAsia="Times New Roman" w:cstheme="minorHAnsi"/>
                <w:szCs w:val="16"/>
                <w:lang w:eastAsia="en-AU"/>
              </w:rPr>
              <w:t xml:space="preserve"> to source information to gain an accurate understanding of the intent of the provisions. </w:t>
            </w:r>
            <w:r w:rsidR="00647937" w:rsidRPr="00AF3875">
              <w:rPr>
                <w:rFonts w:eastAsia="Times New Roman" w:cstheme="minorHAnsi"/>
                <w:szCs w:val="16"/>
                <w:lang w:eastAsia="en-AU"/>
              </w:rPr>
              <w:t xml:space="preserve">There would be costs associated with the development of these options and additional costs to industry who would be required </w:t>
            </w:r>
            <w:r w:rsidR="00DD59CA" w:rsidRPr="00AF3875">
              <w:rPr>
                <w:rFonts w:eastAsia="Times New Roman" w:cstheme="minorHAnsi"/>
                <w:szCs w:val="16"/>
                <w:lang w:eastAsia="en-AU"/>
              </w:rPr>
              <w:t>to</w:t>
            </w:r>
            <w:r w:rsidR="00647937" w:rsidRPr="00AF3875">
              <w:rPr>
                <w:rFonts w:eastAsia="Times New Roman" w:cstheme="minorHAnsi"/>
                <w:szCs w:val="16"/>
                <w:lang w:eastAsia="en-AU"/>
              </w:rPr>
              <w:t xml:space="preserve"> purchase an additional document. It is considered that there would be limited benefits achieved through this option.</w:t>
            </w:r>
          </w:p>
          <w:p w14:paraId="17C07BAF" w14:textId="77777777" w:rsidR="00EA394A" w:rsidRPr="00EA394A" w:rsidRDefault="00EA394A" w:rsidP="00EA394A">
            <w:pPr>
              <w:pStyle w:val="Subtitle"/>
              <w:rPr>
                <w:rFonts w:eastAsia="Times New Roman"/>
                <w:u w:val="single"/>
                <w:lang w:eastAsia="en-AU"/>
              </w:rPr>
            </w:pPr>
            <w:r w:rsidRPr="00EA394A">
              <w:rPr>
                <w:rFonts w:eastAsia="Times New Roman"/>
                <w:u w:val="single"/>
                <w:lang w:eastAsia="en-AU"/>
              </w:rPr>
              <w:t>Option 3 – Revision of AS/NZS 3500.0</w:t>
            </w:r>
          </w:p>
          <w:p w14:paraId="6B9014BE" w14:textId="20579390" w:rsidR="00EA394A" w:rsidRPr="00AF3875" w:rsidRDefault="00647937" w:rsidP="00AF3875">
            <w:pPr>
              <w:spacing w:before="100" w:beforeAutospacing="1"/>
              <w:rPr>
                <w:rFonts w:eastAsia="Times New Roman" w:cstheme="minorHAnsi"/>
                <w:sz w:val="20"/>
                <w:szCs w:val="16"/>
                <w:lang w:eastAsia="en-AU"/>
              </w:rPr>
            </w:pPr>
            <w:r w:rsidRPr="00AF3875">
              <w:rPr>
                <w:rFonts w:eastAsia="Times New Roman" w:cstheme="minorHAnsi"/>
                <w:szCs w:val="16"/>
                <w:lang w:eastAsia="en-AU"/>
              </w:rPr>
              <w:t xml:space="preserve">This option </w:t>
            </w:r>
            <w:r w:rsidR="00FB4E62" w:rsidRPr="00AF3875">
              <w:rPr>
                <w:rFonts w:eastAsia="Times New Roman" w:cstheme="minorHAnsi"/>
                <w:szCs w:val="16"/>
                <w:lang w:eastAsia="en-AU"/>
              </w:rPr>
              <w:t xml:space="preserve">is considered to achieve the objectives outlined above. The costs associated with this option include the revision of the standard and that plumbing practitioners would be required to purchase the new standard once published. The impacts, whilst considered to be positive would require </w:t>
            </w:r>
            <w:r w:rsidR="00DD59CA" w:rsidRPr="00AF3875">
              <w:rPr>
                <w:rFonts w:eastAsia="Times New Roman" w:cstheme="minorHAnsi"/>
                <w:szCs w:val="16"/>
                <w:lang w:eastAsia="en-AU"/>
              </w:rPr>
              <w:t>industry</w:t>
            </w:r>
            <w:r w:rsidR="00FB4E62" w:rsidRPr="00AF3875">
              <w:rPr>
                <w:rFonts w:eastAsia="Times New Roman" w:cstheme="minorHAnsi"/>
                <w:szCs w:val="16"/>
                <w:lang w:eastAsia="en-AU"/>
              </w:rPr>
              <w:t xml:space="preserve"> to bec</w:t>
            </w:r>
            <w:r w:rsidR="00AF3875" w:rsidRPr="00AF3875">
              <w:rPr>
                <w:rFonts w:eastAsia="Times New Roman" w:cstheme="minorHAnsi"/>
                <w:szCs w:val="16"/>
                <w:lang w:eastAsia="en-AU"/>
              </w:rPr>
              <w:t xml:space="preserve">ome familiar with the new terms, however this is considered to be minimal due to the definitions being consolidated from existing documents such as product specifications. </w:t>
            </w:r>
          </w:p>
        </w:tc>
      </w:tr>
      <w:tr w:rsidR="00EA7FA2" w14:paraId="6B9014C2"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C1" w14:textId="30715A25" w:rsidR="00EA7FA2" w:rsidRPr="00AF3875" w:rsidRDefault="00AF3875">
            <w:pPr>
              <w:spacing w:before="120" w:after="12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TRANSITIONAL MEASURES</w:t>
            </w:r>
          </w:p>
        </w:tc>
      </w:tr>
      <w:tr w:rsidR="00EA7FA2" w14:paraId="6B9014C5"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4FE2DC6D" w14:textId="7144496C" w:rsidR="00EA7FA2" w:rsidRDefault="00AF3875" w:rsidP="00AF3875">
            <w:pPr>
              <w:spacing w:before="120" w:after="0"/>
              <w:rPr>
                <w:lang w:eastAsia="en-AU"/>
              </w:rPr>
            </w:pPr>
            <w:r>
              <w:rPr>
                <w:lang w:eastAsia="en-AU"/>
              </w:rPr>
              <w:t>No transition</w:t>
            </w:r>
            <w:r w:rsidR="005F1A48">
              <w:rPr>
                <w:lang w:eastAsia="en-AU"/>
              </w:rPr>
              <w:t>al</w:t>
            </w:r>
            <w:r>
              <w:rPr>
                <w:lang w:eastAsia="en-AU"/>
              </w:rPr>
              <w:t xml:space="preserve"> measure</w:t>
            </w:r>
            <w:r w:rsidR="005F1A48">
              <w:rPr>
                <w:lang w:eastAsia="en-AU"/>
              </w:rPr>
              <w:t>s</w:t>
            </w:r>
            <w:r>
              <w:rPr>
                <w:lang w:eastAsia="en-AU"/>
              </w:rPr>
              <w:t xml:space="preserve"> are considered </w:t>
            </w:r>
            <w:r w:rsidR="00DD59CA">
              <w:rPr>
                <w:lang w:eastAsia="en-AU"/>
              </w:rPr>
              <w:t>necessary</w:t>
            </w:r>
            <w:r>
              <w:rPr>
                <w:lang w:eastAsia="en-AU"/>
              </w:rPr>
              <w:t xml:space="preserve"> as the document would be intended to be published in late 2020 or early 2021</w:t>
            </w:r>
            <w:r w:rsidR="005F1A48">
              <w:rPr>
                <w:lang w:eastAsia="en-AU"/>
              </w:rPr>
              <w:t>,</w:t>
            </w:r>
            <w:r>
              <w:rPr>
                <w:lang w:eastAsia="en-AU"/>
              </w:rPr>
              <w:t xml:space="preserve"> however </w:t>
            </w:r>
            <w:r w:rsidR="005F1A48">
              <w:rPr>
                <w:lang w:eastAsia="en-AU"/>
              </w:rPr>
              <w:t xml:space="preserve">it will </w:t>
            </w:r>
            <w:r>
              <w:rPr>
                <w:lang w:eastAsia="en-AU"/>
              </w:rPr>
              <w:t xml:space="preserve">not </w:t>
            </w:r>
            <w:r w:rsidR="005F1A48">
              <w:rPr>
                <w:lang w:eastAsia="en-AU"/>
              </w:rPr>
              <w:t xml:space="preserve">be </w:t>
            </w:r>
            <w:bookmarkStart w:id="0" w:name="_GoBack"/>
            <w:bookmarkEnd w:id="0"/>
            <w:r>
              <w:rPr>
                <w:lang w:eastAsia="en-AU"/>
              </w:rPr>
              <w:t>referenced by the NCC until May 2022</w:t>
            </w:r>
            <w:r w:rsidR="005F1A48">
              <w:rPr>
                <w:lang w:eastAsia="en-AU"/>
              </w:rPr>
              <w:t xml:space="preserve"> when the NCC is adopted by the States and Territories</w:t>
            </w:r>
            <w:r>
              <w:rPr>
                <w:lang w:eastAsia="en-AU"/>
              </w:rPr>
              <w:t xml:space="preserve">. This would provide industry with sufficient time to become familiar with the new terms. </w:t>
            </w:r>
          </w:p>
          <w:p w14:paraId="6B9014C4" w14:textId="4F151382" w:rsidR="00802940" w:rsidRPr="00AF3875" w:rsidRDefault="00802940" w:rsidP="00AF3875">
            <w:pPr>
              <w:spacing w:before="120" w:after="0"/>
              <w:rPr>
                <w:rFonts w:ascii="Arial" w:eastAsia="Times New Roman" w:hAnsi="Arial" w:cs="Arial"/>
                <w:sz w:val="20"/>
                <w:szCs w:val="20"/>
                <w:lang w:eastAsia="en-AU"/>
              </w:rPr>
            </w:pPr>
            <w:r>
              <w:rPr>
                <w:lang w:eastAsia="en-AU"/>
              </w:rPr>
              <w:t xml:space="preserve">New </w:t>
            </w:r>
            <w:r w:rsidR="00DD59CA">
              <w:rPr>
                <w:lang w:eastAsia="en-AU"/>
              </w:rPr>
              <w:t>Zealand’s</w:t>
            </w:r>
            <w:r>
              <w:rPr>
                <w:lang w:eastAsia="en-AU"/>
              </w:rPr>
              <w:t xml:space="preserve"> </w:t>
            </w:r>
            <w:r w:rsidRPr="00080917">
              <w:rPr>
                <w:lang w:eastAsia="en-AU"/>
              </w:rPr>
              <w:t>Ministry of Business, Innovation and Employment consider that a transitions period for is not required for New Zealand.</w:t>
            </w:r>
            <w:r>
              <w:rPr>
                <w:rStyle w:val="st1"/>
                <w:rFonts w:ascii="Arial" w:hAnsi="Arial" w:cs="Arial"/>
                <w:color w:val="3C4043"/>
                <w:sz w:val="21"/>
                <w:szCs w:val="21"/>
              </w:rPr>
              <w:t xml:space="preserve"> </w:t>
            </w:r>
          </w:p>
        </w:tc>
      </w:tr>
      <w:tr w:rsidR="00EA7FA2" w14:paraId="6B9014C7"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C6" w14:textId="77777777" w:rsidR="00EA7FA2" w:rsidRDefault="00EA7FA2">
            <w:pPr>
              <w:spacing w:after="0"/>
              <w:rPr>
                <w:rFonts w:ascii="Arial" w:eastAsia="Times New Roman" w:hAnsi="Arial" w:cs="Arial"/>
                <w:sz w:val="12"/>
                <w:szCs w:val="12"/>
                <w:lang w:eastAsia="en-AU"/>
              </w:rPr>
            </w:pPr>
          </w:p>
        </w:tc>
      </w:tr>
      <w:tr w:rsidR="00EA7FA2" w14:paraId="6B9014C9"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C8" w14:textId="77777777" w:rsidR="00EA7FA2" w:rsidRDefault="00EA7FA2">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CONSULTATION:</w:t>
            </w:r>
          </w:p>
        </w:tc>
      </w:tr>
      <w:tr w:rsidR="00EA7FA2" w14:paraId="6B9014CD"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5566024D" w14:textId="105EFEAE" w:rsidR="00C90A9B" w:rsidRDefault="00C90A9B" w:rsidP="00AF3875">
            <w:pPr>
              <w:spacing w:before="120" w:after="0"/>
              <w:rPr>
                <w:lang w:eastAsia="en-AU"/>
              </w:rPr>
            </w:pPr>
            <w:r>
              <w:rPr>
                <w:lang w:eastAsia="en-AU"/>
              </w:rPr>
              <w:t>Direct c</w:t>
            </w:r>
            <w:r w:rsidR="00AF3875">
              <w:rPr>
                <w:lang w:eastAsia="en-AU"/>
              </w:rPr>
              <w:t>onsultation on the project proposal has occurred with the ABCB’s Plumbing Code Committee</w:t>
            </w:r>
            <w:r w:rsidR="00802940">
              <w:rPr>
                <w:lang w:eastAsia="en-AU"/>
              </w:rPr>
              <w:t xml:space="preserve"> </w:t>
            </w:r>
            <w:r>
              <w:rPr>
                <w:lang w:eastAsia="en-AU"/>
              </w:rPr>
              <w:t xml:space="preserve">and Standards </w:t>
            </w:r>
            <w:r w:rsidR="00DD59CA">
              <w:rPr>
                <w:lang w:eastAsia="en-AU"/>
              </w:rPr>
              <w:t>Australia’s</w:t>
            </w:r>
            <w:r>
              <w:rPr>
                <w:lang w:eastAsia="en-AU"/>
              </w:rPr>
              <w:t xml:space="preserve"> WS-014 committee in early 2018 who both provided support for the proposed revision with no additional feedback </w:t>
            </w:r>
            <w:r w:rsidR="00DD59CA">
              <w:rPr>
                <w:lang w:eastAsia="en-AU"/>
              </w:rPr>
              <w:t>received</w:t>
            </w:r>
            <w:r>
              <w:rPr>
                <w:lang w:eastAsia="en-AU"/>
              </w:rPr>
              <w:t>.</w:t>
            </w:r>
          </w:p>
          <w:p w14:paraId="22B9E280" w14:textId="588390E1" w:rsidR="00802940" w:rsidRDefault="00802940" w:rsidP="00AF3875">
            <w:pPr>
              <w:spacing w:before="120" w:after="0"/>
              <w:rPr>
                <w:lang w:eastAsia="en-AU"/>
              </w:rPr>
            </w:pPr>
            <w:r>
              <w:rPr>
                <w:lang w:eastAsia="en-AU"/>
              </w:rPr>
              <w:t xml:space="preserve">Note: New Zealand </w:t>
            </w:r>
            <w:r w:rsidRPr="005F1A48">
              <w:rPr>
                <w:lang w:eastAsia="en-AU"/>
              </w:rPr>
              <w:t xml:space="preserve">Ministry of Business, Innovation and Employment are observing members of the ABCB’s Plumbing Code Committee and participating members of Standards </w:t>
            </w:r>
            <w:r w:rsidR="00DD59CA" w:rsidRPr="005F1A48">
              <w:rPr>
                <w:lang w:eastAsia="en-AU"/>
              </w:rPr>
              <w:t>Australia’s</w:t>
            </w:r>
            <w:r w:rsidRPr="005F1A48">
              <w:rPr>
                <w:lang w:eastAsia="en-AU"/>
              </w:rPr>
              <w:t xml:space="preserve"> WS-014 committee which also includes a number of industry members from New Zealand. </w:t>
            </w:r>
          </w:p>
          <w:p w14:paraId="60425B26" w14:textId="590E0A8E" w:rsidR="00C90A9B" w:rsidRDefault="00C90A9B" w:rsidP="00C90A9B">
            <w:pPr>
              <w:spacing w:before="120" w:after="0"/>
              <w:rPr>
                <w:lang w:eastAsia="en-AU"/>
              </w:rPr>
            </w:pPr>
            <w:r>
              <w:rPr>
                <w:lang w:eastAsia="en-AU"/>
              </w:rPr>
              <w:t xml:space="preserve">In May 2019, the Plumbing Code Committee was again consulted to assist the Standards Australia’s WS-014 </w:t>
            </w:r>
            <w:r w:rsidR="005F1A48">
              <w:rPr>
                <w:lang w:eastAsia="en-AU"/>
              </w:rPr>
              <w:t>C</w:t>
            </w:r>
            <w:r>
              <w:rPr>
                <w:lang w:eastAsia="en-AU"/>
              </w:rPr>
              <w:t>ommittee with the review, requesting input to assist with:</w:t>
            </w:r>
          </w:p>
          <w:p w14:paraId="6CAFAB93" w14:textId="488CAA8B" w:rsidR="00C90A9B" w:rsidRDefault="00DD59CA" w:rsidP="00C90A9B">
            <w:pPr>
              <w:pStyle w:val="ListParagraph"/>
              <w:numPr>
                <w:ilvl w:val="0"/>
                <w:numId w:val="12"/>
              </w:numPr>
              <w:spacing w:before="120" w:after="0"/>
              <w:rPr>
                <w:lang w:eastAsia="en-AU"/>
              </w:rPr>
            </w:pPr>
            <w:r>
              <w:rPr>
                <w:lang w:eastAsia="en-AU"/>
              </w:rPr>
              <w:t>I</w:t>
            </w:r>
            <w:r w:rsidR="00C90A9B">
              <w:rPr>
                <w:lang w:eastAsia="en-AU"/>
              </w:rPr>
              <w:t xml:space="preserve">dentifying any commonly used terms (throughout the AS/NZS 3500 series) where additional definitions would provide greater clarity to users; and </w:t>
            </w:r>
          </w:p>
          <w:p w14:paraId="25512CD3" w14:textId="77EA3D02" w:rsidR="00AF3875" w:rsidRDefault="00DD59CA" w:rsidP="00C90A9B">
            <w:pPr>
              <w:pStyle w:val="ListParagraph"/>
              <w:numPr>
                <w:ilvl w:val="0"/>
                <w:numId w:val="12"/>
              </w:numPr>
              <w:spacing w:before="120" w:after="0"/>
              <w:rPr>
                <w:lang w:eastAsia="en-AU"/>
              </w:rPr>
            </w:pPr>
            <w:r>
              <w:rPr>
                <w:lang w:eastAsia="en-AU"/>
              </w:rPr>
              <w:t>Identifying</w:t>
            </w:r>
            <w:r w:rsidR="00C90A9B">
              <w:rPr>
                <w:lang w:eastAsia="en-AU"/>
              </w:rPr>
              <w:t xml:space="preserve"> any existing definitions currently contained within AS/NZS 3500.0:2003 which require review or amendment (including justification).</w:t>
            </w:r>
          </w:p>
          <w:p w14:paraId="6B9014CC" w14:textId="33F557EE" w:rsidR="00EA7FA2" w:rsidRPr="00C90A9B" w:rsidRDefault="00C90A9B" w:rsidP="005F1A48">
            <w:pPr>
              <w:spacing w:before="120"/>
              <w:rPr>
                <w:rFonts w:ascii="Arial" w:eastAsia="Times New Roman" w:hAnsi="Arial" w:cs="Arial"/>
                <w:sz w:val="20"/>
                <w:szCs w:val="20"/>
                <w:lang w:eastAsia="en-AU"/>
              </w:rPr>
            </w:pPr>
            <w:r>
              <w:rPr>
                <w:lang w:eastAsia="en-AU"/>
              </w:rPr>
              <w:t xml:space="preserve">Public consultation is expected to </w:t>
            </w:r>
            <w:r w:rsidR="00DD59CA">
              <w:rPr>
                <w:lang w:eastAsia="en-AU"/>
              </w:rPr>
              <w:t>occur</w:t>
            </w:r>
            <w:r w:rsidR="005F1A48">
              <w:rPr>
                <w:lang w:eastAsia="en-AU"/>
              </w:rPr>
              <w:t xml:space="preserve"> in early 2020</w:t>
            </w:r>
            <w:r>
              <w:rPr>
                <w:lang w:eastAsia="en-AU"/>
              </w:rPr>
              <w:t xml:space="preserve">. </w:t>
            </w:r>
          </w:p>
        </w:tc>
      </w:tr>
      <w:tr w:rsidR="00EA7FA2" w14:paraId="6B9014CF"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CE" w14:textId="77777777" w:rsidR="00EA7FA2" w:rsidRDefault="00EA7FA2">
            <w:pPr>
              <w:spacing w:after="0"/>
              <w:rPr>
                <w:rFonts w:ascii="Arial" w:eastAsia="Times New Roman" w:hAnsi="Arial" w:cs="Arial"/>
                <w:sz w:val="12"/>
                <w:szCs w:val="12"/>
                <w:lang w:eastAsia="en-AU"/>
              </w:rPr>
            </w:pPr>
          </w:p>
        </w:tc>
      </w:tr>
      <w:tr w:rsidR="00EA7FA2" w14:paraId="6B9014D1"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D0" w14:textId="77777777" w:rsidR="00EA7FA2" w:rsidRDefault="00EA7FA2">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CONCLUSION AND RECOMMENDED OPTION:</w:t>
            </w:r>
          </w:p>
        </w:tc>
      </w:tr>
      <w:tr w:rsidR="00EA7FA2" w14:paraId="6B9014D4"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D3" w14:textId="269476C6" w:rsidR="00EA7FA2" w:rsidRPr="0092435D" w:rsidRDefault="0092435D" w:rsidP="0092435D">
            <w:pPr>
              <w:spacing w:before="240"/>
              <w:rPr>
                <w:rFonts w:ascii="Arial" w:hAnsi="Arial" w:cs="Arial"/>
                <w:sz w:val="20"/>
                <w:szCs w:val="20"/>
                <w:lang w:eastAsia="en-AU"/>
              </w:rPr>
            </w:pPr>
            <w:r>
              <w:rPr>
                <w:lang w:eastAsia="en-AU"/>
              </w:rPr>
              <w:t xml:space="preserve">Option 3 is recommended as it is considered to provide the </w:t>
            </w:r>
            <w:r w:rsidR="00DD59CA">
              <w:rPr>
                <w:lang w:eastAsia="en-AU"/>
              </w:rPr>
              <w:t>greatest</w:t>
            </w:r>
            <w:r>
              <w:rPr>
                <w:lang w:eastAsia="en-AU"/>
              </w:rPr>
              <w:t xml:space="preserve"> benefits to industry. Whilst there has been limited evidence of a problem presented to support this change, the minimal costs associated with this option is greatly outweighed by the potential benefits which would be </w:t>
            </w:r>
            <w:r>
              <w:rPr>
                <w:lang w:eastAsia="en-AU"/>
              </w:rPr>
              <w:lastRenderedPageBreak/>
              <w:t xml:space="preserve">achieved by providing a clear and complete glossary to assist plumbing practitioners in interpreting the requirements of legislation, the NCC as well as product and installation standards. </w:t>
            </w:r>
          </w:p>
        </w:tc>
      </w:tr>
      <w:tr w:rsidR="00EA7FA2" w14:paraId="6B9014D6"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D5" w14:textId="77777777" w:rsidR="00EA7FA2" w:rsidRDefault="00EA7FA2">
            <w:pPr>
              <w:spacing w:after="0"/>
              <w:rPr>
                <w:rFonts w:ascii="Arial" w:eastAsia="Times New Roman" w:hAnsi="Arial" w:cs="Arial"/>
                <w:sz w:val="12"/>
                <w:szCs w:val="12"/>
                <w:lang w:eastAsia="en-AU"/>
              </w:rPr>
            </w:pPr>
          </w:p>
        </w:tc>
      </w:tr>
      <w:tr w:rsidR="00EA7FA2" w14:paraId="6B9014D8"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D7" w14:textId="77777777" w:rsidR="00EA7FA2" w:rsidRDefault="00EA7FA2">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IMPLEMENTATION AND REVIEW:</w:t>
            </w:r>
          </w:p>
        </w:tc>
      </w:tr>
      <w:tr w:rsidR="00EA7FA2" w14:paraId="6B9014DB"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585F12BF" w14:textId="7A02CA5A" w:rsidR="00EA7FA2" w:rsidRDefault="0092435D" w:rsidP="0092435D">
            <w:pPr>
              <w:spacing w:before="120" w:after="0"/>
              <w:rPr>
                <w:lang w:eastAsia="en-AU"/>
              </w:rPr>
            </w:pPr>
            <w:r>
              <w:rPr>
                <w:lang w:eastAsia="en-AU"/>
              </w:rPr>
              <w:t>T</w:t>
            </w:r>
            <w:r w:rsidRPr="0092435D">
              <w:rPr>
                <w:lang w:eastAsia="en-AU"/>
              </w:rPr>
              <w:t xml:space="preserve">he document </w:t>
            </w:r>
            <w:r>
              <w:rPr>
                <w:lang w:eastAsia="en-AU"/>
              </w:rPr>
              <w:t>is</w:t>
            </w:r>
            <w:r w:rsidRPr="0092435D">
              <w:rPr>
                <w:lang w:eastAsia="en-AU"/>
              </w:rPr>
              <w:t xml:space="preserve"> be intended to be published in late 2020 or early 2021, however </w:t>
            </w:r>
            <w:r w:rsidR="005F1A48">
              <w:rPr>
                <w:lang w:eastAsia="en-AU"/>
              </w:rPr>
              <w:t xml:space="preserve">it will </w:t>
            </w:r>
            <w:r w:rsidRPr="0092435D">
              <w:rPr>
                <w:lang w:eastAsia="en-AU"/>
              </w:rPr>
              <w:t xml:space="preserve">not </w:t>
            </w:r>
            <w:proofErr w:type="spellStart"/>
            <w:r w:rsidR="005F1A48">
              <w:rPr>
                <w:lang w:eastAsia="en-AU"/>
              </w:rPr>
              <w:t>be</w:t>
            </w:r>
            <w:r w:rsidRPr="0092435D">
              <w:rPr>
                <w:lang w:eastAsia="en-AU"/>
              </w:rPr>
              <w:t>referenced</w:t>
            </w:r>
            <w:proofErr w:type="spellEnd"/>
            <w:r w:rsidRPr="0092435D">
              <w:rPr>
                <w:lang w:eastAsia="en-AU"/>
              </w:rPr>
              <w:t xml:space="preserve"> by the NCC until May 2022</w:t>
            </w:r>
            <w:r w:rsidR="005F1A48">
              <w:rPr>
                <w:lang w:eastAsia="en-AU"/>
              </w:rPr>
              <w:t xml:space="preserve"> when adopted by the States and Territories</w:t>
            </w:r>
            <w:r w:rsidRPr="0092435D">
              <w:rPr>
                <w:lang w:eastAsia="en-AU"/>
              </w:rPr>
              <w:t>. This would provide industry with sufficient time to become familiar with the new terms.</w:t>
            </w:r>
          </w:p>
          <w:p w14:paraId="6B9014DA" w14:textId="7BF3311A" w:rsidR="00802940" w:rsidRPr="0092435D" w:rsidRDefault="00802940" w:rsidP="00802940">
            <w:pPr>
              <w:spacing w:before="120" w:after="0"/>
              <w:rPr>
                <w:rFonts w:ascii="Arial" w:hAnsi="Arial" w:cs="Arial"/>
                <w:sz w:val="20"/>
                <w:szCs w:val="20"/>
                <w:lang w:eastAsia="en-AU"/>
              </w:rPr>
            </w:pPr>
          </w:p>
        </w:tc>
      </w:tr>
      <w:tr w:rsidR="00EA7FA2" w14:paraId="6B9014DD" w14:textId="77777777" w:rsidTr="00EA7FA2">
        <w:tc>
          <w:tcPr>
            <w:tcW w:w="9016" w:type="dxa"/>
            <w:gridSpan w:val="4"/>
            <w:tcBorders>
              <w:top w:val="single" w:sz="4" w:space="0" w:color="auto"/>
              <w:left w:val="single" w:sz="4" w:space="0" w:color="auto"/>
              <w:bottom w:val="single" w:sz="4" w:space="0" w:color="auto"/>
              <w:right w:val="single" w:sz="4" w:space="0" w:color="auto"/>
            </w:tcBorders>
            <w:shd w:val="clear" w:color="auto" w:fill="E6E6E6"/>
          </w:tcPr>
          <w:p w14:paraId="6B9014DC" w14:textId="77777777" w:rsidR="00EA7FA2" w:rsidRDefault="00EA7FA2">
            <w:pPr>
              <w:spacing w:after="0"/>
              <w:rPr>
                <w:rFonts w:ascii="Arial" w:eastAsia="Times New Roman" w:hAnsi="Arial" w:cs="Arial"/>
                <w:sz w:val="12"/>
                <w:szCs w:val="12"/>
                <w:lang w:eastAsia="en-AU"/>
              </w:rPr>
            </w:pPr>
          </w:p>
        </w:tc>
      </w:tr>
      <w:tr w:rsidR="00EA7FA2" w14:paraId="6B9014E0" w14:textId="77777777" w:rsidTr="00EA7FA2">
        <w:tc>
          <w:tcPr>
            <w:tcW w:w="9016" w:type="dxa"/>
            <w:gridSpan w:val="4"/>
            <w:tcBorders>
              <w:top w:val="single" w:sz="4" w:space="0" w:color="auto"/>
              <w:left w:val="single" w:sz="4" w:space="0" w:color="auto"/>
              <w:bottom w:val="single" w:sz="4" w:space="0" w:color="auto"/>
              <w:right w:val="single" w:sz="4" w:space="0" w:color="auto"/>
            </w:tcBorders>
            <w:hideMark/>
          </w:tcPr>
          <w:p w14:paraId="6B9014DF" w14:textId="7CCBED97" w:rsidR="00EA7FA2" w:rsidRPr="00080917" w:rsidRDefault="00EA7FA2" w:rsidP="00080917">
            <w:pPr>
              <w:spacing w:before="120" w:after="120"/>
              <w:rPr>
                <w:rFonts w:ascii="Arial" w:eastAsia="Times New Roman" w:hAnsi="Arial" w:cs="Arial"/>
                <w:b/>
                <w:sz w:val="24"/>
                <w:szCs w:val="20"/>
                <w:lang w:eastAsia="en-AU"/>
              </w:rPr>
            </w:pPr>
            <w:r>
              <w:rPr>
                <w:rFonts w:ascii="Arial" w:eastAsia="Times New Roman" w:hAnsi="Arial" w:cs="Arial"/>
                <w:b/>
                <w:sz w:val="24"/>
                <w:szCs w:val="20"/>
                <w:lang w:eastAsia="en-AU"/>
              </w:rPr>
              <w:t>LIST OF ATTACHMENTS:</w:t>
            </w:r>
          </w:p>
        </w:tc>
      </w:tr>
      <w:tr w:rsidR="00EA7FA2" w14:paraId="6B9014E2" w14:textId="77777777" w:rsidTr="00EA7FA2">
        <w:tc>
          <w:tcPr>
            <w:tcW w:w="9016" w:type="dxa"/>
            <w:gridSpan w:val="4"/>
            <w:tcBorders>
              <w:top w:val="single" w:sz="4" w:space="0" w:color="auto"/>
              <w:left w:val="single" w:sz="4" w:space="0" w:color="auto"/>
              <w:bottom w:val="single" w:sz="4" w:space="0" w:color="auto"/>
              <w:right w:val="single" w:sz="4" w:space="0" w:color="auto"/>
            </w:tcBorders>
          </w:tcPr>
          <w:p w14:paraId="6B9014E1" w14:textId="3E419D70" w:rsidR="00EA7FA2" w:rsidRDefault="00080917">
            <w:pPr>
              <w:spacing w:after="0"/>
              <w:rPr>
                <w:rFonts w:ascii="Arial" w:eastAsia="Times New Roman" w:hAnsi="Arial" w:cs="Arial"/>
                <w:sz w:val="24"/>
                <w:szCs w:val="20"/>
                <w:lang w:eastAsia="en-AU"/>
              </w:rPr>
            </w:pPr>
            <w:r>
              <w:rPr>
                <w:rFonts w:ascii="Arial" w:eastAsia="Times New Roman" w:hAnsi="Arial" w:cs="Arial"/>
                <w:sz w:val="20"/>
                <w:szCs w:val="16"/>
                <w:lang w:eastAsia="en-AU"/>
              </w:rPr>
              <w:t>No supporting documents required.</w:t>
            </w:r>
          </w:p>
        </w:tc>
      </w:tr>
    </w:tbl>
    <w:p w14:paraId="6B9014E3" w14:textId="77777777" w:rsidR="00EA7FA2" w:rsidRDefault="00EA7FA2" w:rsidP="00EA7FA2">
      <w:pPr>
        <w:pStyle w:val="ListParagraph"/>
        <w:spacing w:after="0"/>
        <w:rPr>
          <w:rFonts w:ascii="Arial" w:eastAsia="Times New Roman" w:hAnsi="Arial" w:cs="Arial"/>
          <w:lang w:eastAsia="en-AU"/>
        </w:rPr>
      </w:pPr>
      <w:bookmarkStart w:id="1" w:name="_Toc406581732"/>
      <w:bookmarkStart w:id="2" w:name="_Toc418507176"/>
      <w:bookmarkEnd w:id="1"/>
      <w:bookmarkEnd w:id="2"/>
    </w:p>
    <w:p w14:paraId="6B90154B" w14:textId="77777777" w:rsidR="00D45527" w:rsidRPr="00EA7FA2" w:rsidRDefault="00D45527" w:rsidP="00EA7FA2"/>
    <w:sectPr w:rsidR="00D45527" w:rsidRPr="00EA7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EEA"/>
    <w:multiLevelType w:val="hybridMultilevel"/>
    <w:tmpl w:val="EC46FFF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991214"/>
    <w:multiLevelType w:val="hybridMultilevel"/>
    <w:tmpl w:val="7DD026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C460A1"/>
    <w:multiLevelType w:val="hybridMultilevel"/>
    <w:tmpl w:val="B4828B78"/>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1D82FB2"/>
    <w:multiLevelType w:val="hybridMultilevel"/>
    <w:tmpl w:val="FBFCBB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4C0E3C"/>
    <w:multiLevelType w:val="hybridMultilevel"/>
    <w:tmpl w:val="69647C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32605"/>
    <w:multiLevelType w:val="hybridMultilevel"/>
    <w:tmpl w:val="A2869D76"/>
    <w:lvl w:ilvl="0" w:tplc="33165488">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C622915"/>
    <w:multiLevelType w:val="hybridMultilevel"/>
    <w:tmpl w:val="5C4899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263B4D"/>
    <w:multiLevelType w:val="hybridMultilevel"/>
    <w:tmpl w:val="0C824F48"/>
    <w:lvl w:ilvl="0" w:tplc="F38E1FE6">
      <w:start w:val="1"/>
      <w:numFmt w:val="bullet"/>
      <w:lvlText w:val=""/>
      <w:lvlJc w:val="left"/>
      <w:pPr>
        <w:ind w:left="720" w:hanging="360"/>
      </w:pPr>
      <w:rPr>
        <w:rFonts w:ascii="Wingdings" w:hAnsi="Wingdings" w:hint="default"/>
        <w:sz w:val="20"/>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CE33619"/>
    <w:multiLevelType w:val="hybridMultilevel"/>
    <w:tmpl w:val="3B46509A"/>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64FC764F"/>
    <w:multiLevelType w:val="hybridMultilevel"/>
    <w:tmpl w:val="F1CCDA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8DE2EDF"/>
    <w:multiLevelType w:val="hybridMultilevel"/>
    <w:tmpl w:val="CCBE21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00442F"/>
    <w:multiLevelType w:val="hybridMultilevel"/>
    <w:tmpl w:val="80F80A30"/>
    <w:lvl w:ilvl="0" w:tplc="2C6EF966">
      <w:numFmt w:val="bullet"/>
      <w:lvlText w:val="•"/>
      <w:lvlJc w:val="left"/>
      <w:pPr>
        <w:ind w:left="1110" w:hanging="75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5"/>
  </w:num>
  <w:num w:numId="6">
    <w:abstractNumId w:val="7"/>
  </w:num>
  <w:num w:numId="7">
    <w:abstractNumId w:val="1"/>
  </w:num>
  <w:num w:numId="8">
    <w:abstractNumId w:val="8"/>
  </w:num>
  <w:num w:numId="9">
    <w:abstractNumId w:val="2"/>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A2"/>
    <w:rsid w:val="00030B18"/>
    <w:rsid w:val="00080917"/>
    <w:rsid w:val="001D6CEB"/>
    <w:rsid w:val="005F1A48"/>
    <w:rsid w:val="00647937"/>
    <w:rsid w:val="00802940"/>
    <w:rsid w:val="0092435D"/>
    <w:rsid w:val="00962369"/>
    <w:rsid w:val="009E6C66"/>
    <w:rsid w:val="00A94095"/>
    <w:rsid w:val="00AF3875"/>
    <w:rsid w:val="00C90A9B"/>
    <w:rsid w:val="00D45527"/>
    <w:rsid w:val="00DD59CA"/>
    <w:rsid w:val="00EA394A"/>
    <w:rsid w:val="00EA7FA2"/>
    <w:rsid w:val="00FB4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146A"/>
  <w15:chartTrackingRefBased/>
  <w15:docId w15:val="{B957B9AA-6050-462A-BD17-5E53E21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A2"/>
    <w:pPr>
      <w:spacing w:after="200" w:line="276" w:lineRule="auto"/>
    </w:pPr>
  </w:style>
  <w:style w:type="paragraph" w:styleId="Heading1">
    <w:name w:val="heading 1"/>
    <w:basedOn w:val="Normal"/>
    <w:next w:val="Normal"/>
    <w:link w:val="Heading1Char"/>
    <w:qFormat/>
    <w:rsid w:val="00EA7FA2"/>
    <w:pPr>
      <w:keepNext/>
      <w:keepLines/>
      <w:spacing w:before="480" w:after="0"/>
      <w:outlineLvl w:val="0"/>
    </w:pPr>
    <w:rPr>
      <w:rFonts w:eastAsiaTheme="majorEastAsia" w:cstheme="majorBidi"/>
      <w:b/>
      <w:bCs/>
      <w:color w:val="2E74B5"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FA2"/>
    <w:rPr>
      <w:rFonts w:eastAsiaTheme="majorEastAsia" w:cstheme="majorBidi"/>
      <w:b/>
      <w:bCs/>
      <w:color w:val="2E74B5" w:themeColor="accent1" w:themeShade="BF"/>
      <w:sz w:val="32"/>
      <w:szCs w:val="28"/>
    </w:rPr>
  </w:style>
  <w:style w:type="character" w:styleId="Hyperlink">
    <w:name w:val="Hyperlink"/>
    <w:basedOn w:val="DefaultParagraphFont"/>
    <w:uiPriority w:val="99"/>
    <w:semiHidden/>
    <w:unhideWhenUsed/>
    <w:rsid w:val="00EA7FA2"/>
    <w:rPr>
      <w:color w:val="0563C1" w:themeColor="hyperlink"/>
      <w:u w:val="single"/>
    </w:rPr>
  </w:style>
  <w:style w:type="paragraph" w:styleId="ListParagraph">
    <w:name w:val="List Paragraph"/>
    <w:basedOn w:val="Normal"/>
    <w:uiPriority w:val="34"/>
    <w:qFormat/>
    <w:rsid w:val="00EA7FA2"/>
    <w:pPr>
      <w:ind w:left="720"/>
      <w:contextualSpacing/>
    </w:pPr>
  </w:style>
  <w:style w:type="paragraph" w:styleId="Subtitle">
    <w:name w:val="Subtitle"/>
    <w:basedOn w:val="Normal"/>
    <w:next w:val="Normal"/>
    <w:link w:val="SubtitleChar"/>
    <w:uiPriority w:val="11"/>
    <w:qFormat/>
    <w:rsid w:val="009E6C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6C6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02940"/>
    <w:rPr>
      <w:sz w:val="16"/>
      <w:szCs w:val="16"/>
    </w:rPr>
  </w:style>
  <w:style w:type="paragraph" w:styleId="CommentText">
    <w:name w:val="annotation text"/>
    <w:basedOn w:val="Normal"/>
    <w:link w:val="CommentTextChar"/>
    <w:uiPriority w:val="99"/>
    <w:semiHidden/>
    <w:unhideWhenUsed/>
    <w:rsid w:val="00802940"/>
    <w:pPr>
      <w:spacing w:line="240" w:lineRule="auto"/>
    </w:pPr>
    <w:rPr>
      <w:sz w:val="20"/>
      <w:szCs w:val="20"/>
    </w:rPr>
  </w:style>
  <w:style w:type="character" w:customStyle="1" w:styleId="CommentTextChar">
    <w:name w:val="Comment Text Char"/>
    <w:basedOn w:val="DefaultParagraphFont"/>
    <w:link w:val="CommentText"/>
    <w:uiPriority w:val="99"/>
    <w:semiHidden/>
    <w:rsid w:val="00802940"/>
    <w:rPr>
      <w:sz w:val="20"/>
      <w:szCs w:val="20"/>
    </w:rPr>
  </w:style>
  <w:style w:type="paragraph" w:styleId="CommentSubject">
    <w:name w:val="annotation subject"/>
    <w:basedOn w:val="CommentText"/>
    <w:next w:val="CommentText"/>
    <w:link w:val="CommentSubjectChar"/>
    <w:uiPriority w:val="99"/>
    <w:semiHidden/>
    <w:unhideWhenUsed/>
    <w:rsid w:val="00802940"/>
    <w:rPr>
      <w:b/>
      <w:bCs/>
    </w:rPr>
  </w:style>
  <w:style w:type="character" w:customStyle="1" w:styleId="CommentSubjectChar">
    <w:name w:val="Comment Subject Char"/>
    <w:basedOn w:val="CommentTextChar"/>
    <w:link w:val="CommentSubject"/>
    <w:uiPriority w:val="99"/>
    <w:semiHidden/>
    <w:rsid w:val="00802940"/>
    <w:rPr>
      <w:b/>
      <w:bCs/>
      <w:sz w:val="20"/>
      <w:szCs w:val="20"/>
    </w:rPr>
  </w:style>
  <w:style w:type="paragraph" w:styleId="BalloonText">
    <w:name w:val="Balloon Text"/>
    <w:basedOn w:val="Normal"/>
    <w:link w:val="BalloonTextChar"/>
    <w:uiPriority w:val="99"/>
    <w:semiHidden/>
    <w:unhideWhenUsed/>
    <w:rsid w:val="0080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40"/>
    <w:rPr>
      <w:rFonts w:ascii="Segoe UI" w:hAnsi="Segoe UI" w:cs="Segoe UI"/>
      <w:sz w:val="18"/>
      <w:szCs w:val="18"/>
    </w:rPr>
  </w:style>
  <w:style w:type="character" w:styleId="Emphasis">
    <w:name w:val="Emphasis"/>
    <w:basedOn w:val="DefaultParagraphFont"/>
    <w:uiPriority w:val="20"/>
    <w:qFormat/>
    <w:rsid w:val="00802940"/>
    <w:rPr>
      <w:b/>
      <w:bCs/>
      <w:i w:val="0"/>
      <w:iCs w:val="0"/>
    </w:rPr>
  </w:style>
  <w:style w:type="character" w:customStyle="1" w:styleId="st1">
    <w:name w:val="st1"/>
    <w:basedOn w:val="DefaultParagraphFont"/>
    <w:rsid w:val="0080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0824">
      <w:bodyDiv w:val="1"/>
      <w:marLeft w:val="0"/>
      <w:marRight w:val="0"/>
      <w:marTop w:val="0"/>
      <w:marBottom w:val="0"/>
      <w:divBdr>
        <w:top w:val="none" w:sz="0" w:space="0" w:color="auto"/>
        <w:left w:val="none" w:sz="0" w:space="0" w:color="auto"/>
        <w:bottom w:val="none" w:sz="0" w:space="0" w:color="auto"/>
        <w:right w:val="none" w:sz="0" w:space="0" w:color="auto"/>
      </w:divBdr>
    </w:div>
    <w:div w:id="17661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764B2220A194589CA5AB74E08B639" ma:contentTypeVersion="24" ma:contentTypeDescription="Create a new document." ma:contentTypeScope="" ma:versionID="b2e9f6257015787d69d8f6e8b05f9e17">
  <xsd:schema xmlns:xsd="http://www.w3.org/2001/XMLSchema" xmlns:xs="http://www.w3.org/2001/XMLSchema" xmlns:p="http://schemas.microsoft.com/office/2006/metadata/properties" xmlns:ns1="http://schemas.microsoft.com/sharepoint/v3" xmlns:ns2="d064c82f-d8ab-4a3d-94af-5f326bc58d2d" xmlns:ns3="http://schemas.microsoft.com/sharepoint/v4" targetNamespace="http://schemas.microsoft.com/office/2006/metadata/properties" ma:root="true" ma:fieldsID="4dc09adae106e79cdd54a8eb36db8561" ns1:_="" ns2:_="" ns3:_="">
    <xsd:import namespace="http://schemas.microsoft.com/sharepoint/v3"/>
    <xsd:import namespace="d064c82f-d8ab-4a3d-94af-5f326bc58d2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a8cbdc30865240b1b552d48b6416be9e" minOccurs="0"/>
                <xsd:element ref="ns2:ob9bf7d525db49df8c54ead8ba5c6b7d" minOccurs="0"/>
                <xsd:element ref="ns2:ff18eb4157f24cf8824d8741e29d0e19" minOccurs="0"/>
                <xsd:element ref="ns2:SharedWithUsers" minOccurs="0"/>
                <xsd:element ref="ns3:IconOverlay" minOccurs="0"/>
                <xsd:element ref="ns2:j9e2993e4cb9424586286097758e020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a8cbdc30865240b1b552d48b6416be9e" ma:index="24" nillable="true" ma:taxonomy="true" ma:internalName="a8cbdc30865240b1b552d48b6416be9e" ma:taxonomyFieldName="DocHub_Committee" ma:displayName="Committee" ma:indexed="true" ma:fieldId="{a8cbdc30-8652-40b1-b552-d48b6416be9e}" ma:sspId="fb0313f7-9433-48c0-866e-9e0bbee59a50" ma:termSetId="274874ce-d7d9-4686-8971-6c7c49eb5a57" ma:anchorId="00000000-0000-0000-0000-000000000000" ma:open="true" ma:isKeyword="false">
      <xsd:complexType>
        <xsd:sequence>
          <xsd:element ref="pc:Terms" minOccurs="0" maxOccurs="1"/>
        </xsd:sequence>
      </xsd:complexType>
    </xsd:element>
    <xsd:element name="ob9bf7d525db49df8c54ead8ba5c6b7d" ma:index="26" nillable="true" ma:taxonomy="true" ma:internalName="ob9bf7d525db49df8c54ead8ba5c6b7d" ma:taxonomyFieldName="DocHub_Designation" ma:displayName="Designation" ma:indexed="true" ma:fieldId="{8b9bf7d5-25db-49df-8c54-ead8ba5c6b7d}" ma:sspId="fb0313f7-9433-48c0-866e-9e0bbee59a50" ma:termSetId="430ad79c-9243-4a35-9376-e9ff86a0a481" ma:anchorId="00000000-0000-0000-0000-000000000000" ma:open="true" ma:isKeyword="false">
      <xsd:complexType>
        <xsd:sequence>
          <xsd:element ref="pc:Terms" minOccurs="0" maxOccurs="1"/>
        </xsd:sequence>
      </xsd:complexType>
    </xsd:element>
    <xsd:element name="ff18eb4157f24cf8824d8741e29d0e19" ma:index="28" nillable="true" ma:taxonomy="true" ma:internalName="ff18eb4157f24cf8824d8741e29d0e19" ma:taxonomyFieldName="DocHub_DocumentLifecycle" ma:displayName="Document Lifecycle" ma:indexed="true" ma:fieldId="{ff18eb41-57f2-4cf8-824d-8741e29d0e19}" ma:sspId="fb0313f7-9433-48c0-866e-9e0bbee59a50" ma:termSetId="1c93c2ce-5151-4e66-9c7b-260db01b1166" ma:anchorId="00000000-0000-0000-0000-000000000000" ma:open="false" ma:isKeyword="false">
      <xsd:complexType>
        <xsd:sequence>
          <xsd:element ref="pc:Terms" minOccurs="0" maxOccurs="1"/>
        </xsd:sequence>
      </xsd:complex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9e2993e4cb9424586286097758e020c" ma:index="33" nillable="true" ma:taxonomy="true" ma:internalName="j9e2993e4cb9424586286097758e020c" ma:taxonomyFieldName="DocHub_NCCProjectNumber" ma:displayName="Project Number" ma:indexed="true" ma:default="" ma:fieldId="{39e2993e-4cb9-4245-8628-6097758e020c}" ma:sspId="fb0313f7-9433-48c0-866e-9e0bbee59a50" ma:termSetId="a0a81fa5-c531-4bc0-a12d-b6004dcdd9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adb9bed2e36e4a93af574aeb444da63e xmlns="d064c82f-d8ab-4a3d-94af-5f326bc58d2d">
      <Terms xmlns="http://schemas.microsoft.com/office/infopath/2007/PartnerControls">
        <TermInfo xmlns="http://schemas.microsoft.com/office/infopath/2007/PartnerControls">
          <TermName xmlns="http://schemas.microsoft.com/office/infopath/2007/PartnerControls">PIA</TermName>
          <TermId xmlns="http://schemas.microsoft.com/office/infopath/2007/PartnerControls">02b08006-e2e5-4e83-a88a-210a47581466</TermId>
        </TermInfo>
        <TermInfo xmlns="http://schemas.microsoft.com/office/infopath/2007/PartnerControls">
          <TermName xmlns="http://schemas.microsoft.com/office/infopath/2007/PartnerControls">Plumbing ＆ drainage</TermName>
          <TermId xmlns="http://schemas.microsoft.com/office/infopath/2007/PartnerControls">a622a6cc-dbd3-4e23-89ac-bb948f8e6d96</TermId>
        </TermInfo>
        <TermInfo xmlns="http://schemas.microsoft.com/office/infopath/2007/PartnerControls">
          <TermName xmlns="http://schemas.microsoft.com/office/infopath/2007/PartnerControls">Volume Three</TermName>
          <TermId xmlns="http://schemas.microsoft.com/office/infopath/2007/PartnerControls">f7d1fd04-d367-4652-a697-98e91ad2eeb7</TermId>
        </TermInfo>
      </Terms>
    </adb9bed2e36e4a93af574aeb444da63e>
    <aa25a1a23adf4c92a153145de6afe324 xmlns="d064c82f-d8ab-4a3d-94af-5f326bc58d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d064c82f-d8ab-4a3d-94af-5f326bc58d2d">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48c54089-4c01-49cb-b266-0173afb66157</TermId>
        </TermInfo>
      </Terms>
    </pe2555c81638466f9eb614edb9ecde52>
    <g7bcb40ba23249a78edca7d43a67c1c9 xmlns="d064c82f-d8ab-4a3d-94af-5f326bc58d2d">
      <Terms xmlns="http://schemas.microsoft.com/office/infopath/2007/PartnerControls">
        <TermInfo xmlns="http://schemas.microsoft.com/office/infopath/2007/PartnerControls">
          <TermName xmlns="http://schemas.microsoft.com/office/infopath/2007/PartnerControls">Standards Development</TermName>
          <TermId xmlns="http://schemas.microsoft.com/office/infopath/2007/PartnerControls">759741a6-c1d2-4d29-8a60-2af0dd2a4b4e</TermId>
        </TermInfo>
      </Terms>
    </g7bcb40ba23249a78edca7d43a67c1c9>
    <TaxCatchAll xmlns="d064c82f-d8ab-4a3d-94af-5f326bc58d2d">
      <Value>14</Value>
      <Value>13</Value>
      <Value>196</Value>
      <Value>1135</Value>
      <Value>1458</Value>
      <Value>1094</Value>
      <Value>259</Value>
      <Value>3</Value>
      <Value>70</Value>
      <Value>732</Value>
      <Value>918</Value>
    </TaxCatchAll>
    <Comments xmlns="http://schemas.microsoft.com/sharepoint/v3" xsi:nil="true"/>
    <_dlc_DocId xmlns="d064c82f-d8ab-4a3d-94af-5f326bc58d2d">WUYEHK7WH6H4-2030255797-1654</_dlc_DocId>
    <_dlc_DocIdUrl xmlns="d064c82f-d8ab-4a3d-94af-5f326bc58d2d">
      <Url>https://dochub/div/australianbuildingcodesboard/businessfunctions/nccdevelopment/committeemgmt/_layouts/15/DocIdRedir.aspx?ID=WUYEHK7WH6H4-2030255797-1654</Url>
      <Description>WUYEHK7WH6H4-2030255797-1654</Description>
    </_dlc_DocIdUrl>
    <IconOverlay xmlns="http://schemas.microsoft.com/sharepoint/v4" xsi:nil="true"/>
    <ff18eb4157f24cf8824d8741e29d0e19 xmlns="d064c82f-d8ab-4a3d-94af-5f326bc58d2d">
      <Terms xmlns="http://schemas.microsoft.com/office/infopath/2007/PartnerControls">
        <TermInfo xmlns="http://schemas.microsoft.com/office/infopath/2007/PartnerControls">
          <TermName xmlns="http://schemas.microsoft.com/office/infopath/2007/PartnerControls">Drafting</TermName>
          <TermId xmlns="http://schemas.microsoft.com/office/infopath/2007/PartnerControls">50bced8c-0567-49ab-81a0-bb019ce4ad1f</TermId>
        </TermInfo>
      </Terms>
    </ff18eb4157f24cf8824d8741e29d0e19>
    <ob9bf7d525db49df8c54ead8ba5c6b7d xmlns="d064c82f-d8ab-4a3d-94af-5f326bc58d2d">
      <Terms xmlns="http://schemas.microsoft.com/office/infopath/2007/PartnerControls">
        <TermInfo xmlns="http://schemas.microsoft.com/office/infopath/2007/PartnerControls">
          <TermName xmlns="http://schemas.microsoft.com/office/infopath/2007/PartnerControls">AS/NZS 3500.0</TermName>
          <TermId xmlns="http://schemas.microsoft.com/office/infopath/2007/PartnerControls">4fe74d12-b5c5-4db4-9f0a-459c593c12a1</TermId>
        </TermInfo>
      </Terms>
    </ob9bf7d525db49df8c54ead8ba5c6b7d>
    <j9e2993e4cb9424586286097758e020c xmlns="d064c82f-d8ab-4a3d-94af-5f326bc58d2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de5eb84c-cfa5-4558-bf86-0bfe3d7c4905</TermId>
        </TermInfo>
      </Terms>
    </j9e2993e4cb9424586286097758e020c>
    <a8cbdc30865240b1b552d48b6416be9e xmlns="d064c82f-d8ab-4a3d-94af-5f326bc58d2d">
      <Terms xmlns="http://schemas.microsoft.com/office/infopath/2007/PartnerControls">
        <TermInfo xmlns="http://schemas.microsoft.com/office/infopath/2007/PartnerControls">
          <TermName xmlns="http://schemas.microsoft.com/office/infopath/2007/PartnerControls">WS-014</TermName>
          <TermId xmlns="http://schemas.microsoft.com/office/infopath/2007/PartnerControls">5d233df6-5c74-47b6-8567-fb9b6e6308fd</TermId>
        </TermInfo>
      </Terms>
    </a8cbdc30865240b1b552d48b6416be9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E081-666A-4753-BBC0-EB4CC6E28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AFE6C-E8EC-486E-BDAA-FA2B99512E8B}">
  <ds:schemaRefs>
    <ds:schemaRef ds:uri="http://schemas.microsoft.com/sharepoint/v3/contenttype/forms"/>
  </ds:schemaRefs>
</ds:datastoreItem>
</file>

<file path=customXml/itemProps3.xml><?xml version="1.0" encoding="utf-8"?>
<ds:datastoreItem xmlns:ds="http://schemas.openxmlformats.org/officeDocument/2006/customXml" ds:itemID="{A227DB4F-2CC7-461C-B4C9-0A472531975C}">
  <ds:schemaRefs>
    <ds:schemaRef ds:uri="http://schemas.microsoft.com/sharepoint/events"/>
  </ds:schemaRefs>
</ds:datastoreItem>
</file>

<file path=customXml/itemProps4.xml><?xml version="1.0" encoding="utf-8"?>
<ds:datastoreItem xmlns:ds="http://schemas.openxmlformats.org/officeDocument/2006/customXml" ds:itemID="{D44DD13C-3C55-4DB8-9795-39BCDB4C9E55}">
  <ds:schemaRefs>
    <ds:schemaRef ds:uri="http://purl.org/dc/elements/1.1/"/>
    <ds:schemaRef ds:uri="http://schemas.microsoft.com/office/2006/metadata/properties"/>
    <ds:schemaRef ds:uri="http://schemas.microsoft.com/sharepoint/v4"/>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064c82f-d8ab-4a3d-94af-5f326bc58d2d"/>
    <ds:schemaRef ds:uri="http://www.w3.org/XML/1998/namespace"/>
    <ds:schemaRef ds:uri="http://purl.org/dc/dcmitype/"/>
  </ds:schemaRefs>
</ds:datastoreItem>
</file>

<file path=customXml/itemProps5.xml><?xml version="1.0" encoding="utf-8"?>
<ds:datastoreItem xmlns:ds="http://schemas.openxmlformats.org/officeDocument/2006/customXml" ds:itemID="{A4D158A6-7754-4658-A798-4670F07E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Scarlet</dc:creator>
  <cp:keywords/>
  <dc:description/>
  <cp:lastModifiedBy>Roberts, Thomas</cp:lastModifiedBy>
  <cp:revision>2</cp:revision>
  <dcterms:created xsi:type="dcterms:W3CDTF">2020-06-16T01:45:00Z</dcterms:created>
  <dcterms:modified xsi:type="dcterms:W3CDTF">2020-06-16T01:45:00Z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0x010100CE6764B2220A194589CA5AB74E08B639</vt:lpwstr>
  </property>
  <property fmtid="{D5CDD505-2E9C-101B-9397-08002B2CF9AE}" pid="3" name="_dlc_DocIdItemGuid">
    <vt:lpwstr>7ee9b73c-f2e7-4cd5-9269-81852cd3b338</vt:lpwstr>
  </property>
  <property fmtid="{D5CDD505-2E9C-101B-9397-08002B2CF9AE}" pid="4" name="DocHub_Year">
    <vt:lpwstr>1094;#2020|6a3660c5-15bd-4052-a0a1-6237663b7600</vt:lpwstr>
  </property>
  <property fmtid="{D5CDD505-2E9C-101B-9397-08002B2CF9AE}" pid="5" name="DocHub_DocumentType">
    <vt:lpwstr>70;#Analysis|48c54089-4c01-49cb-b266-0173afb66157</vt:lpwstr>
  </property>
  <property fmtid="{D5CDD505-2E9C-101B-9397-08002B2CF9AE}" pid="6" name="DocHub_SecurityClassification">
    <vt:lpwstr>3;#UNCLASSIFIED|6106d03b-a1a0-4e30-9d91-d5e9fb4314f9</vt:lpwstr>
  </property>
  <property fmtid="{D5CDD505-2E9C-101B-9397-08002B2CF9AE}" pid="7" name="DocHub_Keywords">
    <vt:lpwstr>918;#PIA|02b08006-e2e5-4e83-a88a-210a47581466;#14;#Plumbing ＆ drainage|a622a6cc-dbd3-4e23-89ac-bb948f8e6d96;#13;#Volume Three|f7d1fd04-d367-4652-a697-98e91ad2eeb7</vt:lpwstr>
  </property>
  <property fmtid="{D5CDD505-2E9C-101B-9397-08002B2CF9AE}" pid="8" name="DocHub_WorkActivity">
    <vt:lpwstr>196;#Standards Development|759741a6-c1d2-4d29-8a60-2af0dd2a4b4e</vt:lpwstr>
  </property>
  <property fmtid="{D5CDD505-2E9C-101B-9397-08002B2CF9AE}" pid="9" name="DocHub_DocumentLifecycle">
    <vt:lpwstr>259;#Drafting|50bced8c-0567-49ab-81a0-bb019ce4ad1f</vt:lpwstr>
  </property>
  <property fmtid="{D5CDD505-2E9C-101B-9397-08002B2CF9AE}" pid="10" name="DocHub_Designation">
    <vt:lpwstr>1458;#AS/NZS 3500.0|4fe74d12-b5c5-4db4-9f0a-459c593c12a1</vt:lpwstr>
  </property>
  <property fmtid="{D5CDD505-2E9C-101B-9397-08002B2CF9AE}" pid="11" name="DocHub_NCCProjectNumber">
    <vt:lpwstr>1135;#N/A|de5eb84c-cfa5-4558-bf86-0bfe3d7c4905</vt:lpwstr>
  </property>
  <property fmtid="{D5CDD505-2E9C-101B-9397-08002B2CF9AE}" pid="12" name="DocHub_Committee">
    <vt:lpwstr>732;#WS-014|5d233df6-5c74-47b6-8567-fb9b6e6308fd</vt:lpwstr>
  </property>
</Properties>
</file>