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5B85" w:rsidRPr="0097484C" w:rsidRDefault="005D5B85" w:rsidP="005D5B85">
      <w:pPr>
        <w:pStyle w:val="Heading6"/>
        <w:pageBreakBefore w:val="0"/>
        <w:framePr w:hSpace="1134" w:wrap="around" w:vAnchor="page" w:hAnchor="page" w:x="97" w:y="2041"/>
        <w:numPr>
          <w:ilvl w:val="0"/>
          <w:numId w:val="0"/>
        </w:numPr>
        <w:spacing w:after="0" w:line="14" w:lineRule="exact"/>
        <w:ind w:left="-1134"/>
        <w:rPr>
          <w:b/>
          <w:i w:val="0"/>
          <w:color w:val="FFFFFF"/>
          <w:sz w:val="14"/>
          <w:szCs w:val="14"/>
        </w:rPr>
      </w:pPr>
    </w:p>
    <w:p w:rsidR="00BC4823" w:rsidRPr="0097484C" w:rsidRDefault="00BC4823" w:rsidP="00BC4823">
      <w:pPr>
        <w:pStyle w:val="Heading6"/>
        <w:pageBreakBefore w:val="0"/>
        <w:framePr w:hSpace="1134" w:wrap="around" w:vAnchor="page" w:hAnchor="page" w:x="97" w:y="3481"/>
        <w:numPr>
          <w:ilvl w:val="0"/>
          <w:numId w:val="0"/>
        </w:numPr>
        <w:spacing w:after="0" w:line="14" w:lineRule="exact"/>
        <w:ind w:left="-1134"/>
        <w:rPr>
          <w:b/>
          <w:i w:val="0"/>
          <w:color w:val="FFFFFF"/>
          <w:sz w:val="14"/>
          <w:szCs w:val="14"/>
        </w:rPr>
      </w:pP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Front cover"/>
        <w:tblDescription w:val="Front cover of the report"/>
      </w:tblPr>
      <w:tblGrid>
        <w:gridCol w:w="8505"/>
      </w:tblGrid>
      <w:tr w:rsidR="009618FE" w:rsidTr="009F1D80">
        <w:trPr>
          <w:cantSplit/>
          <w:trHeight w:hRule="exact" w:val="1150"/>
          <w:tblHeader/>
        </w:trPr>
        <w:tc>
          <w:tcPr>
            <w:tcW w:w="8505" w:type="dxa"/>
          </w:tcPr>
          <w:p w:rsidR="009618FE" w:rsidRDefault="009618FE" w:rsidP="00C36DA4">
            <w:pPr>
              <w:pStyle w:val="Confidential"/>
              <w:jc w:val="right"/>
            </w:pPr>
          </w:p>
        </w:tc>
      </w:tr>
      <w:tr w:rsidR="009618FE" w:rsidTr="00C36DA4">
        <w:trPr>
          <w:cantSplit/>
          <w:trHeight w:val="1968"/>
        </w:trPr>
        <w:tc>
          <w:tcPr>
            <w:tcW w:w="8505" w:type="dxa"/>
          </w:tcPr>
          <w:p w:rsidR="009618FE" w:rsidRDefault="009618FE" w:rsidP="00C36DA4">
            <w:pPr>
              <w:pStyle w:val="BodyText"/>
              <w:spacing w:before="0"/>
            </w:pPr>
          </w:p>
        </w:tc>
      </w:tr>
      <w:tr w:rsidR="009618FE" w:rsidTr="00C36DA4">
        <w:trPr>
          <w:cantSplit/>
          <w:trHeight w:val="2988"/>
        </w:trPr>
        <w:tc>
          <w:tcPr>
            <w:tcW w:w="8505" w:type="dxa"/>
          </w:tcPr>
          <w:p w:rsidR="00AF1AB5" w:rsidRDefault="00AF1AB5" w:rsidP="009618FE">
            <w:pPr>
              <w:pStyle w:val="Title"/>
            </w:pPr>
          </w:p>
          <w:p w:rsidR="009618FE" w:rsidRDefault="00F56BFF" w:rsidP="009618FE">
            <w:pPr>
              <w:pStyle w:val="Title"/>
            </w:pPr>
            <w:r>
              <w:fldChar w:fldCharType="begin"/>
            </w:r>
            <w:r>
              <w:instrText xml:space="preserve"> DOCPROPERTY  ReportTitle </w:instrText>
            </w:r>
            <w:r>
              <w:fldChar w:fldCharType="separate"/>
            </w:r>
            <w:r w:rsidR="009618FE">
              <w:t xml:space="preserve">Proposal to include </w:t>
            </w:r>
            <w:r w:rsidR="00E97DEF">
              <w:t xml:space="preserve">minimum </w:t>
            </w:r>
            <w:r w:rsidR="009618FE">
              <w:t>accessib</w:t>
            </w:r>
            <w:r w:rsidR="00FA70C1">
              <w:t>i</w:t>
            </w:r>
            <w:r w:rsidR="009618FE">
              <w:t>l</w:t>
            </w:r>
            <w:r w:rsidR="00FA70C1">
              <w:t>ity</w:t>
            </w:r>
            <w:r w:rsidR="009618FE">
              <w:t xml:space="preserve"> standard</w:t>
            </w:r>
            <w:r w:rsidR="00E97DEF">
              <w:t>s for housing</w:t>
            </w:r>
            <w:r w:rsidR="009618FE">
              <w:t xml:space="preserve"> in the National Construction Code</w:t>
            </w:r>
            <w:r>
              <w:fldChar w:fldCharType="end"/>
            </w:r>
          </w:p>
          <w:p w:rsidR="009618FE" w:rsidRPr="0089278E" w:rsidRDefault="00F56BFF" w:rsidP="00C36DA4">
            <w:pPr>
              <w:pStyle w:val="Subtitle"/>
            </w:pPr>
            <w:r>
              <w:fldChar w:fldCharType="begin"/>
            </w:r>
            <w:r>
              <w:instrText xml:space="preserve"> DOCPROPERTY  ReportSubtitle </w:instrText>
            </w:r>
            <w:r>
              <w:fldChar w:fldCharType="separate"/>
            </w:r>
            <w:r w:rsidR="009618FE">
              <w:t>Consultation Regulation Impact Statement</w:t>
            </w:r>
            <w:r>
              <w:fldChar w:fldCharType="end"/>
            </w:r>
          </w:p>
        </w:tc>
      </w:tr>
      <w:tr w:rsidR="00CE132F" w:rsidTr="003956B3">
        <w:trPr>
          <w:cantSplit/>
          <w:trHeight w:hRule="exact" w:val="3640"/>
        </w:trPr>
        <w:tc>
          <w:tcPr>
            <w:tcW w:w="8505" w:type="dxa"/>
          </w:tcPr>
          <w:p w:rsidR="00CE132F" w:rsidRDefault="00CE132F" w:rsidP="00C36DA4">
            <w:pPr>
              <w:pStyle w:val="BodyText"/>
            </w:pPr>
          </w:p>
        </w:tc>
      </w:tr>
      <w:tr w:rsidR="009618FE" w:rsidTr="00C36DA4">
        <w:trPr>
          <w:cantSplit/>
          <w:trHeight w:val="4224"/>
        </w:trPr>
        <w:tc>
          <w:tcPr>
            <w:tcW w:w="8505" w:type="dxa"/>
          </w:tcPr>
          <w:p w:rsidR="009618FE" w:rsidRDefault="009618FE" w:rsidP="00C36DA4">
            <w:pPr>
              <w:pStyle w:val="Client"/>
              <w:spacing w:before="280"/>
            </w:pPr>
            <w:r w:rsidRPr="001647E4">
              <w:t>Prepared for</w:t>
            </w:r>
          </w:p>
          <w:p w:rsidR="009618FE" w:rsidRDefault="00F56BFF" w:rsidP="009618FE">
            <w:pPr>
              <w:pStyle w:val="Client"/>
            </w:pPr>
            <w:r>
              <w:fldChar w:fldCharType="begin"/>
            </w:r>
            <w:r>
              <w:instrText xml:space="preserve"> DOCPROPERTY  PreparedFor </w:instrText>
            </w:r>
            <w:r>
              <w:fldChar w:fldCharType="separate"/>
            </w:r>
            <w:r w:rsidR="009618FE">
              <w:t>The Australian Building Codes Board</w:t>
            </w:r>
            <w:r>
              <w:fldChar w:fldCharType="end"/>
            </w:r>
          </w:p>
          <w:p w:rsidR="009618FE" w:rsidRPr="009E7DDD" w:rsidRDefault="009618FE" w:rsidP="00C36DA4">
            <w:pPr>
              <w:pStyle w:val="Date"/>
            </w:pPr>
            <w:r>
              <w:t>Ju</w:t>
            </w:r>
            <w:r w:rsidR="00C93DD6">
              <w:t>ly</w:t>
            </w:r>
            <w:r>
              <w:t xml:space="preserve"> 2020</w:t>
            </w:r>
          </w:p>
        </w:tc>
      </w:tr>
      <w:tr w:rsidR="009618FE" w:rsidTr="00C36DA4">
        <w:trPr>
          <w:cantSplit/>
          <w:trHeight w:val="419"/>
        </w:trPr>
        <w:tc>
          <w:tcPr>
            <w:tcW w:w="8505" w:type="dxa"/>
          </w:tcPr>
          <w:p w:rsidR="009618FE" w:rsidRPr="00F062BF" w:rsidRDefault="009618FE" w:rsidP="00C36DA4">
            <w:pPr>
              <w:pStyle w:val="BodyText"/>
              <w:spacing w:before="0"/>
              <w:rPr>
                <w:rFonts w:ascii="Franklin Gothic Demi" w:hAnsi="Franklin Gothic Demi"/>
                <w:caps/>
                <w:spacing w:val="10"/>
                <w:sz w:val="20"/>
              </w:rPr>
            </w:pPr>
            <w:r w:rsidRPr="00F062BF">
              <w:rPr>
                <w:rFonts w:ascii="Franklin Gothic Demi" w:hAnsi="Franklin Gothic Demi"/>
                <w:caps/>
                <w:spacing w:val="10"/>
                <w:sz w:val="20"/>
              </w:rPr>
              <w:t>The Centre for International Economics</w:t>
            </w:r>
          </w:p>
          <w:p w:rsidR="009618FE" w:rsidRPr="00DA40B0" w:rsidRDefault="009618FE" w:rsidP="00C36DA4">
            <w:pPr>
              <w:pStyle w:val="BodyText"/>
              <w:spacing w:before="0"/>
              <w:rPr>
                <w:i/>
                <w:color w:val="9B917E" w:themeColor="accent4"/>
                <w:spacing w:val="10"/>
                <w:sz w:val="25"/>
              </w:rPr>
            </w:pPr>
            <w:r w:rsidRPr="00DA40B0">
              <w:rPr>
                <w:i/>
                <w:color w:val="9B917E" w:themeColor="accent4"/>
                <w:spacing w:val="10"/>
                <w:sz w:val="25"/>
              </w:rPr>
              <w:t>www.TheCIE.com.au</w:t>
            </w:r>
          </w:p>
        </w:tc>
      </w:tr>
    </w:tbl>
    <w:p w:rsidR="002A5062" w:rsidRDefault="009618FE" w:rsidP="009618FE">
      <w:pPr>
        <w:pStyle w:val="BodyText"/>
        <w:spacing w:before="0" w:line="240" w:lineRule="auto"/>
      </w:pPr>
      <w:r>
        <w:rPr>
          <w:noProof/>
        </w:rPr>
        <w:drawing>
          <wp:anchor distT="0" distB="0" distL="114300" distR="114300" simplePos="0" relativeHeight="251659264" behindDoc="1" locked="1" layoutInCell="0" allowOverlap="1" wp14:anchorId="762B20C5" wp14:editId="7ABE8FC0">
            <wp:simplePos x="0" y="0"/>
            <wp:positionH relativeFrom="page">
              <wp:posOffset>0</wp:posOffset>
            </wp:positionH>
            <wp:positionV relativeFrom="page">
              <wp:posOffset>0</wp:posOffset>
            </wp:positionV>
            <wp:extent cx="7560000" cy="10692000"/>
            <wp:effectExtent l="0" t="0" r="3175" b="0"/>
            <wp:wrapNone/>
            <wp:docPr id="4" name="Picture 4" descr="Front cov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no_im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rsidR="008F1A78" w:rsidRDefault="008F1A78" w:rsidP="00656D2E">
      <w:pPr>
        <w:rPr>
          <w:lang w:bidi="fa-IR"/>
        </w:rPr>
      </w:pPr>
    </w:p>
    <w:p w:rsidR="008F1A78" w:rsidRDefault="008F1A78" w:rsidP="00656D2E">
      <w:pPr>
        <w:rPr>
          <w:lang w:bidi="fa-IR"/>
        </w:rPr>
        <w:sectPr w:rsidR="008F1A78" w:rsidSect="001B3438">
          <w:headerReference w:type="default" r:id="rId9"/>
          <w:footerReference w:type="even" r:id="rId10"/>
          <w:pgSz w:w="11906" w:h="16838" w:code="9"/>
          <w:pgMar w:top="1145" w:right="1701" w:bottom="284" w:left="2268" w:header="680" w:footer="57" w:gutter="0"/>
          <w:cols w:space="708"/>
          <w:docGrid w:linePitch="360"/>
        </w:sectPr>
      </w:pPr>
    </w:p>
    <w:p w:rsidR="00721CE9" w:rsidRDefault="00721CE9" w:rsidP="00721CE9">
      <w:pPr>
        <w:pStyle w:val="BodyText"/>
        <w:pageBreakBefore/>
        <w:spacing w:before="0"/>
      </w:pPr>
      <w:bookmarkStart w:id="0" w:name="SummaryPage"/>
      <w:r>
        <w:lastRenderedPageBreak/>
        <w:t>The Centre for International Economics is a private economic research agency that provides professional, independent and timely analysis of international and domestic events and policies.</w:t>
      </w:r>
    </w:p>
    <w:p w:rsidR="00721CE9" w:rsidRDefault="00721CE9" w:rsidP="00721CE9">
      <w:pPr>
        <w:pStyle w:val="BodyText"/>
      </w:pPr>
      <w:r>
        <w:t>The CIE’s professional staff arrange, undertake and publish commissioned economic research and analysis for industry, corporations, governments, international agencies and individuals.</w:t>
      </w:r>
    </w:p>
    <w:p w:rsidR="00A838D1" w:rsidRDefault="00A838D1" w:rsidP="00721CE9">
      <w:pPr>
        <w:pStyle w:val="BodyText"/>
      </w:pPr>
    </w:p>
    <w:p w:rsidR="00A838D1" w:rsidRDefault="00A838D1" w:rsidP="00721CE9">
      <w:pPr>
        <w:pStyle w:val="BodyText"/>
      </w:pPr>
    </w:p>
    <w:p w:rsidR="00A838D1" w:rsidRDefault="00A838D1" w:rsidP="00721CE9">
      <w:pPr>
        <w:pStyle w:val="BodyText"/>
      </w:pPr>
    </w:p>
    <w:p w:rsidR="00721CE9" w:rsidRPr="00A838D1" w:rsidRDefault="00721CE9" w:rsidP="00A838D1">
      <w:pPr>
        <w:pStyle w:val="BodyText"/>
      </w:pPr>
      <w:r w:rsidRPr="00A838D1">
        <w:t xml:space="preserve">© Centre for International Economics </w:t>
      </w:r>
      <w:r w:rsidRPr="00A838D1">
        <w:fldChar w:fldCharType="begin"/>
      </w:r>
      <w:r w:rsidRPr="00A838D1">
        <w:instrText xml:space="preserve"> SAVEDATE  \@ "yyyy"  \* MERGEFORMAT </w:instrText>
      </w:r>
      <w:r w:rsidRPr="00A838D1">
        <w:fldChar w:fldCharType="separate"/>
      </w:r>
      <w:r w:rsidR="00272AF3">
        <w:rPr>
          <w:noProof/>
        </w:rPr>
        <w:t>2020</w:t>
      </w:r>
      <w:r w:rsidRPr="00A838D1">
        <w:fldChar w:fldCharType="end"/>
      </w:r>
    </w:p>
    <w:p w:rsidR="00721CE9" w:rsidRPr="00511766" w:rsidRDefault="00721CE9" w:rsidP="00721CE9">
      <w:pPr>
        <w:pStyle w:val="BodyText"/>
        <w:spacing w:before="80"/>
      </w:pPr>
      <w:r w:rsidRPr="00511766">
        <w:t>This work is copyright. Individuals, agencies and corporations wishing to reproduce this material should contact the Centre for International Economics at one of the following addresses.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Caption w:val="Office address"/>
        <w:tblDescription w:val="CIE Canberra and Sydney office addresses"/>
      </w:tblPr>
      <w:tblGrid>
        <w:gridCol w:w="3911"/>
        <w:gridCol w:w="4026"/>
      </w:tblGrid>
      <w:tr w:rsidR="00721CE9" w:rsidTr="009F1D80">
        <w:trPr>
          <w:tblHeader/>
        </w:trPr>
        <w:tc>
          <w:tcPr>
            <w:tcW w:w="3911" w:type="dxa"/>
          </w:tcPr>
          <w:p w:rsidR="00721CE9" w:rsidRPr="009E7DDD" w:rsidRDefault="00721CE9" w:rsidP="004E7620">
            <w:pPr>
              <w:pStyle w:val="BodyText"/>
              <w:spacing w:before="200" w:line="260" w:lineRule="atLeast"/>
              <w:rPr>
                <w:rFonts w:ascii="Franklin Gothic Demi" w:hAnsi="Franklin Gothic Demi"/>
                <w:caps/>
                <w:color w:val="9B917E" w:themeColor="accent4"/>
                <w:spacing w:val="44"/>
              </w:rPr>
            </w:pPr>
            <w:r w:rsidRPr="009E7DDD">
              <w:rPr>
                <w:rFonts w:ascii="Franklin Gothic Demi" w:hAnsi="Franklin Gothic Demi"/>
                <w:caps/>
                <w:color w:val="9B917E" w:themeColor="accent4"/>
                <w:spacing w:val="44"/>
              </w:rPr>
              <w:t>Canberra</w:t>
            </w:r>
          </w:p>
          <w:p w:rsidR="00721CE9" w:rsidRPr="007248CB" w:rsidRDefault="00721CE9" w:rsidP="001D72A4">
            <w:pPr>
              <w:pStyle w:val="SenderAddress"/>
            </w:pPr>
            <w:r w:rsidRPr="007248CB">
              <w:t>Centre for International Economics</w:t>
            </w:r>
            <w:r w:rsidR="001D72A4">
              <w:t xml:space="preserve"> </w:t>
            </w:r>
            <w:r w:rsidR="001D72A4">
              <w:br/>
            </w:r>
            <w:r w:rsidRPr="007248CB">
              <w:t>Ground Floor, 11 Lancaster Place</w:t>
            </w:r>
            <w:r w:rsidR="001D72A4">
              <w:t xml:space="preserve"> </w:t>
            </w:r>
            <w:r w:rsidR="001D72A4">
              <w:br/>
            </w:r>
            <w:r w:rsidR="003A1E79">
              <w:t>Canberra Airport</w:t>
            </w:r>
            <w:r>
              <w:t> </w:t>
            </w:r>
            <w:r>
              <w:t>ACT</w:t>
            </w:r>
            <w:r>
              <w:t> </w:t>
            </w:r>
            <w:r w:rsidRPr="007248CB">
              <w:t>2609</w:t>
            </w:r>
            <w:r w:rsidR="001D72A4">
              <w:t xml:space="preserve"> </w:t>
            </w:r>
            <w:r w:rsidR="001D72A4">
              <w:br/>
            </w:r>
          </w:p>
          <w:p w:rsidR="00721CE9" w:rsidRPr="007248CB" w:rsidRDefault="00721CE9" w:rsidP="001D72A4">
            <w:pPr>
              <w:pStyle w:val="SenderAddress"/>
            </w:pPr>
            <w:r>
              <w:t>Telephone</w:t>
            </w:r>
            <w:r>
              <w:tab/>
            </w:r>
            <w:r w:rsidRPr="007248CB">
              <w:t>+61 2 6245 7800</w:t>
            </w:r>
            <w:r w:rsidR="001D72A4">
              <w:t xml:space="preserve"> </w:t>
            </w:r>
            <w:r w:rsidR="001D72A4">
              <w:br/>
            </w:r>
            <w:r w:rsidRPr="007248CB">
              <w:t xml:space="preserve">Facsimile </w:t>
            </w:r>
            <w:r>
              <w:tab/>
            </w:r>
            <w:r w:rsidRPr="007248CB">
              <w:t>+61 2 6245 7888</w:t>
            </w:r>
            <w:r w:rsidR="001D72A4">
              <w:t xml:space="preserve"> </w:t>
            </w:r>
            <w:r w:rsidR="001D72A4">
              <w:br/>
            </w:r>
            <w:r w:rsidRPr="007248CB">
              <w:t>Ema</w:t>
            </w:r>
            <w:r>
              <w:t>il</w:t>
            </w:r>
            <w:r>
              <w:tab/>
            </w:r>
            <w:r w:rsidRPr="007248CB">
              <w:t>cie@TheCIE.com.au</w:t>
            </w:r>
          </w:p>
          <w:p w:rsidR="00721CE9" w:rsidRDefault="00721CE9" w:rsidP="001D72A4">
            <w:pPr>
              <w:pStyle w:val="SenderAddress"/>
              <w:rPr>
                <w:rFonts w:ascii="Franklin Gothic Demi" w:hAnsi="Franklin Gothic Demi"/>
                <w:color w:val="9B917E" w:themeColor="accent4"/>
              </w:rPr>
            </w:pPr>
            <w:r>
              <w:t>Website</w:t>
            </w:r>
            <w:r>
              <w:tab/>
            </w:r>
            <w:r w:rsidRPr="007248CB">
              <w:t>www.TheCIE.com.au</w:t>
            </w:r>
          </w:p>
        </w:tc>
        <w:tc>
          <w:tcPr>
            <w:tcW w:w="4026" w:type="dxa"/>
          </w:tcPr>
          <w:p w:rsidR="00721CE9" w:rsidRPr="009E7DDD" w:rsidRDefault="00721CE9" w:rsidP="004E7620">
            <w:pPr>
              <w:pStyle w:val="BodyText"/>
              <w:spacing w:before="200" w:line="260" w:lineRule="atLeast"/>
              <w:rPr>
                <w:rFonts w:ascii="Franklin Gothic Demi" w:hAnsi="Franklin Gothic Demi"/>
                <w:caps/>
                <w:color w:val="9B917E" w:themeColor="accent4"/>
                <w:spacing w:val="44"/>
              </w:rPr>
            </w:pPr>
            <w:r w:rsidRPr="009E7DDD">
              <w:rPr>
                <w:rFonts w:ascii="Franklin Gothic Demi" w:hAnsi="Franklin Gothic Demi"/>
                <w:caps/>
                <w:color w:val="9B917E" w:themeColor="accent4"/>
                <w:spacing w:val="44"/>
              </w:rPr>
              <w:t>Sydney</w:t>
            </w:r>
          </w:p>
          <w:p w:rsidR="00721CE9" w:rsidRDefault="00721CE9" w:rsidP="001D72A4">
            <w:pPr>
              <w:pStyle w:val="SenderAddress"/>
            </w:pPr>
            <w:r w:rsidRPr="007248CB">
              <w:t>Centre for International Economics</w:t>
            </w:r>
            <w:r w:rsidR="001D72A4">
              <w:t xml:space="preserve"> </w:t>
            </w:r>
            <w:r w:rsidR="001D72A4">
              <w:br/>
            </w:r>
            <w:r w:rsidRPr="007248CB">
              <w:t xml:space="preserve">Level </w:t>
            </w:r>
            <w:r w:rsidR="00C934E1">
              <w:t>7</w:t>
            </w:r>
            <w:r w:rsidRPr="007248CB">
              <w:t xml:space="preserve">, </w:t>
            </w:r>
            <w:r w:rsidR="00C934E1">
              <w:t>8 Spring</w:t>
            </w:r>
            <w:r w:rsidRPr="007248CB">
              <w:t xml:space="preserve"> Street</w:t>
            </w:r>
            <w:r w:rsidR="001D72A4">
              <w:t xml:space="preserve"> </w:t>
            </w:r>
            <w:r w:rsidR="001D72A4">
              <w:br/>
            </w:r>
            <w:r w:rsidRPr="007248CB">
              <w:t>Sydney</w:t>
            </w:r>
            <w:r w:rsidRPr="007248CB">
              <w:rPr>
                <w:rFonts w:cs="Book Antiqua"/>
              </w:rPr>
              <w:t> </w:t>
            </w:r>
            <w:r w:rsidRPr="007248CB">
              <w:t>NSW 2000</w:t>
            </w:r>
          </w:p>
          <w:p w:rsidR="00721CE9" w:rsidRPr="007248CB" w:rsidRDefault="00721CE9" w:rsidP="00AF1AB5">
            <w:pPr>
              <w:pStyle w:val="SenderAddress"/>
              <w:spacing w:before="360"/>
            </w:pPr>
            <w:r>
              <w:t>Telephone</w:t>
            </w:r>
            <w:r>
              <w:tab/>
            </w:r>
            <w:r w:rsidRPr="007248CB">
              <w:t>+61 2 9250 0800</w:t>
            </w:r>
            <w:r w:rsidR="001D72A4">
              <w:t xml:space="preserve"> </w:t>
            </w:r>
            <w:r w:rsidR="001D72A4">
              <w:br/>
            </w:r>
            <w:r w:rsidRPr="007248CB">
              <w:t>Email</w:t>
            </w:r>
            <w:r w:rsidRPr="007248CB">
              <w:tab/>
            </w:r>
            <w:hyperlink r:id="rId11" w:history="1">
              <w:r w:rsidRPr="007248CB">
                <w:t>ciesyd@TheCIE.com.au</w:t>
              </w:r>
            </w:hyperlink>
          </w:p>
          <w:p w:rsidR="00721CE9" w:rsidRDefault="00721CE9" w:rsidP="001D72A4">
            <w:pPr>
              <w:pStyle w:val="SenderAddress"/>
              <w:rPr>
                <w:rFonts w:ascii="Franklin Gothic Demi" w:hAnsi="Franklin Gothic Demi"/>
                <w:color w:val="9B917E" w:themeColor="accent4"/>
              </w:rPr>
            </w:pPr>
            <w:r w:rsidRPr="007248CB">
              <w:t>Website</w:t>
            </w:r>
            <w:r w:rsidRPr="007248CB">
              <w:tab/>
            </w:r>
            <w:hyperlink r:id="rId12" w:history="1">
              <w:r w:rsidRPr="007248CB">
                <w:t>www.TheCIE.com.au</w:t>
              </w:r>
            </w:hyperlink>
          </w:p>
        </w:tc>
      </w:tr>
    </w:tbl>
    <w:p w:rsidR="00F72AED" w:rsidRDefault="00F72AED" w:rsidP="009618FE">
      <w:pPr>
        <w:pStyle w:val="DisclaimerHeading"/>
        <w:spacing w:before="2160"/>
      </w:pPr>
    </w:p>
    <w:p w:rsidR="009618FE" w:rsidRPr="00375BA6" w:rsidRDefault="009618FE" w:rsidP="009618FE">
      <w:pPr>
        <w:pStyle w:val="DisclaimerHeading"/>
        <w:spacing w:before="2160"/>
      </w:pPr>
      <w:r w:rsidRPr="00375BA6">
        <w:t>Disclaimer</w:t>
      </w:r>
    </w:p>
    <w:p w:rsidR="009618FE" w:rsidRDefault="009618FE" w:rsidP="009618FE">
      <w:pPr>
        <w:pStyle w:val="Disclaimer"/>
        <w:rPr>
          <w:lang w:bidi="fa-IR"/>
        </w:rPr>
      </w:pPr>
      <w:r>
        <w:t xml:space="preserve">While the CIE endeavours to provide reliable analysis and believes the material it presents is accurate, it will not be liable for any party acting on such information. </w:t>
      </w:r>
      <w:r w:rsidRPr="0052516A">
        <w:rPr>
          <w:iCs/>
        </w:rPr>
        <w:t>The views expressed in this report are those of the authors only and should not be construed in any way as having been endorsed, or as representing the views of the ABCB.</w:t>
      </w:r>
    </w:p>
    <w:p w:rsidR="001B25D3" w:rsidRDefault="001B25D3" w:rsidP="006730DA"/>
    <w:p w:rsidR="001B25D3" w:rsidRDefault="001B25D3" w:rsidP="006730DA">
      <w:pPr>
        <w:sectPr w:rsidR="001B25D3" w:rsidSect="00A838D1">
          <w:headerReference w:type="even" r:id="rId13"/>
          <w:headerReference w:type="default" r:id="rId14"/>
          <w:footerReference w:type="even" r:id="rId15"/>
          <w:footerReference w:type="default" r:id="rId16"/>
          <w:pgSz w:w="11906" w:h="16838" w:code="9"/>
          <w:pgMar w:top="2268" w:right="1701" w:bottom="567" w:left="2268" w:header="680" w:footer="113" w:gutter="0"/>
          <w:cols w:space="708"/>
          <w:docGrid w:linePitch="360"/>
        </w:sectPr>
      </w:pPr>
    </w:p>
    <w:p w:rsidR="00650F3E" w:rsidRDefault="00650F3E" w:rsidP="004E7620">
      <w:pPr>
        <w:pStyle w:val="Contents"/>
      </w:pPr>
      <w:bookmarkStart w:id="1" w:name="DeleteTOC"/>
      <w:bookmarkEnd w:id="0"/>
      <w:r>
        <w:lastRenderedPageBreak/>
        <w:t>Contents</w:t>
      </w:r>
    </w:p>
    <w:p w:rsidR="009F1D80" w:rsidRDefault="00650F3E">
      <w:pPr>
        <w:pStyle w:val="TOC1"/>
        <w:rPr>
          <w:rFonts w:asciiTheme="minorHAnsi" w:eastAsiaTheme="minorEastAsia" w:hAnsiTheme="minorHAnsi" w:cstheme="minorBidi"/>
          <w:noProof/>
          <w:sz w:val="22"/>
          <w:szCs w:val="22"/>
          <w:lang w:eastAsia="zh-CN"/>
        </w:rPr>
      </w:pPr>
      <w:r w:rsidRPr="00876B40">
        <w:fldChar w:fldCharType="begin"/>
      </w:r>
      <w:r w:rsidRPr="00876B40">
        <w:instrText xml:space="preserve"> TOC \t "Heading 1,1</w:instrText>
      </w:r>
      <w:r w:rsidR="00D22E66">
        <w:instrText>,</w:instrText>
      </w:r>
      <w:r w:rsidR="008D3341" w:rsidRPr="008D3341">
        <w:instrText>Heading 1 NotNumbered</w:instrText>
      </w:r>
      <w:r w:rsidR="008D3341">
        <w:instrText>,1</w:instrText>
      </w:r>
      <w:r w:rsidRPr="00876B40">
        <w:instrText xml:space="preserve">,Heading 2,2,Heading </w:instrText>
      </w:r>
      <w:r>
        <w:instrText>6</w:instrText>
      </w:r>
      <w:r w:rsidRPr="00876B40">
        <w:instrText xml:space="preserve">,1,Part Title,4" </w:instrText>
      </w:r>
      <w:r w:rsidRPr="00876B40">
        <w:fldChar w:fldCharType="separate"/>
      </w:r>
      <w:r w:rsidR="009F1D80">
        <w:rPr>
          <w:noProof/>
          <w:lang w:bidi="fa-IR"/>
        </w:rPr>
        <w:t>Executive summary</w:t>
      </w:r>
      <w:r w:rsidR="009F1D80">
        <w:rPr>
          <w:noProof/>
        </w:rPr>
        <w:tab/>
      </w:r>
      <w:r w:rsidR="009F1D80">
        <w:rPr>
          <w:noProof/>
        </w:rPr>
        <w:fldChar w:fldCharType="begin"/>
      </w:r>
      <w:r w:rsidR="009F1D80">
        <w:rPr>
          <w:noProof/>
        </w:rPr>
        <w:instrText xml:space="preserve"> PAGEREF _Toc45654050 \h </w:instrText>
      </w:r>
      <w:r w:rsidR="009F1D80">
        <w:rPr>
          <w:noProof/>
        </w:rPr>
      </w:r>
      <w:r w:rsidR="009F1D80">
        <w:rPr>
          <w:noProof/>
        </w:rPr>
        <w:fldChar w:fldCharType="separate"/>
      </w:r>
      <w:r w:rsidR="009F1D80">
        <w:rPr>
          <w:noProof/>
        </w:rPr>
        <w:t>1</w:t>
      </w:r>
      <w:r w:rsidR="009F1D80">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rPr>
        <w:t>Background</w:t>
      </w:r>
      <w:r>
        <w:rPr>
          <w:noProof/>
        </w:rPr>
        <w:tab/>
      </w:r>
      <w:r>
        <w:rPr>
          <w:noProof/>
        </w:rPr>
        <w:fldChar w:fldCharType="begin"/>
      </w:r>
      <w:r>
        <w:rPr>
          <w:noProof/>
        </w:rPr>
        <w:instrText xml:space="preserve"> PAGEREF _Toc45654051 \h </w:instrText>
      </w:r>
      <w:r>
        <w:rPr>
          <w:noProof/>
        </w:rPr>
      </w:r>
      <w:r>
        <w:rPr>
          <w:noProof/>
        </w:rPr>
        <w:fldChar w:fldCharType="separate"/>
      </w:r>
      <w:r>
        <w:rPr>
          <w:noProof/>
        </w:rPr>
        <w:t>1</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rPr>
        <w:t>Terminology</w:t>
      </w:r>
      <w:r>
        <w:rPr>
          <w:noProof/>
        </w:rPr>
        <w:tab/>
      </w:r>
      <w:r>
        <w:rPr>
          <w:noProof/>
        </w:rPr>
        <w:fldChar w:fldCharType="begin"/>
      </w:r>
      <w:r>
        <w:rPr>
          <w:noProof/>
        </w:rPr>
        <w:instrText xml:space="preserve"> PAGEREF _Toc45654052 \h </w:instrText>
      </w:r>
      <w:r>
        <w:rPr>
          <w:noProof/>
        </w:rPr>
      </w:r>
      <w:r>
        <w:rPr>
          <w:noProof/>
        </w:rPr>
        <w:fldChar w:fldCharType="separate"/>
      </w:r>
      <w:r>
        <w:rPr>
          <w:noProof/>
        </w:rPr>
        <w:t>1</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lang w:bidi="fa-IR"/>
        </w:rPr>
        <w:t>Why a regulatory proposal?</w:t>
      </w:r>
      <w:r>
        <w:rPr>
          <w:noProof/>
        </w:rPr>
        <w:tab/>
      </w:r>
      <w:r>
        <w:rPr>
          <w:noProof/>
        </w:rPr>
        <w:fldChar w:fldCharType="begin"/>
      </w:r>
      <w:r>
        <w:rPr>
          <w:noProof/>
        </w:rPr>
        <w:instrText xml:space="preserve"> PAGEREF _Toc45654053 \h </w:instrText>
      </w:r>
      <w:r>
        <w:rPr>
          <w:noProof/>
        </w:rPr>
      </w:r>
      <w:r>
        <w:rPr>
          <w:noProof/>
        </w:rPr>
        <w:fldChar w:fldCharType="separate"/>
      </w:r>
      <w:r>
        <w:rPr>
          <w:noProof/>
        </w:rPr>
        <w:t>1</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lang w:bidi="fa-IR"/>
        </w:rPr>
        <w:t>Objectives</w:t>
      </w:r>
      <w:r>
        <w:rPr>
          <w:noProof/>
        </w:rPr>
        <w:tab/>
      </w:r>
      <w:r>
        <w:rPr>
          <w:noProof/>
        </w:rPr>
        <w:fldChar w:fldCharType="begin"/>
      </w:r>
      <w:r>
        <w:rPr>
          <w:noProof/>
        </w:rPr>
        <w:instrText xml:space="preserve"> PAGEREF _Toc45654054 \h </w:instrText>
      </w:r>
      <w:r>
        <w:rPr>
          <w:noProof/>
        </w:rPr>
      </w:r>
      <w:r>
        <w:rPr>
          <w:noProof/>
        </w:rPr>
        <w:fldChar w:fldCharType="separate"/>
      </w:r>
      <w:r>
        <w:rPr>
          <w:noProof/>
        </w:rPr>
        <w:t>3</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lang w:bidi="fa-IR"/>
        </w:rPr>
        <w:t>Options</w:t>
      </w:r>
      <w:r>
        <w:rPr>
          <w:noProof/>
        </w:rPr>
        <w:tab/>
      </w:r>
      <w:r>
        <w:rPr>
          <w:noProof/>
        </w:rPr>
        <w:fldChar w:fldCharType="begin"/>
      </w:r>
      <w:r>
        <w:rPr>
          <w:noProof/>
        </w:rPr>
        <w:instrText xml:space="preserve"> PAGEREF _Toc45654055 \h </w:instrText>
      </w:r>
      <w:r>
        <w:rPr>
          <w:noProof/>
        </w:rPr>
      </w:r>
      <w:r>
        <w:rPr>
          <w:noProof/>
        </w:rPr>
        <w:fldChar w:fldCharType="separate"/>
      </w:r>
      <w:r>
        <w:rPr>
          <w:noProof/>
        </w:rPr>
        <w:t>4</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lang w:bidi="fa-IR"/>
        </w:rPr>
        <w:t>Estimated impacts</w:t>
      </w:r>
      <w:r>
        <w:rPr>
          <w:noProof/>
        </w:rPr>
        <w:tab/>
      </w:r>
      <w:r>
        <w:rPr>
          <w:noProof/>
        </w:rPr>
        <w:fldChar w:fldCharType="begin"/>
      </w:r>
      <w:r>
        <w:rPr>
          <w:noProof/>
        </w:rPr>
        <w:instrText xml:space="preserve"> PAGEREF _Toc45654056 \h </w:instrText>
      </w:r>
      <w:r>
        <w:rPr>
          <w:noProof/>
        </w:rPr>
      </w:r>
      <w:r>
        <w:rPr>
          <w:noProof/>
        </w:rPr>
        <w:fldChar w:fldCharType="separate"/>
      </w:r>
      <w:r>
        <w:rPr>
          <w:noProof/>
        </w:rPr>
        <w:t>4</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lang w:bidi="fa-IR"/>
        </w:rPr>
        <w:t>Conclusions</w:t>
      </w:r>
      <w:r>
        <w:rPr>
          <w:noProof/>
        </w:rPr>
        <w:tab/>
      </w:r>
      <w:r>
        <w:rPr>
          <w:noProof/>
        </w:rPr>
        <w:fldChar w:fldCharType="begin"/>
      </w:r>
      <w:r>
        <w:rPr>
          <w:noProof/>
        </w:rPr>
        <w:instrText xml:space="preserve"> PAGEREF _Toc45654057 \h </w:instrText>
      </w:r>
      <w:r>
        <w:rPr>
          <w:noProof/>
        </w:rPr>
      </w:r>
      <w:r>
        <w:rPr>
          <w:noProof/>
        </w:rPr>
        <w:fldChar w:fldCharType="separate"/>
      </w:r>
      <w:r>
        <w:rPr>
          <w:noProof/>
        </w:rPr>
        <w:t>9</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lang w:bidi="fa-IR"/>
        </w:rPr>
        <w:t>Preliminary recommendation</w:t>
      </w:r>
      <w:r>
        <w:rPr>
          <w:noProof/>
        </w:rPr>
        <w:tab/>
      </w:r>
      <w:r>
        <w:rPr>
          <w:noProof/>
        </w:rPr>
        <w:fldChar w:fldCharType="begin"/>
      </w:r>
      <w:r>
        <w:rPr>
          <w:noProof/>
        </w:rPr>
        <w:instrText xml:space="preserve"> PAGEREF _Toc45654058 \h </w:instrText>
      </w:r>
      <w:r>
        <w:rPr>
          <w:noProof/>
        </w:rPr>
      </w:r>
      <w:r>
        <w:rPr>
          <w:noProof/>
        </w:rPr>
        <w:fldChar w:fldCharType="separate"/>
      </w:r>
      <w:r>
        <w:rPr>
          <w:noProof/>
        </w:rPr>
        <w:t>11</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lang w:bidi="fa-IR"/>
        </w:rPr>
        <w:t>Consultation questions</w:t>
      </w:r>
      <w:r>
        <w:rPr>
          <w:noProof/>
        </w:rPr>
        <w:tab/>
      </w:r>
      <w:r>
        <w:rPr>
          <w:noProof/>
        </w:rPr>
        <w:fldChar w:fldCharType="begin"/>
      </w:r>
      <w:r>
        <w:rPr>
          <w:noProof/>
        </w:rPr>
        <w:instrText xml:space="preserve"> PAGEREF _Toc45654059 \h </w:instrText>
      </w:r>
      <w:r>
        <w:rPr>
          <w:noProof/>
        </w:rPr>
      </w:r>
      <w:r>
        <w:rPr>
          <w:noProof/>
        </w:rPr>
        <w:fldChar w:fldCharType="separate"/>
      </w:r>
      <w:r>
        <w:rPr>
          <w:noProof/>
        </w:rPr>
        <w:t>12</w:t>
      </w:r>
      <w:r>
        <w:rPr>
          <w:noProof/>
        </w:rPr>
        <w:fldChar w:fldCharType="end"/>
      </w:r>
    </w:p>
    <w:p w:rsidR="009F1D80" w:rsidRDefault="009F1D80">
      <w:pPr>
        <w:pStyle w:val="TOC1"/>
        <w:rPr>
          <w:rFonts w:asciiTheme="minorHAnsi" w:eastAsiaTheme="minorEastAsia" w:hAnsiTheme="minorHAnsi" w:cstheme="minorBidi"/>
          <w:noProof/>
          <w:sz w:val="22"/>
          <w:szCs w:val="22"/>
          <w:lang w:eastAsia="zh-CN"/>
        </w:rPr>
      </w:pPr>
      <w:r>
        <w:rPr>
          <w:noProof/>
        </w:rPr>
        <w:t>1</w:t>
      </w:r>
      <w:r>
        <w:rPr>
          <w:rFonts w:asciiTheme="minorHAnsi" w:eastAsiaTheme="minorEastAsia" w:hAnsiTheme="minorHAnsi" w:cstheme="minorBidi"/>
          <w:noProof/>
          <w:sz w:val="22"/>
          <w:szCs w:val="22"/>
          <w:lang w:eastAsia="zh-CN"/>
        </w:rPr>
        <w:tab/>
      </w:r>
      <w:r>
        <w:rPr>
          <w:noProof/>
        </w:rPr>
        <w:t>Background and introduction</w:t>
      </w:r>
      <w:r>
        <w:rPr>
          <w:noProof/>
        </w:rPr>
        <w:tab/>
      </w:r>
      <w:r>
        <w:rPr>
          <w:noProof/>
        </w:rPr>
        <w:fldChar w:fldCharType="begin"/>
      </w:r>
      <w:r>
        <w:rPr>
          <w:noProof/>
        </w:rPr>
        <w:instrText xml:space="preserve"> PAGEREF _Toc45654060 \h </w:instrText>
      </w:r>
      <w:r>
        <w:rPr>
          <w:noProof/>
        </w:rPr>
      </w:r>
      <w:r>
        <w:rPr>
          <w:noProof/>
        </w:rPr>
        <w:fldChar w:fldCharType="separate"/>
      </w:r>
      <w:r>
        <w:rPr>
          <w:noProof/>
        </w:rPr>
        <w:t>15</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rPr>
        <w:t>Background</w:t>
      </w:r>
      <w:r>
        <w:rPr>
          <w:noProof/>
        </w:rPr>
        <w:tab/>
      </w:r>
      <w:r>
        <w:rPr>
          <w:noProof/>
        </w:rPr>
        <w:fldChar w:fldCharType="begin"/>
      </w:r>
      <w:r>
        <w:rPr>
          <w:noProof/>
        </w:rPr>
        <w:instrText xml:space="preserve"> PAGEREF _Toc45654061 \h </w:instrText>
      </w:r>
      <w:r>
        <w:rPr>
          <w:noProof/>
        </w:rPr>
      </w:r>
      <w:r>
        <w:rPr>
          <w:noProof/>
        </w:rPr>
        <w:fldChar w:fldCharType="separate"/>
      </w:r>
      <w:r>
        <w:rPr>
          <w:noProof/>
        </w:rPr>
        <w:t>15</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lang w:bidi="fa-IR"/>
        </w:rPr>
        <w:t>This report</w:t>
      </w:r>
      <w:r>
        <w:rPr>
          <w:noProof/>
        </w:rPr>
        <w:tab/>
      </w:r>
      <w:r>
        <w:rPr>
          <w:noProof/>
        </w:rPr>
        <w:fldChar w:fldCharType="begin"/>
      </w:r>
      <w:r>
        <w:rPr>
          <w:noProof/>
        </w:rPr>
        <w:instrText xml:space="preserve"> PAGEREF _Toc45654062 \h </w:instrText>
      </w:r>
      <w:r>
        <w:rPr>
          <w:noProof/>
        </w:rPr>
      </w:r>
      <w:r>
        <w:rPr>
          <w:noProof/>
        </w:rPr>
        <w:fldChar w:fldCharType="separate"/>
      </w:r>
      <w:r>
        <w:rPr>
          <w:noProof/>
        </w:rPr>
        <w:t>21</w:t>
      </w:r>
      <w:r>
        <w:rPr>
          <w:noProof/>
        </w:rPr>
        <w:fldChar w:fldCharType="end"/>
      </w:r>
    </w:p>
    <w:p w:rsidR="009F1D80" w:rsidRDefault="009F1D80">
      <w:pPr>
        <w:pStyle w:val="TOC1"/>
        <w:rPr>
          <w:rFonts w:asciiTheme="minorHAnsi" w:eastAsiaTheme="minorEastAsia" w:hAnsiTheme="minorHAnsi" w:cstheme="minorBidi"/>
          <w:noProof/>
          <w:sz w:val="22"/>
          <w:szCs w:val="22"/>
          <w:lang w:eastAsia="zh-CN"/>
        </w:rPr>
      </w:pPr>
      <w:r>
        <w:rPr>
          <w:noProof/>
        </w:rPr>
        <w:t>2</w:t>
      </w:r>
      <w:r>
        <w:rPr>
          <w:rFonts w:asciiTheme="minorHAnsi" w:eastAsiaTheme="minorEastAsia" w:hAnsiTheme="minorHAnsi" w:cstheme="minorBidi"/>
          <w:noProof/>
          <w:sz w:val="22"/>
          <w:szCs w:val="22"/>
          <w:lang w:eastAsia="zh-CN"/>
        </w:rPr>
        <w:tab/>
      </w:r>
      <w:r>
        <w:rPr>
          <w:noProof/>
        </w:rPr>
        <w:t>Statement of the problem</w:t>
      </w:r>
      <w:r>
        <w:rPr>
          <w:noProof/>
        </w:rPr>
        <w:tab/>
      </w:r>
      <w:r>
        <w:rPr>
          <w:noProof/>
        </w:rPr>
        <w:fldChar w:fldCharType="begin"/>
      </w:r>
      <w:r>
        <w:rPr>
          <w:noProof/>
        </w:rPr>
        <w:instrText xml:space="preserve"> PAGEREF _Toc45654063 \h </w:instrText>
      </w:r>
      <w:r>
        <w:rPr>
          <w:noProof/>
        </w:rPr>
      </w:r>
      <w:r>
        <w:rPr>
          <w:noProof/>
        </w:rPr>
        <w:fldChar w:fldCharType="separate"/>
      </w:r>
      <w:r>
        <w:rPr>
          <w:noProof/>
        </w:rPr>
        <w:t>23</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rPr>
        <w:t>Summary</w:t>
      </w:r>
      <w:r>
        <w:rPr>
          <w:noProof/>
        </w:rPr>
        <w:tab/>
      </w:r>
      <w:r>
        <w:rPr>
          <w:noProof/>
        </w:rPr>
        <w:fldChar w:fldCharType="begin"/>
      </w:r>
      <w:r>
        <w:rPr>
          <w:noProof/>
        </w:rPr>
        <w:instrText xml:space="preserve"> PAGEREF _Toc45654064 \h </w:instrText>
      </w:r>
      <w:r>
        <w:rPr>
          <w:noProof/>
        </w:rPr>
      </w:r>
      <w:r>
        <w:rPr>
          <w:noProof/>
        </w:rPr>
        <w:fldChar w:fldCharType="separate"/>
      </w:r>
      <w:r>
        <w:rPr>
          <w:noProof/>
        </w:rPr>
        <w:t>23</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rPr>
        <w:t>The need for accessible housing</w:t>
      </w:r>
      <w:r>
        <w:rPr>
          <w:noProof/>
        </w:rPr>
        <w:tab/>
      </w:r>
      <w:r>
        <w:rPr>
          <w:noProof/>
        </w:rPr>
        <w:fldChar w:fldCharType="begin"/>
      </w:r>
      <w:r>
        <w:rPr>
          <w:noProof/>
        </w:rPr>
        <w:instrText xml:space="preserve"> PAGEREF _Toc45654065 \h </w:instrText>
      </w:r>
      <w:r>
        <w:rPr>
          <w:noProof/>
        </w:rPr>
      </w:r>
      <w:r>
        <w:rPr>
          <w:noProof/>
        </w:rPr>
        <w:fldChar w:fldCharType="separate"/>
      </w:r>
      <w:r>
        <w:rPr>
          <w:noProof/>
        </w:rPr>
        <w:t>25</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lang w:bidi="fa-IR"/>
        </w:rPr>
        <w:t>Policy context</w:t>
      </w:r>
      <w:r>
        <w:rPr>
          <w:noProof/>
        </w:rPr>
        <w:tab/>
      </w:r>
      <w:r>
        <w:rPr>
          <w:noProof/>
        </w:rPr>
        <w:fldChar w:fldCharType="begin"/>
      </w:r>
      <w:r>
        <w:rPr>
          <w:noProof/>
        </w:rPr>
        <w:instrText xml:space="preserve"> PAGEREF _Toc45654066 \h </w:instrText>
      </w:r>
      <w:r>
        <w:rPr>
          <w:noProof/>
        </w:rPr>
      </w:r>
      <w:r>
        <w:rPr>
          <w:noProof/>
        </w:rPr>
        <w:fldChar w:fldCharType="separate"/>
      </w:r>
      <w:r>
        <w:rPr>
          <w:noProof/>
        </w:rPr>
        <w:t>30</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lang w:bidi="fa-IR"/>
        </w:rPr>
        <w:t>Housing outcomes under current policy settings</w:t>
      </w:r>
      <w:r>
        <w:rPr>
          <w:noProof/>
        </w:rPr>
        <w:tab/>
      </w:r>
      <w:r>
        <w:rPr>
          <w:noProof/>
        </w:rPr>
        <w:fldChar w:fldCharType="begin"/>
      </w:r>
      <w:r>
        <w:rPr>
          <w:noProof/>
        </w:rPr>
        <w:instrText xml:space="preserve"> PAGEREF _Toc45654067 \h </w:instrText>
      </w:r>
      <w:r>
        <w:rPr>
          <w:noProof/>
        </w:rPr>
      </w:r>
      <w:r>
        <w:rPr>
          <w:noProof/>
        </w:rPr>
        <w:fldChar w:fldCharType="separate"/>
      </w:r>
      <w:r>
        <w:rPr>
          <w:noProof/>
        </w:rPr>
        <w:t>35</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rPr>
        <w:t>Quantifying the problem</w:t>
      </w:r>
      <w:r>
        <w:rPr>
          <w:noProof/>
        </w:rPr>
        <w:tab/>
      </w:r>
      <w:r>
        <w:rPr>
          <w:noProof/>
        </w:rPr>
        <w:fldChar w:fldCharType="begin"/>
      </w:r>
      <w:r>
        <w:rPr>
          <w:noProof/>
        </w:rPr>
        <w:instrText xml:space="preserve"> PAGEREF _Toc45654068 \h </w:instrText>
      </w:r>
      <w:r>
        <w:rPr>
          <w:noProof/>
        </w:rPr>
      </w:r>
      <w:r>
        <w:rPr>
          <w:noProof/>
        </w:rPr>
        <w:fldChar w:fldCharType="separate"/>
      </w:r>
      <w:r>
        <w:rPr>
          <w:noProof/>
        </w:rPr>
        <w:t>41</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lang w:bidi="fa-IR"/>
        </w:rPr>
        <w:t>Projections of future size of the problem</w:t>
      </w:r>
      <w:r>
        <w:rPr>
          <w:noProof/>
        </w:rPr>
        <w:tab/>
      </w:r>
      <w:r>
        <w:rPr>
          <w:noProof/>
        </w:rPr>
        <w:fldChar w:fldCharType="begin"/>
      </w:r>
      <w:r>
        <w:rPr>
          <w:noProof/>
        </w:rPr>
        <w:instrText xml:space="preserve"> PAGEREF _Toc45654069 \h </w:instrText>
      </w:r>
      <w:r>
        <w:rPr>
          <w:noProof/>
        </w:rPr>
      </w:r>
      <w:r>
        <w:rPr>
          <w:noProof/>
        </w:rPr>
        <w:fldChar w:fldCharType="separate"/>
      </w:r>
      <w:r>
        <w:rPr>
          <w:noProof/>
        </w:rPr>
        <w:t>53</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lang w:bidi="fa-IR"/>
        </w:rPr>
        <w:t>Underlying causes</w:t>
      </w:r>
      <w:r>
        <w:rPr>
          <w:noProof/>
        </w:rPr>
        <w:tab/>
      </w:r>
      <w:r>
        <w:rPr>
          <w:noProof/>
        </w:rPr>
        <w:fldChar w:fldCharType="begin"/>
      </w:r>
      <w:r>
        <w:rPr>
          <w:noProof/>
        </w:rPr>
        <w:instrText xml:space="preserve"> PAGEREF _Toc45654070 \h </w:instrText>
      </w:r>
      <w:r>
        <w:rPr>
          <w:noProof/>
        </w:rPr>
      </w:r>
      <w:r>
        <w:rPr>
          <w:noProof/>
        </w:rPr>
        <w:fldChar w:fldCharType="separate"/>
      </w:r>
      <w:r>
        <w:rPr>
          <w:noProof/>
        </w:rPr>
        <w:t>54</w:t>
      </w:r>
      <w:r>
        <w:rPr>
          <w:noProof/>
        </w:rPr>
        <w:fldChar w:fldCharType="end"/>
      </w:r>
    </w:p>
    <w:p w:rsidR="009F1D80" w:rsidRDefault="009F1D80">
      <w:pPr>
        <w:pStyle w:val="TOC1"/>
        <w:rPr>
          <w:rFonts w:asciiTheme="minorHAnsi" w:eastAsiaTheme="minorEastAsia" w:hAnsiTheme="minorHAnsi" w:cstheme="minorBidi"/>
          <w:noProof/>
          <w:sz w:val="22"/>
          <w:szCs w:val="22"/>
          <w:lang w:eastAsia="zh-CN"/>
        </w:rPr>
      </w:pPr>
      <w:r>
        <w:rPr>
          <w:noProof/>
        </w:rPr>
        <w:t>3</w:t>
      </w:r>
      <w:r>
        <w:rPr>
          <w:rFonts w:asciiTheme="minorHAnsi" w:eastAsiaTheme="minorEastAsia" w:hAnsiTheme="minorHAnsi" w:cstheme="minorBidi"/>
          <w:noProof/>
          <w:sz w:val="22"/>
          <w:szCs w:val="22"/>
          <w:lang w:eastAsia="zh-CN"/>
        </w:rPr>
        <w:tab/>
      </w:r>
      <w:r>
        <w:rPr>
          <w:noProof/>
        </w:rPr>
        <w:t>Objectives and options</w:t>
      </w:r>
      <w:r>
        <w:rPr>
          <w:noProof/>
        </w:rPr>
        <w:tab/>
      </w:r>
      <w:r>
        <w:rPr>
          <w:noProof/>
        </w:rPr>
        <w:fldChar w:fldCharType="begin"/>
      </w:r>
      <w:r>
        <w:rPr>
          <w:noProof/>
        </w:rPr>
        <w:instrText xml:space="preserve"> PAGEREF _Toc45654071 \h </w:instrText>
      </w:r>
      <w:r>
        <w:rPr>
          <w:noProof/>
        </w:rPr>
      </w:r>
      <w:r>
        <w:rPr>
          <w:noProof/>
        </w:rPr>
        <w:fldChar w:fldCharType="separate"/>
      </w:r>
      <w:r>
        <w:rPr>
          <w:noProof/>
        </w:rPr>
        <w:t>58</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rPr>
        <w:t>Objectives</w:t>
      </w:r>
      <w:r>
        <w:rPr>
          <w:noProof/>
        </w:rPr>
        <w:tab/>
      </w:r>
      <w:r>
        <w:rPr>
          <w:noProof/>
        </w:rPr>
        <w:fldChar w:fldCharType="begin"/>
      </w:r>
      <w:r>
        <w:rPr>
          <w:noProof/>
        </w:rPr>
        <w:instrText xml:space="preserve"> PAGEREF _Toc45654072 \h </w:instrText>
      </w:r>
      <w:r>
        <w:rPr>
          <w:noProof/>
        </w:rPr>
      </w:r>
      <w:r>
        <w:rPr>
          <w:noProof/>
        </w:rPr>
        <w:fldChar w:fldCharType="separate"/>
      </w:r>
      <w:r>
        <w:rPr>
          <w:noProof/>
        </w:rPr>
        <w:t>58</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rPr>
        <w:t>Options</w:t>
      </w:r>
      <w:r>
        <w:rPr>
          <w:noProof/>
        </w:rPr>
        <w:tab/>
      </w:r>
      <w:r>
        <w:rPr>
          <w:noProof/>
        </w:rPr>
        <w:fldChar w:fldCharType="begin"/>
      </w:r>
      <w:r>
        <w:rPr>
          <w:noProof/>
        </w:rPr>
        <w:instrText xml:space="preserve"> PAGEREF _Toc45654073 \h </w:instrText>
      </w:r>
      <w:r>
        <w:rPr>
          <w:noProof/>
        </w:rPr>
      </w:r>
      <w:r>
        <w:rPr>
          <w:noProof/>
        </w:rPr>
        <w:fldChar w:fldCharType="separate"/>
      </w:r>
      <w:r>
        <w:rPr>
          <w:noProof/>
        </w:rPr>
        <w:t>60</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lang w:bidi="fa-IR"/>
        </w:rPr>
        <w:t>Summary of options to be considered</w:t>
      </w:r>
      <w:r>
        <w:rPr>
          <w:noProof/>
        </w:rPr>
        <w:tab/>
      </w:r>
      <w:r>
        <w:rPr>
          <w:noProof/>
        </w:rPr>
        <w:fldChar w:fldCharType="begin"/>
      </w:r>
      <w:r>
        <w:rPr>
          <w:noProof/>
        </w:rPr>
        <w:instrText xml:space="preserve"> PAGEREF _Toc45654074 \h </w:instrText>
      </w:r>
      <w:r>
        <w:rPr>
          <w:noProof/>
        </w:rPr>
      </w:r>
      <w:r>
        <w:rPr>
          <w:noProof/>
        </w:rPr>
        <w:fldChar w:fldCharType="separate"/>
      </w:r>
      <w:r>
        <w:rPr>
          <w:noProof/>
        </w:rPr>
        <w:t>66</w:t>
      </w:r>
      <w:r>
        <w:rPr>
          <w:noProof/>
        </w:rPr>
        <w:fldChar w:fldCharType="end"/>
      </w:r>
    </w:p>
    <w:p w:rsidR="009F1D80" w:rsidRDefault="009F1D80">
      <w:pPr>
        <w:pStyle w:val="TOC1"/>
        <w:rPr>
          <w:rFonts w:asciiTheme="minorHAnsi" w:eastAsiaTheme="minorEastAsia" w:hAnsiTheme="minorHAnsi" w:cstheme="minorBidi"/>
          <w:noProof/>
          <w:sz w:val="22"/>
          <w:szCs w:val="22"/>
          <w:lang w:eastAsia="zh-CN"/>
        </w:rPr>
      </w:pPr>
      <w:r>
        <w:rPr>
          <w:noProof/>
        </w:rPr>
        <w:t>4</w:t>
      </w:r>
      <w:r>
        <w:rPr>
          <w:rFonts w:asciiTheme="minorHAnsi" w:eastAsiaTheme="minorEastAsia" w:hAnsiTheme="minorHAnsi" w:cstheme="minorBidi"/>
          <w:noProof/>
          <w:sz w:val="22"/>
          <w:szCs w:val="22"/>
          <w:lang w:eastAsia="zh-CN"/>
        </w:rPr>
        <w:tab/>
      </w:r>
      <w:r>
        <w:rPr>
          <w:noProof/>
        </w:rPr>
        <w:t>Impacts</w:t>
      </w:r>
      <w:r>
        <w:rPr>
          <w:noProof/>
        </w:rPr>
        <w:tab/>
      </w:r>
      <w:r>
        <w:rPr>
          <w:noProof/>
        </w:rPr>
        <w:fldChar w:fldCharType="begin"/>
      </w:r>
      <w:r>
        <w:rPr>
          <w:noProof/>
        </w:rPr>
        <w:instrText xml:space="preserve"> PAGEREF _Toc45654075 \h </w:instrText>
      </w:r>
      <w:r>
        <w:rPr>
          <w:noProof/>
        </w:rPr>
      </w:r>
      <w:r>
        <w:rPr>
          <w:noProof/>
        </w:rPr>
        <w:fldChar w:fldCharType="separate"/>
      </w:r>
      <w:r>
        <w:rPr>
          <w:noProof/>
        </w:rPr>
        <w:t>68</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rPr>
        <w:t>Impacts</w:t>
      </w:r>
      <w:r>
        <w:rPr>
          <w:noProof/>
        </w:rPr>
        <w:tab/>
      </w:r>
      <w:r>
        <w:rPr>
          <w:noProof/>
        </w:rPr>
        <w:fldChar w:fldCharType="begin"/>
      </w:r>
      <w:r>
        <w:rPr>
          <w:noProof/>
        </w:rPr>
        <w:instrText xml:space="preserve"> PAGEREF _Toc45654076 \h </w:instrText>
      </w:r>
      <w:r>
        <w:rPr>
          <w:noProof/>
        </w:rPr>
      </w:r>
      <w:r>
        <w:rPr>
          <w:noProof/>
        </w:rPr>
        <w:fldChar w:fldCharType="separate"/>
      </w:r>
      <w:r>
        <w:rPr>
          <w:noProof/>
        </w:rPr>
        <w:t>68</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rPr>
        <w:t>Cost-benefit analysis framework</w:t>
      </w:r>
      <w:r>
        <w:rPr>
          <w:noProof/>
        </w:rPr>
        <w:tab/>
      </w:r>
      <w:r>
        <w:rPr>
          <w:noProof/>
        </w:rPr>
        <w:fldChar w:fldCharType="begin"/>
      </w:r>
      <w:r>
        <w:rPr>
          <w:noProof/>
        </w:rPr>
        <w:instrText xml:space="preserve"> PAGEREF _Toc45654077 \h </w:instrText>
      </w:r>
      <w:r>
        <w:rPr>
          <w:noProof/>
        </w:rPr>
      </w:r>
      <w:r>
        <w:rPr>
          <w:noProof/>
        </w:rPr>
        <w:fldChar w:fldCharType="separate"/>
      </w:r>
      <w:r>
        <w:rPr>
          <w:noProof/>
        </w:rPr>
        <w:t>70</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lang w:bidi="fa-IR"/>
        </w:rPr>
        <w:t>Projected dwelling construction</w:t>
      </w:r>
      <w:r>
        <w:rPr>
          <w:noProof/>
        </w:rPr>
        <w:tab/>
      </w:r>
      <w:r>
        <w:rPr>
          <w:noProof/>
        </w:rPr>
        <w:fldChar w:fldCharType="begin"/>
      </w:r>
      <w:r>
        <w:rPr>
          <w:noProof/>
        </w:rPr>
        <w:instrText xml:space="preserve"> PAGEREF _Toc45654078 \h </w:instrText>
      </w:r>
      <w:r>
        <w:rPr>
          <w:noProof/>
        </w:rPr>
      </w:r>
      <w:r>
        <w:rPr>
          <w:noProof/>
        </w:rPr>
        <w:fldChar w:fldCharType="separate"/>
      </w:r>
      <w:r>
        <w:rPr>
          <w:noProof/>
        </w:rPr>
        <w:t>72</w:t>
      </w:r>
      <w:r>
        <w:rPr>
          <w:noProof/>
        </w:rPr>
        <w:fldChar w:fldCharType="end"/>
      </w:r>
    </w:p>
    <w:p w:rsidR="009F1D80" w:rsidRDefault="009F1D80">
      <w:pPr>
        <w:pStyle w:val="TOC1"/>
        <w:rPr>
          <w:rFonts w:asciiTheme="minorHAnsi" w:eastAsiaTheme="minorEastAsia" w:hAnsiTheme="minorHAnsi" w:cstheme="minorBidi"/>
          <w:noProof/>
          <w:sz w:val="22"/>
          <w:szCs w:val="22"/>
          <w:lang w:eastAsia="zh-CN"/>
        </w:rPr>
      </w:pPr>
      <w:r>
        <w:rPr>
          <w:noProof/>
        </w:rPr>
        <w:t>5</w:t>
      </w:r>
      <w:r>
        <w:rPr>
          <w:rFonts w:asciiTheme="minorHAnsi" w:eastAsiaTheme="minorEastAsia" w:hAnsiTheme="minorHAnsi" w:cstheme="minorBidi"/>
          <w:noProof/>
          <w:sz w:val="22"/>
          <w:szCs w:val="22"/>
          <w:lang w:eastAsia="zh-CN"/>
        </w:rPr>
        <w:tab/>
      </w:r>
      <w:r>
        <w:rPr>
          <w:noProof/>
        </w:rPr>
        <w:t>Approach to estimating costs</w:t>
      </w:r>
      <w:r>
        <w:rPr>
          <w:noProof/>
        </w:rPr>
        <w:tab/>
      </w:r>
      <w:r>
        <w:rPr>
          <w:noProof/>
        </w:rPr>
        <w:fldChar w:fldCharType="begin"/>
      </w:r>
      <w:r>
        <w:rPr>
          <w:noProof/>
        </w:rPr>
        <w:instrText xml:space="preserve"> PAGEREF _Toc45654079 \h </w:instrText>
      </w:r>
      <w:r>
        <w:rPr>
          <w:noProof/>
        </w:rPr>
      </w:r>
      <w:r>
        <w:rPr>
          <w:noProof/>
        </w:rPr>
        <w:fldChar w:fldCharType="separate"/>
      </w:r>
      <w:r>
        <w:rPr>
          <w:noProof/>
        </w:rPr>
        <w:t>74</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rPr>
        <w:t>Additional cost of complying with proposed standards</w:t>
      </w:r>
      <w:r>
        <w:rPr>
          <w:noProof/>
        </w:rPr>
        <w:tab/>
      </w:r>
      <w:r>
        <w:rPr>
          <w:noProof/>
        </w:rPr>
        <w:fldChar w:fldCharType="begin"/>
      </w:r>
      <w:r>
        <w:rPr>
          <w:noProof/>
        </w:rPr>
        <w:instrText xml:space="preserve"> PAGEREF _Toc45654080 \h </w:instrText>
      </w:r>
      <w:r>
        <w:rPr>
          <w:noProof/>
        </w:rPr>
      </w:r>
      <w:r>
        <w:rPr>
          <w:noProof/>
        </w:rPr>
        <w:fldChar w:fldCharType="separate"/>
      </w:r>
      <w:r>
        <w:rPr>
          <w:noProof/>
        </w:rPr>
        <w:t>74</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rPr>
        <w:t>Transition costs</w:t>
      </w:r>
      <w:r>
        <w:rPr>
          <w:noProof/>
        </w:rPr>
        <w:tab/>
      </w:r>
      <w:r>
        <w:rPr>
          <w:noProof/>
        </w:rPr>
        <w:fldChar w:fldCharType="begin"/>
      </w:r>
      <w:r>
        <w:rPr>
          <w:noProof/>
        </w:rPr>
        <w:instrText xml:space="preserve"> PAGEREF _Toc45654081 \h </w:instrText>
      </w:r>
      <w:r>
        <w:rPr>
          <w:noProof/>
        </w:rPr>
      </w:r>
      <w:r>
        <w:rPr>
          <w:noProof/>
        </w:rPr>
        <w:fldChar w:fldCharType="separate"/>
      </w:r>
      <w:r>
        <w:rPr>
          <w:noProof/>
        </w:rPr>
        <w:t>84</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rPr>
        <w:t>Subsidies</w:t>
      </w:r>
      <w:r>
        <w:rPr>
          <w:noProof/>
        </w:rPr>
        <w:tab/>
      </w:r>
      <w:r>
        <w:rPr>
          <w:noProof/>
        </w:rPr>
        <w:fldChar w:fldCharType="begin"/>
      </w:r>
      <w:r>
        <w:rPr>
          <w:noProof/>
        </w:rPr>
        <w:instrText xml:space="preserve"> PAGEREF _Toc45654082 \h </w:instrText>
      </w:r>
      <w:r>
        <w:rPr>
          <w:noProof/>
        </w:rPr>
      </w:r>
      <w:r>
        <w:rPr>
          <w:noProof/>
        </w:rPr>
        <w:fldChar w:fldCharType="separate"/>
      </w:r>
      <w:r>
        <w:rPr>
          <w:noProof/>
        </w:rPr>
        <w:t>87</w:t>
      </w:r>
      <w:r>
        <w:rPr>
          <w:noProof/>
        </w:rPr>
        <w:fldChar w:fldCharType="end"/>
      </w:r>
    </w:p>
    <w:p w:rsidR="009F1D80" w:rsidRDefault="009F1D80">
      <w:pPr>
        <w:pStyle w:val="TOC1"/>
        <w:rPr>
          <w:rFonts w:asciiTheme="minorHAnsi" w:eastAsiaTheme="minorEastAsia" w:hAnsiTheme="minorHAnsi" w:cstheme="minorBidi"/>
          <w:noProof/>
          <w:sz w:val="22"/>
          <w:szCs w:val="22"/>
          <w:lang w:eastAsia="zh-CN"/>
        </w:rPr>
      </w:pPr>
      <w:r>
        <w:rPr>
          <w:noProof/>
        </w:rPr>
        <w:lastRenderedPageBreak/>
        <w:t>6</w:t>
      </w:r>
      <w:r>
        <w:rPr>
          <w:rFonts w:asciiTheme="minorHAnsi" w:eastAsiaTheme="minorEastAsia" w:hAnsiTheme="minorHAnsi" w:cstheme="minorBidi"/>
          <w:noProof/>
          <w:sz w:val="22"/>
          <w:szCs w:val="22"/>
          <w:lang w:eastAsia="zh-CN"/>
        </w:rPr>
        <w:tab/>
      </w:r>
      <w:r>
        <w:rPr>
          <w:noProof/>
        </w:rPr>
        <w:t>Estimating the benefits</w:t>
      </w:r>
      <w:r>
        <w:rPr>
          <w:noProof/>
        </w:rPr>
        <w:tab/>
      </w:r>
      <w:r>
        <w:rPr>
          <w:noProof/>
        </w:rPr>
        <w:fldChar w:fldCharType="begin"/>
      </w:r>
      <w:r>
        <w:rPr>
          <w:noProof/>
        </w:rPr>
        <w:instrText xml:space="preserve"> PAGEREF _Toc45654083 \h </w:instrText>
      </w:r>
      <w:r>
        <w:rPr>
          <w:noProof/>
        </w:rPr>
      </w:r>
      <w:r>
        <w:rPr>
          <w:noProof/>
        </w:rPr>
        <w:fldChar w:fldCharType="separate"/>
      </w:r>
      <w:r>
        <w:rPr>
          <w:noProof/>
        </w:rPr>
        <w:t>89</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rPr>
        <w:t>Approaches to estimating the benefits</w:t>
      </w:r>
      <w:r>
        <w:rPr>
          <w:noProof/>
        </w:rPr>
        <w:tab/>
      </w:r>
      <w:r>
        <w:rPr>
          <w:noProof/>
        </w:rPr>
        <w:fldChar w:fldCharType="begin"/>
      </w:r>
      <w:r>
        <w:rPr>
          <w:noProof/>
        </w:rPr>
        <w:instrText xml:space="preserve"> PAGEREF _Toc45654084 \h </w:instrText>
      </w:r>
      <w:r>
        <w:rPr>
          <w:noProof/>
        </w:rPr>
      </w:r>
      <w:r>
        <w:rPr>
          <w:noProof/>
        </w:rPr>
        <w:fldChar w:fldCharType="separate"/>
      </w:r>
      <w:r>
        <w:rPr>
          <w:noProof/>
        </w:rPr>
        <w:t>89</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rPr>
        <w:t>Problem reduction approach</w:t>
      </w:r>
      <w:r>
        <w:rPr>
          <w:noProof/>
        </w:rPr>
        <w:tab/>
      </w:r>
      <w:r>
        <w:rPr>
          <w:noProof/>
        </w:rPr>
        <w:fldChar w:fldCharType="begin"/>
      </w:r>
      <w:r>
        <w:rPr>
          <w:noProof/>
        </w:rPr>
        <w:instrText xml:space="preserve"> PAGEREF _Toc45654085 \h </w:instrText>
      </w:r>
      <w:r>
        <w:rPr>
          <w:noProof/>
        </w:rPr>
      </w:r>
      <w:r>
        <w:rPr>
          <w:noProof/>
        </w:rPr>
        <w:fldChar w:fldCharType="separate"/>
      </w:r>
      <w:r>
        <w:rPr>
          <w:noProof/>
        </w:rPr>
        <w:t>89</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rPr>
        <w:t>Societal benefits</w:t>
      </w:r>
      <w:r>
        <w:rPr>
          <w:noProof/>
        </w:rPr>
        <w:tab/>
      </w:r>
      <w:r>
        <w:rPr>
          <w:noProof/>
        </w:rPr>
        <w:fldChar w:fldCharType="begin"/>
      </w:r>
      <w:r>
        <w:rPr>
          <w:noProof/>
        </w:rPr>
        <w:instrText xml:space="preserve"> PAGEREF _Toc45654086 \h </w:instrText>
      </w:r>
      <w:r>
        <w:rPr>
          <w:noProof/>
        </w:rPr>
      </w:r>
      <w:r>
        <w:rPr>
          <w:noProof/>
        </w:rPr>
        <w:fldChar w:fldCharType="separate"/>
      </w:r>
      <w:r>
        <w:rPr>
          <w:noProof/>
        </w:rPr>
        <w:t>97</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lang w:bidi="fa-IR"/>
        </w:rPr>
        <w:t>Estimated willingness to pay for accessibility features</w:t>
      </w:r>
      <w:r>
        <w:rPr>
          <w:noProof/>
        </w:rPr>
        <w:tab/>
      </w:r>
      <w:r>
        <w:rPr>
          <w:noProof/>
        </w:rPr>
        <w:fldChar w:fldCharType="begin"/>
      </w:r>
      <w:r>
        <w:rPr>
          <w:noProof/>
        </w:rPr>
        <w:instrText xml:space="preserve"> PAGEREF _Toc45654087 \h </w:instrText>
      </w:r>
      <w:r>
        <w:rPr>
          <w:noProof/>
        </w:rPr>
      </w:r>
      <w:r>
        <w:rPr>
          <w:noProof/>
        </w:rPr>
        <w:fldChar w:fldCharType="separate"/>
      </w:r>
      <w:r>
        <w:rPr>
          <w:noProof/>
        </w:rPr>
        <w:t>98</w:t>
      </w:r>
      <w:r>
        <w:rPr>
          <w:noProof/>
        </w:rPr>
        <w:fldChar w:fldCharType="end"/>
      </w:r>
    </w:p>
    <w:p w:rsidR="009F1D80" w:rsidRDefault="009F1D80">
      <w:pPr>
        <w:pStyle w:val="TOC1"/>
        <w:rPr>
          <w:rFonts w:asciiTheme="minorHAnsi" w:eastAsiaTheme="minorEastAsia" w:hAnsiTheme="minorHAnsi" w:cstheme="minorBidi"/>
          <w:noProof/>
          <w:sz w:val="22"/>
          <w:szCs w:val="22"/>
          <w:lang w:eastAsia="zh-CN"/>
        </w:rPr>
      </w:pPr>
      <w:r>
        <w:rPr>
          <w:noProof/>
        </w:rPr>
        <w:t>7</w:t>
      </w:r>
      <w:r>
        <w:rPr>
          <w:rFonts w:asciiTheme="minorHAnsi" w:eastAsiaTheme="minorEastAsia" w:hAnsiTheme="minorHAnsi" w:cstheme="minorBidi"/>
          <w:noProof/>
          <w:sz w:val="22"/>
          <w:szCs w:val="22"/>
          <w:lang w:eastAsia="zh-CN"/>
        </w:rPr>
        <w:tab/>
      </w:r>
      <w:r>
        <w:rPr>
          <w:noProof/>
        </w:rPr>
        <w:t>Cost-benefit analysis</w:t>
      </w:r>
      <w:r>
        <w:rPr>
          <w:noProof/>
        </w:rPr>
        <w:tab/>
      </w:r>
      <w:r>
        <w:rPr>
          <w:noProof/>
        </w:rPr>
        <w:fldChar w:fldCharType="begin"/>
      </w:r>
      <w:r>
        <w:rPr>
          <w:noProof/>
        </w:rPr>
        <w:instrText xml:space="preserve"> PAGEREF _Toc45654088 \h </w:instrText>
      </w:r>
      <w:r>
        <w:rPr>
          <w:noProof/>
        </w:rPr>
      </w:r>
      <w:r>
        <w:rPr>
          <w:noProof/>
        </w:rPr>
        <w:fldChar w:fldCharType="separate"/>
      </w:r>
      <w:r>
        <w:rPr>
          <w:noProof/>
        </w:rPr>
        <w:t>109</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lang w:bidi="fa-IR"/>
        </w:rPr>
        <w:t>Cost-benefit analysis</w:t>
      </w:r>
      <w:r>
        <w:rPr>
          <w:noProof/>
        </w:rPr>
        <w:tab/>
      </w:r>
      <w:r>
        <w:rPr>
          <w:noProof/>
        </w:rPr>
        <w:fldChar w:fldCharType="begin"/>
      </w:r>
      <w:r>
        <w:rPr>
          <w:noProof/>
        </w:rPr>
        <w:instrText xml:space="preserve"> PAGEREF _Toc45654089 \h </w:instrText>
      </w:r>
      <w:r>
        <w:rPr>
          <w:noProof/>
        </w:rPr>
      </w:r>
      <w:r>
        <w:rPr>
          <w:noProof/>
        </w:rPr>
        <w:fldChar w:fldCharType="separate"/>
      </w:r>
      <w:r>
        <w:rPr>
          <w:noProof/>
        </w:rPr>
        <w:t>109</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lang w:bidi="fa-IR"/>
        </w:rPr>
        <w:t>Sensitivity analysis</w:t>
      </w:r>
      <w:r>
        <w:rPr>
          <w:noProof/>
        </w:rPr>
        <w:tab/>
      </w:r>
      <w:r>
        <w:rPr>
          <w:noProof/>
        </w:rPr>
        <w:fldChar w:fldCharType="begin"/>
      </w:r>
      <w:r>
        <w:rPr>
          <w:noProof/>
        </w:rPr>
        <w:instrText xml:space="preserve"> PAGEREF _Toc45654090 \h </w:instrText>
      </w:r>
      <w:r>
        <w:rPr>
          <w:noProof/>
        </w:rPr>
      </w:r>
      <w:r>
        <w:rPr>
          <w:noProof/>
        </w:rPr>
        <w:fldChar w:fldCharType="separate"/>
      </w:r>
      <w:r>
        <w:rPr>
          <w:noProof/>
        </w:rPr>
        <w:t>114</w:t>
      </w:r>
      <w:r>
        <w:rPr>
          <w:noProof/>
        </w:rPr>
        <w:fldChar w:fldCharType="end"/>
      </w:r>
    </w:p>
    <w:p w:rsidR="009F1D80" w:rsidRDefault="009F1D80">
      <w:pPr>
        <w:pStyle w:val="TOC1"/>
        <w:rPr>
          <w:rFonts w:asciiTheme="minorHAnsi" w:eastAsiaTheme="minorEastAsia" w:hAnsiTheme="minorHAnsi" w:cstheme="minorBidi"/>
          <w:noProof/>
          <w:sz w:val="22"/>
          <w:szCs w:val="22"/>
          <w:lang w:eastAsia="zh-CN"/>
        </w:rPr>
      </w:pPr>
      <w:r>
        <w:rPr>
          <w:noProof/>
        </w:rPr>
        <w:t>8</w:t>
      </w:r>
      <w:r>
        <w:rPr>
          <w:rFonts w:asciiTheme="minorHAnsi" w:eastAsiaTheme="minorEastAsia" w:hAnsiTheme="minorHAnsi" w:cstheme="minorBidi"/>
          <w:noProof/>
          <w:sz w:val="22"/>
          <w:szCs w:val="22"/>
          <w:lang w:eastAsia="zh-CN"/>
        </w:rPr>
        <w:tab/>
      </w:r>
      <w:r>
        <w:rPr>
          <w:noProof/>
        </w:rPr>
        <w:t>Conclusions</w:t>
      </w:r>
      <w:r>
        <w:rPr>
          <w:noProof/>
        </w:rPr>
        <w:tab/>
      </w:r>
      <w:r>
        <w:rPr>
          <w:noProof/>
        </w:rPr>
        <w:fldChar w:fldCharType="begin"/>
      </w:r>
      <w:r>
        <w:rPr>
          <w:noProof/>
        </w:rPr>
        <w:instrText xml:space="preserve"> PAGEREF _Toc45654091 \h </w:instrText>
      </w:r>
      <w:r>
        <w:rPr>
          <w:noProof/>
        </w:rPr>
      </w:r>
      <w:r>
        <w:rPr>
          <w:noProof/>
        </w:rPr>
        <w:fldChar w:fldCharType="separate"/>
      </w:r>
      <w:r>
        <w:rPr>
          <w:noProof/>
        </w:rPr>
        <w:t>117</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rPr>
        <w:t>Interpretation of the CBA results</w:t>
      </w:r>
      <w:r>
        <w:rPr>
          <w:noProof/>
        </w:rPr>
        <w:tab/>
      </w:r>
      <w:r>
        <w:rPr>
          <w:noProof/>
        </w:rPr>
        <w:fldChar w:fldCharType="begin"/>
      </w:r>
      <w:r>
        <w:rPr>
          <w:noProof/>
        </w:rPr>
        <w:instrText xml:space="preserve"> PAGEREF _Toc45654092 \h </w:instrText>
      </w:r>
      <w:r>
        <w:rPr>
          <w:noProof/>
        </w:rPr>
      </w:r>
      <w:r>
        <w:rPr>
          <w:noProof/>
        </w:rPr>
        <w:fldChar w:fldCharType="separate"/>
      </w:r>
      <w:r>
        <w:rPr>
          <w:noProof/>
        </w:rPr>
        <w:t>117</w:t>
      </w:r>
      <w:r>
        <w:rPr>
          <w:noProof/>
        </w:rPr>
        <w:fldChar w:fldCharType="end"/>
      </w:r>
    </w:p>
    <w:p w:rsidR="009F1D80" w:rsidRDefault="009F1D80">
      <w:pPr>
        <w:pStyle w:val="TOC2"/>
        <w:rPr>
          <w:rFonts w:asciiTheme="minorHAnsi" w:eastAsiaTheme="minorEastAsia" w:hAnsiTheme="minorHAnsi" w:cstheme="minorBidi"/>
          <w:noProof/>
          <w:sz w:val="22"/>
          <w:szCs w:val="22"/>
          <w:lang w:eastAsia="zh-CN"/>
        </w:rPr>
      </w:pPr>
      <w:r>
        <w:rPr>
          <w:noProof/>
          <w:lang w:bidi="fa-IR"/>
        </w:rPr>
        <w:t>Preliminary recommendation</w:t>
      </w:r>
      <w:r>
        <w:rPr>
          <w:noProof/>
        </w:rPr>
        <w:tab/>
      </w:r>
      <w:r>
        <w:rPr>
          <w:noProof/>
        </w:rPr>
        <w:fldChar w:fldCharType="begin"/>
      </w:r>
      <w:r>
        <w:rPr>
          <w:noProof/>
        </w:rPr>
        <w:instrText xml:space="preserve"> PAGEREF _Toc45654093 \h </w:instrText>
      </w:r>
      <w:r>
        <w:rPr>
          <w:noProof/>
        </w:rPr>
      </w:r>
      <w:r>
        <w:rPr>
          <w:noProof/>
        </w:rPr>
        <w:fldChar w:fldCharType="separate"/>
      </w:r>
      <w:r>
        <w:rPr>
          <w:noProof/>
        </w:rPr>
        <w:t>119</w:t>
      </w:r>
      <w:r>
        <w:rPr>
          <w:noProof/>
        </w:rPr>
        <w:fldChar w:fldCharType="end"/>
      </w:r>
    </w:p>
    <w:p w:rsidR="009F1D80" w:rsidRDefault="009F1D80">
      <w:pPr>
        <w:pStyle w:val="TOC1"/>
        <w:rPr>
          <w:rFonts w:asciiTheme="minorHAnsi" w:eastAsiaTheme="minorEastAsia" w:hAnsiTheme="minorHAnsi" w:cstheme="minorBidi"/>
          <w:noProof/>
          <w:sz w:val="22"/>
          <w:szCs w:val="22"/>
          <w:lang w:eastAsia="zh-CN"/>
        </w:rPr>
      </w:pPr>
      <w:r>
        <w:rPr>
          <w:noProof/>
        </w:rPr>
        <w:t>A</w:t>
      </w:r>
      <w:r>
        <w:rPr>
          <w:rFonts w:asciiTheme="minorHAnsi" w:eastAsiaTheme="minorEastAsia" w:hAnsiTheme="minorHAnsi" w:cstheme="minorBidi"/>
          <w:noProof/>
          <w:sz w:val="22"/>
          <w:szCs w:val="22"/>
          <w:lang w:eastAsia="zh-CN"/>
        </w:rPr>
        <w:tab/>
      </w:r>
      <w:r>
        <w:rPr>
          <w:noProof/>
        </w:rPr>
        <w:t>Approach to estimating safety impacts</w:t>
      </w:r>
      <w:r>
        <w:rPr>
          <w:noProof/>
        </w:rPr>
        <w:tab/>
      </w:r>
      <w:r>
        <w:rPr>
          <w:noProof/>
        </w:rPr>
        <w:fldChar w:fldCharType="begin"/>
      </w:r>
      <w:r>
        <w:rPr>
          <w:noProof/>
        </w:rPr>
        <w:instrText xml:space="preserve"> PAGEREF _Toc45654094 \h </w:instrText>
      </w:r>
      <w:r>
        <w:rPr>
          <w:noProof/>
        </w:rPr>
      </w:r>
      <w:r>
        <w:rPr>
          <w:noProof/>
        </w:rPr>
        <w:fldChar w:fldCharType="separate"/>
      </w:r>
      <w:r>
        <w:rPr>
          <w:noProof/>
        </w:rPr>
        <w:t>120</w:t>
      </w:r>
      <w:r>
        <w:rPr>
          <w:noProof/>
        </w:rPr>
        <w:fldChar w:fldCharType="end"/>
      </w:r>
    </w:p>
    <w:p w:rsidR="009F1D80" w:rsidRDefault="009F1D80">
      <w:pPr>
        <w:pStyle w:val="TOC1"/>
        <w:rPr>
          <w:rFonts w:asciiTheme="minorHAnsi" w:eastAsiaTheme="minorEastAsia" w:hAnsiTheme="minorHAnsi" w:cstheme="minorBidi"/>
          <w:noProof/>
          <w:sz w:val="22"/>
          <w:szCs w:val="22"/>
          <w:lang w:eastAsia="zh-CN"/>
        </w:rPr>
      </w:pPr>
      <w:r>
        <w:rPr>
          <w:noProof/>
        </w:rPr>
        <w:t>B</w:t>
      </w:r>
      <w:r>
        <w:rPr>
          <w:rFonts w:asciiTheme="minorHAnsi" w:eastAsiaTheme="minorEastAsia" w:hAnsiTheme="minorHAnsi" w:cstheme="minorBidi"/>
          <w:noProof/>
          <w:sz w:val="22"/>
          <w:szCs w:val="22"/>
          <w:lang w:eastAsia="zh-CN"/>
        </w:rPr>
        <w:tab/>
      </w:r>
      <w:r>
        <w:rPr>
          <w:noProof/>
        </w:rPr>
        <w:t>Approach to estimating the cost of additional care</w:t>
      </w:r>
      <w:r>
        <w:rPr>
          <w:noProof/>
        </w:rPr>
        <w:tab/>
      </w:r>
      <w:r>
        <w:rPr>
          <w:noProof/>
        </w:rPr>
        <w:fldChar w:fldCharType="begin"/>
      </w:r>
      <w:r>
        <w:rPr>
          <w:noProof/>
        </w:rPr>
        <w:instrText xml:space="preserve"> PAGEREF _Toc45654095 \h </w:instrText>
      </w:r>
      <w:r>
        <w:rPr>
          <w:noProof/>
        </w:rPr>
      </w:r>
      <w:r>
        <w:rPr>
          <w:noProof/>
        </w:rPr>
        <w:fldChar w:fldCharType="separate"/>
      </w:r>
      <w:r>
        <w:rPr>
          <w:noProof/>
        </w:rPr>
        <w:t>137</w:t>
      </w:r>
      <w:r>
        <w:rPr>
          <w:noProof/>
        </w:rPr>
        <w:fldChar w:fldCharType="end"/>
      </w:r>
    </w:p>
    <w:p w:rsidR="009F1D80" w:rsidRDefault="009F1D80">
      <w:pPr>
        <w:pStyle w:val="TOC1"/>
        <w:rPr>
          <w:rFonts w:asciiTheme="minorHAnsi" w:eastAsiaTheme="minorEastAsia" w:hAnsiTheme="minorHAnsi" w:cstheme="minorBidi"/>
          <w:noProof/>
          <w:sz w:val="22"/>
          <w:szCs w:val="22"/>
          <w:lang w:eastAsia="zh-CN"/>
        </w:rPr>
      </w:pPr>
      <w:r>
        <w:rPr>
          <w:noProof/>
        </w:rPr>
        <w:t>C</w:t>
      </w:r>
      <w:r>
        <w:rPr>
          <w:rFonts w:asciiTheme="minorHAnsi" w:eastAsiaTheme="minorEastAsia" w:hAnsiTheme="minorHAnsi" w:cstheme="minorBidi"/>
          <w:noProof/>
          <w:sz w:val="22"/>
          <w:szCs w:val="22"/>
          <w:lang w:eastAsia="zh-CN"/>
        </w:rPr>
        <w:tab/>
      </w:r>
      <w:r>
        <w:rPr>
          <w:noProof/>
        </w:rPr>
        <w:t>Approach to estimating the avoidable costs of home modifications</w:t>
      </w:r>
      <w:r>
        <w:rPr>
          <w:noProof/>
        </w:rPr>
        <w:tab/>
      </w:r>
      <w:r>
        <w:rPr>
          <w:noProof/>
        </w:rPr>
        <w:fldChar w:fldCharType="begin"/>
      </w:r>
      <w:r>
        <w:rPr>
          <w:noProof/>
        </w:rPr>
        <w:instrText xml:space="preserve"> PAGEREF _Toc45654096 \h </w:instrText>
      </w:r>
      <w:r>
        <w:rPr>
          <w:noProof/>
        </w:rPr>
      </w:r>
      <w:r>
        <w:rPr>
          <w:noProof/>
        </w:rPr>
        <w:fldChar w:fldCharType="separate"/>
      </w:r>
      <w:r>
        <w:rPr>
          <w:noProof/>
        </w:rPr>
        <w:t>142</w:t>
      </w:r>
      <w:r>
        <w:rPr>
          <w:noProof/>
        </w:rPr>
        <w:fldChar w:fldCharType="end"/>
      </w:r>
    </w:p>
    <w:p w:rsidR="009F1D80" w:rsidRDefault="009F1D80">
      <w:pPr>
        <w:pStyle w:val="TOC1"/>
        <w:rPr>
          <w:rFonts w:asciiTheme="minorHAnsi" w:eastAsiaTheme="minorEastAsia" w:hAnsiTheme="minorHAnsi" w:cstheme="minorBidi"/>
          <w:noProof/>
          <w:sz w:val="22"/>
          <w:szCs w:val="22"/>
          <w:lang w:eastAsia="zh-CN"/>
        </w:rPr>
      </w:pPr>
      <w:r>
        <w:rPr>
          <w:noProof/>
        </w:rPr>
        <w:t>D</w:t>
      </w:r>
      <w:r>
        <w:rPr>
          <w:rFonts w:asciiTheme="minorHAnsi" w:eastAsiaTheme="minorEastAsia" w:hAnsiTheme="minorHAnsi" w:cstheme="minorBidi"/>
          <w:noProof/>
          <w:sz w:val="22"/>
          <w:szCs w:val="22"/>
          <w:lang w:eastAsia="zh-CN"/>
        </w:rPr>
        <w:tab/>
      </w:r>
      <w:r>
        <w:rPr>
          <w:noProof/>
        </w:rPr>
        <w:t>Approach to estimating the avoidable costs of moving house</w:t>
      </w:r>
      <w:r>
        <w:rPr>
          <w:noProof/>
        </w:rPr>
        <w:tab/>
      </w:r>
      <w:r>
        <w:rPr>
          <w:noProof/>
        </w:rPr>
        <w:fldChar w:fldCharType="begin"/>
      </w:r>
      <w:r>
        <w:rPr>
          <w:noProof/>
        </w:rPr>
        <w:instrText xml:space="preserve"> PAGEREF _Toc45654097 \h </w:instrText>
      </w:r>
      <w:r>
        <w:rPr>
          <w:noProof/>
        </w:rPr>
      </w:r>
      <w:r>
        <w:rPr>
          <w:noProof/>
        </w:rPr>
        <w:fldChar w:fldCharType="separate"/>
      </w:r>
      <w:r>
        <w:rPr>
          <w:noProof/>
        </w:rPr>
        <w:t>146</w:t>
      </w:r>
      <w:r>
        <w:rPr>
          <w:noProof/>
        </w:rPr>
        <w:fldChar w:fldCharType="end"/>
      </w:r>
    </w:p>
    <w:p w:rsidR="009F1D80" w:rsidRDefault="009F1D80">
      <w:pPr>
        <w:pStyle w:val="TOC1"/>
        <w:rPr>
          <w:rFonts w:asciiTheme="minorHAnsi" w:eastAsiaTheme="minorEastAsia" w:hAnsiTheme="minorHAnsi" w:cstheme="minorBidi"/>
          <w:noProof/>
          <w:sz w:val="22"/>
          <w:szCs w:val="22"/>
          <w:lang w:eastAsia="zh-CN"/>
        </w:rPr>
      </w:pPr>
      <w:r>
        <w:rPr>
          <w:noProof/>
        </w:rPr>
        <w:t>E</w:t>
      </w:r>
      <w:r>
        <w:rPr>
          <w:rFonts w:asciiTheme="minorHAnsi" w:eastAsiaTheme="minorEastAsia" w:hAnsiTheme="minorHAnsi" w:cstheme="minorBidi"/>
          <w:noProof/>
          <w:sz w:val="22"/>
          <w:szCs w:val="22"/>
          <w:lang w:eastAsia="zh-CN"/>
        </w:rPr>
        <w:tab/>
      </w:r>
      <w:r>
        <w:rPr>
          <w:noProof/>
        </w:rPr>
        <w:t>Longer stays in hospital or transition care</w:t>
      </w:r>
      <w:r>
        <w:rPr>
          <w:noProof/>
        </w:rPr>
        <w:tab/>
      </w:r>
      <w:r>
        <w:rPr>
          <w:noProof/>
        </w:rPr>
        <w:fldChar w:fldCharType="begin"/>
      </w:r>
      <w:r>
        <w:rPr>
          <w:noProof/>
        </w:rPr>
        <w:instrText xml:space="preserve"> PAGEREF _Toc45654098 \h </w:instrText>
      </w:r>
      <w:r>
        <w:rPr>
          <w:noProof/>
        </w:rPr>
      </w:r>
      <w:r>
        <w:rPr>
          <w:noProof/>
        </w:rPr>
        <w:fldChar w:fldCharType="separate"/>
      </w:r>
      <w:r>
        <w:rPr>
          <w:noProof/>
        </w:rPr>
        <w:t>150</w:t>
      </w:r>
      <w:r>
        <w:rPr>
          <w:noProof/>
        </w:rPr>
        <w:fldChar w:fldCharType="end"/>
      </w:r>
    </w:p>
    <w:p w:rsidR="009F1D80" w:rsidRDefault="009F1D80">
      <w:pPr>
        <w:pStyle w:val="TOC1"/>
        <w:rPr>
          <w:rFonts w:asciiTheme="minorHAnsi" w:eastAsiaTheme="minorEastAsia" w:hAnsiTheme="minorHAnsi" w:cstheme="minorBidi"/>
          <w:noProof/>
          <w:sz w:val="22"/>
          <w:szCs w:val="22"/>
          <w:lang w:eastAsia="zh-CN"/>
        </w:rPr>
      </w:pPr>
      <w:r>
        <w:rPr>
          <w:noProof/>
        </w:rPr>
        <w:t>F</w:t>
      </w:r>
      <w:r>
        <w:rPr>
          <w:rFonts w:asciiTheme="minorHAnsi" w:eastAsiaTheme="minorEastAsia" w:hAnsiTheme="minorHAnsi" w:cstheme="minorBidi"/>
          <w:noProof/>
          <w:sz w:val="22"/>
          <w:szCs w:val="22"/>
          <w:lang w:eastAsia="zh-CN"/>
        </w:rPr>
        <w:tab/>
      </w:r>
      <w:r>
        <w:rPr>
          <w:noProof/>
        </w:rPr>
        <w:t>Approach to estimating the costs associated with loneliness</w:t>
      </w:r>
      <w:r>
        <w:rPr>
          <w:noProof/>
        </w:rPr>
        <w:tab/>
      </w:r>
      <w:r>
        <w:rPr>
          <w:noProof/>
        </w:rPr>
        <w:fldChar w:fldCharType="begin"/>
      </w:r>
      <w:r>
        <w:rPr>
          <w:noProof/>
        </w:rPr>
        <w:instrText xml:space="preserve"> PAGEREF _Toc45654099 \h </w:instrText>
      </w:r>
      <w:r>
        <w:rPr>
          <w:noProof/>
        </w:rPr>
      </w:r>
      <w:r>
        <w:rPr>
          <w:noProof/>
        </w:rPr>
        <w:fldChar w:fldCharType="separate"/>
      </w:r>
      <w:r>
        <w:rPr>
          <w:noProof/>
        </w:rPr>
        <w:t>154</w:t>
      </w:r>
      <w:r>
        <w:rPr>
          <w:noProof/>
        </w:rPr>
        <w:fldChar w:fldCharType="end"/>
      </w:r>
    </w:p>
    <w:p w:rsidR="009F1D80" w:rsidRDefault="009F1D80">
      <w:pPr>
        <w:pStyle w:val="TOC1"/>
        <w:rPr>
          <w:rFonts w:asciiTheme="minorHAnsi" w:eastAsiaTheme="minorEastAsia" w:hAnsiTheme="minorHAnsi" w:cstheme="minorBidi"/>
          <w:noProof/>
          <w:sz w:val="22"/>
          <w:szCs w:val="22"/>
          <w:lang w:eastAsia="zh-CN"/>
        </w:rPr>
      </w:pPr>
      <w:r>
        <w:rPr>
          <w:noProof/>
        </w:rPr>
        <w:t>G</w:t>
      </w:r>
      <w:r>
        <w:rPr>
          <w:rFonts w:asciiTheme="minorHAnsi" w:eastAsiaTheme="minorEastAsia" w:hAnsiTheme="minorHAnsi" w:cstheme="minorBidi"/>
          <w:noProof/>
          <w:sz w:val="22"/>
          <w:szCs w:val="22"/>
          <w:lang w:eastAsia="zh-CN"/>
        </w:rPr>
        <w:tab/>
      </w:r>
      <w:r>
        <w:rPr>
          <w:noProof/>
        </w:rPr>
        <w:t>Premature or inappropriate entry into residential aged care</w:t>
      </w:r>
      <w:r>
        <w:rPr>
          <w:noProof/>
        </w:rPr>
        <w:tab/>
      </w:r>
      <w:r>
        <w:rPr>
          <w:noProof/>
        </w:rPr>
        <w:fldChar w:fldCharType="begin"/>
      </w:r>
      <w:r>
        <w:rPr>
          <w:noProof/>
        </w:rPr>
        <w:instrText xml:space="preserve"> PAGEREF _Toc45654100 \h </w:instrText>
      </w:r>
      <w:r>
        <w:rPr>
          <w:noProof/>
        </w:rPr>
      </w:r>
      <w:r>
        <w:rPr>
          <w:noProof/>
        </w:rPr>
        <w:fldChar w:fldCharType="separate"/>
      </w:r>
      <w:r>
        <w:rPr>
          <w:noProof/>
        </w:rPr>
        <w:t>160</w:t>
      </w:r>
      <w:r>
        <w:rPr>
          <w:noProof/>
        </w:rPr>
        <w:fldChar w:fldCharType="end"/>
      </w:r>
    </w:p>
    <w:p w:rsidR="009F1D80" w:rsidRDefault="009F1D80">
      <w:pPr>
        <w:pStyle w:val="TOC1"/>
        <w:rPr>
          <w:rFonts w:asciiTheme="minorHAnsi" w:eastAsiaTheme="minorEastAsia" w:hAnsiTheme="minorHAnsi" w:cstheme="minorBidi"/>
          <w:noProof/>
          <w:sz w:val="22"/>
          <w:szCs w:val="22"/>
          <w:lang w:eastAsia="zh-CN"/>
        </w:rPr>
      </w:pPr>
      <w:r>
        <w:rPr>
          <w:noProof/>
        </w:rPr>
        <w:t>H</w:t>
      </w:r>
      <w:r>
        <w:rPr>
          <w:rFonts w:asciiTheme="minorHAnsi" w:eastAsiaTheme="minorEastAsia" w:hAnsiTheme="minorHAnsi" w:cstheme="minorBidi"/>
          <w:noProof/>
          <w:sz w:val="22"/>
          <w:szCs w:val="22"/>
          <w:lang w:eastAsia="zh-CN"/>
        </w:rPr>
        <w:tab/>
      </w:r>
      <w:r>
        <w:rPr>
          <w:noProof/>
        </w:rPr>
        <w:t>The impacts of accessible housing on employment outcomes</w:t>
      </w:r>
      <w:r>
        <w:rPr>
          <w:noProof/>
        </w:rPr>
        <w:tab/>
      </w:r>
      <w:r>
        <w:rPr>
          <w:noProof/>
        </w:rPr>
        <w:fldChar w:fldCharType="begin"/>
      </w:r>
      <w:r>
        <w:rPr>
          <w:noProof/>
        </w:rPr>
        <w:instrText xml:space="preserve"> PAGEREF _Toc45654101 \h </w:instrText>
      </w:r>
      <w:r>
        <w:rPr>
          <w:noProof/>
        </w:rPr>
      </w:r>
      <w:r>
        <w:rPr>
          <w:noProof/>
        </w:rPr>
        <w:fldChar w:fldCharType="separate"/>
      </w:r>
      <w:r>
        <w:rPr>
          <w:noProof/>
        </w:rPr>
        <w:t>173</w:t>
      </w:r>
      <w:r>
        <w:rPr>
          <w:noProof/>
        </w:rPr>
        <w:fldChar w:fldCharType="end"/>
      </w:r>
    </w:p>
    <w:p w:rsidR="009F1D80" w:rsidRDefault="009F1D80">
      <w:pPr>
        <w:pStyle w:val="TOC1"/>
        <w:rPr>
          <w:rFonts w:asciiTheme="minorHAnsi" w:eastAsiaTheme="minorEastAsia" w:hAnsiTheme="minorHAnsi" w:cstheme="minorBidi"/>
          <w:noProof/>
          <w:sz w:val="22"/>
          <w:szCs w:val="22"/>
          <w:lang w:eastAsia="zh-CN"/>
        </w:rPr>
      </w:pPr>
      <w:r>
        <w:rPr>
          <w:noProof/>
        </w:rPr>
        <w:t>I</w:t>
      </w:r>
      <w:r>
        <w:rPr>
          <w:rFonts w:asciiTheme="minorHAnsi" w:eastAsiaTheme="minorEastAsia" w:hAnsiTheme="minorHAnsi" w:cstheme="minorBidi"/>
          <w:noProof/>
          <w:sz w:val="22"/>
          <w:szCs w:val="22"/>
          <w:lang w:eastAsia="zh-CN"/>
        </w:rPr>
        <w:tab/>
      </w:r>
      <w:r>
        <w:rPr>
          <w:noProof/>
        </w:rPr>
        <w:t>Construction cost estimates</w:t>
      </w:r>
      <w:r>
        <w:rPr>
          <w:noProof/>
        </w:rPr>
        <w:tab/>
      </w:r>
      <w:r>
        <w:rPr>
          <w:noProof/>
        </w:rPr>
        <w:fldChar w:fldCharType="begin"/>
      </w:r>
      <w:r>
        <w:rPr>
          <w:noProof/>
        </w:rPr>
        <w:instrText xml:space="preserve"> PAGEREF _Toc45654102 \h </w:instrText>
      </w:r>
      <w:r>
        <w:rPr>
          <w:noProof/>
        </w:rPr>
      </w:r>
      <w:r>
        <w:rPr>
          <w:noProof/>
        </w:rPr>
        <w:fldChar w:fldCharType="separate"/>
      </w:r>
      <w:r>
        <w:rPr>
          <w:noProof/>
        </w:rPr>
        <w:t>179</w:t>
      </w:r>
      <w:r>
        <w:rPr>
          <w:noProof/>
        </w:rPr>
        <w:fldChar w:fldCharType="end"/>
      </w:r>
    </w:p>
    <w:p w:rsidR="009F1D80" w:rsidRDefault="009F1D80">
      <w:pPr>
        <w:pStyle w:val="TOC1"/>
        <w:rPr>
          <w:rFonts w:asciiTheme="minorHAnsi" w:eastAsiaTheme="minorEastAsia" w:hAnsiTheme="minorHAnsi" w:cstheme="minorBidi"/>
          <w:noProof/>
          <w:sz w:val="22"/>
          <w:szCs w:val="22"/>
          <w:lang w:eastAsia="zh-CN"/>
        </w:rPr>
      </w:pPr>
      <w:r>
        <w:rPr>
          <w:noProof/>
        </w:rPr>
        <w:t>J</w:t>
      </w:r>
      <w:r>
        <w:rPr>
          <w:rFonts w:asciiTheme="minorHAnsi" w:eastAsiaTheme="minorEastAsia" w:hAnsiTheme="minorHAnsi" w:cstheme="minorBidi"/>
          <w:noProof/>
          <w:sz w:val="22"/>
          <w:szCs w:val="22"/>
          <w:lang w:eastAsia="zh-CN"/>
        </w:rPr>
        <w:tab/>
      </w:r>
      <w:r>
        <w:rPr>
          <w:noProof/>
        </w:rPr>
        <w:t>Space costs estimates</w:t>
      </w:r>
      <w:r>
        <w:rPr>
          <w:noProof/>
        </w:rPr>
        <w:tab/>
      </w:r>
      <w:r>
        <w:rPr>
          <w:noProof/>
        </w:rPr>
        <w:fldChar w:fldCharType="begin"/>
      </w:r>
      <w:r>
        <w:rPr>
          <w:noProof/>
        </w:rPr>
        <w:instrText xml:space="preserve"> PAGEREF _Toc45654103 \h </w:instrText>
      </w:r>
      <w:r>
        <w:rPr>
          <w:noProof/>
        </w:rPr>
      </w:r>
      <w:r>
        <w:rPr>
          <w:noProof/>
        </w:rPr>
        <w:fldChar w:fldCharType="separate"/>
      </w:r>
      <w:r>
        <w:rPr>
          <w:noProof/>
        </w:rPr>
        <w:t>186</w:t>
      </w:r>
      <w:r>
        <w:rPr>
          <w:noProof/>
        </w:rPr>
        <w:fldChar w:fldCharType="end"/>
      </w:r>
    </w:p>
    <w:p w:rsidR="009F1D80" w:rsidRDefault="009F1D80">
      <w:pPr>
        <w:pStyle w:val="TOC1"/>
        <w:rPr>
          <w:rFonts w:asciiTheme="minorHAnsi" w:eastAsiaTheme="minorEastAsia" w:hAnsiTheme="minorHAnsi" w:cstheme="minorBidi"/>
          <w:noProof/>
          <w:sz w:val="22"/>
          <w:szCs w:val="22"/>
          <w:lang w:eastAsia="zh-CN"/>
        </w:rPr>
      </w:pPr>
      <w:r>
        <w:rPr>
          <w:noProof/>
        </w:rPr>
        <w:t>K</w:t>
      </w:r>
      <w:r>
        <w:rPr>
          <w:rFonts w:asciiTheme="minorHAnsi" w:eastAsiaTheme="minorEastAsia" w:hAnsiTheme="minorHAnsi" w:cstheme="minorBidi"/>
          <w:noProof/>
          <w:sz w:val="22"/>
          <w:szCs w:val="22"/>
          <w:lang w:eastAsia="zh-CN"/>
        </w:rPr>
        <w:tab/>
      </w:r>
      <w:r>
        <w:rPr>
          <w:noProof/>
        </w:rPr>
        <w:t>Survey method and results</w:t>
      </w:r>
      <w:r>
        <w:rPr>
          <w:noProof/>
        </w:rPr>
        <w:tab/>
      </w:r>
      <w:r>
        <w:rPr>
          <w:noProof/>
        </w:rPr>
        <w:fldChar w:fldCharType="begin"/>
      </w:r>
      <w:r>
        <w:rPr>
          <w:noProof/>
        </w:rPr>
        <w:instrText xml:space="preserve"> PAGEREF _Toc45654104 \h </w:instrText>
      </w:r>
      <w:r>
        <w:rPr>
          <w:noProof/>
        </w:rPr>
      </w:r>
      <w:r>
        <w:rPr>
          <w:noProof/>
        </w:rPr>
        <w:fldChar w:fldCharType="separate"/>
      </w:r>
      <w:r>
        <w:rPr>
          <w:noProof/>
        </w:rPr>
        <w:t>198</w:t>
      </w:r>
      <w:r>
        <w:rPr>
          <w:noProof/>
        </w:rPr>
        <w:fldChar w:fldCharType="end"/>
      </w:r>
    </w:p>
    <w:p w:rsidR="009F1D80" w:rsidRDefault="009F1D80">
      <w:pPr>
        <w:pStyle w:val="TOC1"/>
        <w:rPr>
          <w:rFonts w:asciiTheme="minorHAnsi" w:eastAsiaTheme="minorEastAsia" w:hAnsiTheme="minorHAnsi" w:cstheme="minorBidi"/>
          <w:noProof/>
          <w:sz w:val="22"/>
          <w:szCs w:val="22"/>
          <w:lang w:eastAsia="zh-CN"/>
        </w:rPr>
      </w:pPr>
      <w:r>
        <w:rPr>
          <w:noProof/>
          <w:lang w:eastAsia="en-US"/>
        </w:rPr>
        <w:t>L</w:t>
      </w:r>
      <w:r>
        <w:rPr>
          <w:rFonts w:asciiTheme="minorHAnsi" w:eastAsiaTheme="minorEastAsia" w:hAnsiTheme="minorHAnsi" w:cstheme="minorBidi"/>
          <w:noProof/>
          <w:sz w:val="22"/>
          <w:szCs w:val="22"/>
          <w:lang w:eastAsia="zh-CN"/>
        </w:rPr>
        <w:tab/>
      </w:r>
      <w:r>
        <w:rPr>
          <w:noProof/>
          <w:lang w:eastAsia="en-US"/>
        </w:rPr>
        <w:t>Survey questionnaire</w:t>
      </w:r>
      <w:r>
        <w:rPr>
          <w:noProof/>
        </w:rPr>
        <w:tab/>
      </w:r>
      <w:r>
        <w:rPr>
          <w:noProof/>
        </w:rPr>
        <w:fldChar w:fldCharType="begin"/>
      </w:r>
      <w:r>
        <w:rPr>
          <w:noProof/>
        </w:rPr>
        <w:instrText xml:space="preserve"> PAGEREF _Toc45654105 \h </w:instrText>
      </w:r>
      <w:r>
        <w:rPr>
          <w:noProof/>
        </w:rPr>
      </w:r>
      <w:r>
        <w:rPr>
          <w:noProof/>
        </w:rPr>
        <w:fldChar w:fldCharType="separate"/>
      </w:r>
      <w:r>
        <w:rPr>
          <w:noProof/>
        </w:rPr>
        <w:t>223</w:t>
      </w:r>
      <w:r>
        <w:rPr>
          <w:noProof/>
        </w:rPr>
        <w:fldChar w:fldCharType="end"/>
      </w:r>
    </w:p>
    <w:p w:rsidR="009F1D80" w:rsidRDefault="009F1D80">
      <w:pPr>
        <w:pStyle w:val="TOC1"/>
        <w:rPr>
          <w:rFonts w:asciiTheme="minorHAnsi" w:eastAsiaTheme="minorEastAsia" w:hAnsiTheme="minorHAnsi" w:cstheme="minorBidi"/>
          <w:noProof/>
          <w:sz w:val="22"/>
          <w:szCs w:val="22"/>
          <w:lang w:eastAsia="zh-CN"/>
        </w:rPr>
      </w:pPr>
      <w:r>
        <w:rPr>
          <w:noProof/>
          <w:lang w:bidi="fa-IR"/>
        </w:rPr>
        <w:t>M</w:t>
      </w:r>
      <w:r>
        <w:rPr>
          <w:rFonts w:asciiTheme="minorHAnsi" w:eastAsiaTheme="minorEastAsia" w:hAnsiTheme="minorHAnsi" w:cstheme="minorBidi"/>
          <w:noProof/>
          <w:sz w:val="22"/>
          <w:szCs w:val="22"/>
          <w:lang w:eastAsia="zh-CN"/>
        </w:rPr>
        <w:tab/>
      </w:r>
      <w:r>
        <w:rPr>
          <w:noProof/>
          <w:lang w:bidi="fa-IR"/>
        </w:rPr>
        <w:t>Consultation summary</w:t>
      </w:r>
      <w:r>
        <w:rPr>
          <w:noProof/>
        </w:rPr>
        <w:tab/>
      </w:r>
      <w:r>
        <w:rPr>
          <w:noProof/>
        </w:rPr>
        <w:fldChar w:fldCharType="begin"/>
      </w:r>
      <w:r>
        <w:rPr>
          <w:noProof/>
        </w:rPr>
        <w:instrText xml:space="preserve"> PAGEREF _Toc45654106 \h </w:instrText>
      </w:r>
      <w:r>
        <w:rPr>
          <w:noProof/>
        </w:rPr>
      </w:r>
      <w:r>
        <w:rPr>
          <w:noProof/>
        </w:rPr>
        <w:fldChar w:fldCharType="separate"/>
      </w:r>
      <w:r>
        <w:rPr>
          <w:noProof/>
        </w:rPr>
        <w:t>271</w:t>
      </w:r>
      <w:r>
        <w:rPr>
          <w:noProof/>
        </w:rPr>
        <w:fldChar w:fldCharType="end"/>
      </w:r>
    </w:p>
    <w:p w:rsidR="00650F3E" w:rsidRPr="002B76B3" w:rsidRDefault="00650F3E" w:rsidP="004E7620">
      <w:pPr>
        <w:pStyle w:val="BodyText"/>
        <w:spacing w:before="480"/>
        <w:rPr>
          <w:rFonts w:ascii="Franklin Gothic Demi" w:hAnsi="Franklin Gothic Demi"/>
          <w:caps/>
          <w:spacing w:val="10"/>
          <w:sz w:val="22"/>
        </w:rPr>
      </w:pPr>
      <w:r w:rsidRPr="00876B40">
        <w:fldChar w:fldCharType="end"/>
      </w:r>
      <w:r w:rsidRPr="002B76B3">
        <w:rPr>
          <w:rFonts w:ascii="Franklin Gothic Demi" w:hAnsi="Franklin Gothic Demi"/>
          <w:caps/>
          <w:spacing w:val="10"/>
          <w:sz w:val="22"/>
        </w:rPr>
        <w:t>Boxes, charts and tables</w:t>
      </w:r>
    </w:p>
    <w:p w:rsidR="009F1D80" w:rsidRDefault="00A16277">
      <w:pPr>
        <w:pStyle w:val="TableofFigures"/>
        <w:rPr>
          <w:rFonts w:eastAsiaTheme="minorEastAsia" w:cstheme="minorBidi"/>
          <w:noProof/>
          <w:sz w:val="22"/>
          <w:szCs w:val="22"/>
          <w:lang w:eastAsia="zh-CN"/>
        </w:rPr>
      </w:pPr>
      <w:r>
        <w:fldChar w:fldCharType="begin"/>
      </w:r>
      <w:r>
        <w:instrText xml:space="preserve"> TOC \t "Caption" \c </w:instrText>
      </w:r>
      <w:r>
        <w:fldChar w:fldCharType="separate"/>
      </w:r>
      <w:r w:rsidR="009F1D80">
        <w:rPr>
          <w:noProof/>
        </w:rPr>
        <w:t>1</w:t>
      </w:r>
      <w:r w:rsidR="009F1D80">
        <w:rPr>
          <w:rFonts w:eastAsiaTheme="minorEastAsia" w:cstheme="minorBidi"/>
          <w:noProof/>
          <w:sz w:val="22"/>
          <w:szCs w:val="22"/>
          <w:lang w:eastAsia="zh-CN"/>
        </w:rPr>
        <w:tab/>
      </w:r>
      <w:r w:rsidR="009F1D80">
        <w:rPr>
          <w:noProof/>
        </w:rPr>
        <w:t>Estimated size of the problem</w:t>
      </w:r>
      <w:r w:rsidR="009F1D80">
        <w:rPr>
          <w:noProof/>
        </w:rPr>
        <w:tab/>
      </w:r>
      <w:r w:rsidR="009F1D80">
        <w:rPr>
          <w:noProof/>
        </w:rPr>
        <w:fldChar w:fldCharType="begin"/>
      </w:r>
      <w:r w:rsidR="009F1D80">
        <w:rPr>
          <w:noProof/>
        </w:rPr>
        <w:instrText xml:space="preserve"> PAGEREF _Toc45654107 \h </w:instrText>
      </w:r>
      <w:r w:rsidR="009F1D80">
        <w:rPr>
          <w:noProof/>
        </w:rPr>
      </w:r>
      <w:r w:rsidR="009F1D80">
        <w:rPr>
          <w:noProof/>
        </w:rPr>
        <w:fldChar w:fldCharType="separate"/>
      </w:r>
      <w:r w:rsidR="009F1D80">
        <w:rPr>
          <w:noProof/>
        </w:rPr>
        <w:t>3</w:t>
      </w:r>
      <w:r w:rsidR="009F1D80">
        <w:rPr>
          <w:noProof/>
        </w:rPr>
        <w:fldChar w:fldCharType="end"/>
      </w:r>
    </w:p>
    <w:p w:rsidR="009F1D80" w:rsidRDefault="009F1D80">
      <w:pPr>
        <w:pStyle w:val="TableofFigures"/>
        <w:rPr>
          <w:rFonts w:eastAsiaTheme="minorEastAsia" w:cstheme="minorBidi"/>
          <w:noProof/>
          <w:sz w:val="22"/>
          <w:szCs w:val="22"/>
          <w:lang w:eastAsia="zh-CN"/>
        </w:rPr>
      </w:pPr>
      <w:r>
        <w:rPr>
          <w:noProof/>
        </w:rPr>
        <w:t>2</w:t>
      </w:r>
      <w:r>
        <w:rPr>
          <w:rFonts w:eastAsiaTheme="minorEastAsia" w:cstheme="minorBidi"/>
          <w:noProof/>
          <w:sz w:val="22"/>
          <w:szCs w:val="22"/>
          <w:lang w:eastAsia="zh-CN"/>
        </w:rPr>
        <w:tab/>
      </w:r>
      <w:r>
        <w:rPr>
          <w:noProof/>
        </w:rPr>
        <w:t>Estimated net benefits/costs under various approaches to measuring the benefits</w:t>
      </w:r>
      <w:r>
        <w:rPr>
          <w:noProof/>
        </w:rPr>
        <w:tab/>
      </w:r>
      <w:r>
        <w:rPr>
          <w:noProof/>
        </w:rPr>
        <w:fldChar w:fldCharType="begin"/>
      </w:r>
      <w:r>
        <w:rPr>
          <w:noProof/>
        </w:rPr>
        <w:instrText xml:space="preserve"> PAGEREF _Toc45654108 \h </w:instrText>
      </w:r>
      <w:r>
        <w:rPr>
          <w:noProof/>
        </w:rPr>
      </w:r>
      <w:r>
        <w:rPr>
          <w:noProof/>
        </w:rPr>
        <w:fldChar w:fldCharType="separate"/>
      </w:r>
      <w:r>
        <w:rPr>
          <w:noProof/>
        </w:rPr>
        <w:t>5</w:t>
      </w:r>
      <w:r>
        <w:rPr>
          <w:noProof/>
        </w:rPr>
        <w:fldChar w:fldCharType="end"/>
      </w:r>
    </w:p>
    <w:p w:rsidR="009F1D80" w:rsidRDefault="009F1D80">
      <w:pPr>
        <w:pStyle w:val="TableofFigures"/>
        <w:rPr>
          <w:rFonts w:eastAsiaTheme="minorEastAsia" w:cstheme="minorBidi"/>
          <w:noProof/>
          <w:sz w:val="22"/>
          <w:szCs w:val="22"/>
          <w:lang w:eastAsia="zh-CN"/>
        </w:rPr>
      </w:pPr>
      <w:r>
        <w:rPr>
          <w:noProof/>
        </w:rPr>
        <w:t>3</w:t>
      </w:r>
      <w:r>
        <w:rPr>
          <w:rFonts w:eastAsiaTheme="minorEastAsia" w:cstheme="minorBidi"/>
          <w:noProof/>
          <w:sz w:val="22"/>
          <w:szCs w:val="22"/>
          <w:lang w:eastAsia="zh-CN"/>
        </w:rPr>
        <w:tab/>
      </w:r>
      <w:r>
        <w:rPr>
          <w:noProof/>
        </w:rPr>
        <w:t>Estimated net benefit/cost – “problem reduction” approach</w:t>
      </w:r>
      <w:r>
        <w:rPr>
          <w:noProof/>
        </w:rPr>
        <w:tab/>
      </w:r>
      <w:r>
        <w:rPr>
          <w:noProof/>
        </w:rPr>
        <w:fldChar w:fldCharType="begin"/>
      </w:r>
      <w:r>
        <w:rPr>
          <w:noProof/>
        </w:rPr>
        <w:instrText xml:space="preserve"> PAGEREF _Toc45654109 \h </w:instrText>
      </w:r>
      <w:r>
        <w:rPr>
          <w:noProof/>
        </w:rPr>
      </w:r>
      <w:r>
        <w:rPr>
          <w:noProof/>
        </w:rPr>
        <w:fldChar w:fldCharType="separate"/>
      </w:r>
      <w:r>
        <w:rPr>
          <w:noProof/>
        </w:rPr>
        <w:t>6</w:t>
      </w:r>
      <w:r>
        <w:rPr>
          <w:noProof/>
        </w:rPr>
        <w:fldChar w:fldCharType="end"/>
      </w:r>
    </w:p>
    <w:p w:rsidR="009F1D80" w:rsidRDefault="009F1D80">
      <w:pPr>
        <w:pStyle w:val="TableofFigures"/>
        <w:rPr>
          <w:rFonts w:eastAsiaTheme="minorEastAsia" w:cstheme="minorBidi"/>
          <w:noProof/>
          <w:sz w:val="22"/>
          <w:szCs w:val="22"/>
          <w:lang w:eastAsia="zh-CN"/>
        </w:rPr>
      </w:pPr>
      <w:r>
        <w:rPr>
          <w:noProof/>
        </w:rPr>
        <w:t>4</w:t>
      </w:r>
      <w:r>
        <w:rPr>
          <w:rFonts w:eastAsiaTheme="minorEastAsia" w:cstheme="minorBidi"/>
          <w:noProof/>
          <w:sz w:val="22"/>
          <w:szCs w:val="22"/>
          <w:lang w:eastAsia="zh-CN"/>
        </w:rPr>
        <w:tab/>
      </w:r>
      <w:r>
        <w:rPr>
          <w:noProof/>
        </w:rPr>
        <w:t>Estimated net benefits/costs – ‘willingness to pay’ approach</w:t>
      </w:r>
      <w:r>
        <w:rPr>
          <w:noProof/>
        </w:rPr>
        <w:tab/>
      </w:r>
      <w:r>
        <w:rPr>
          <w:noProof/>
        </w:rPr>
        <w:fldChar w:fldCharType="begin"/>
      </w:r>
      <w:r>
        <w:rPr>
          <w:noProof/>
        </w:rPr>
        <w:instrText xml:space="preserve"> PAGEREF _Toc45654110 \h </w:instrText>
      </w:r>
      <w:r>
        <w:rPr>
          <w:noProof/>
        </w:rPr>
      </w:r>
      <w:r>
        <w:rPr>
          <w:noProof/>
        </w:rPr>
        <w:fldChar w:fldCharType="separate"/>
      </w:r>
      <w:r>
        <w:rPr>
          <w:noProof/>
        </w:rPr>
        <w:t>7</w:t>
      </w:r>
      <w:r>
        <w:rPr>
          <w:noProof/>
        </w:rPr>
        <w:fldChar w:fldCharType="end"/>
      </w:r>
    </w:p>
    <w:p w:rsidR="009F1D80" w:rsidRDefault="009F1D80">
      <w:pPr>
        <w:pStyle w:val="TableofFigures"/>
        <w:rPr>
          <w:rFonts w:eastAsiaTheme="minorEastAsia" w:cstheme="minorBidi"/>
          <w:noProof/>
          <w:sz w:val="22"/>
          <w:szCs w:val="22"/>
          <w:lang w:eastAsia="zh-CN"/>
        </w:rPr>
      </w:pPr>
      <w:r>
        <w:rPr>
          <w:noProof/>
        </w:rPr>
        <w:t>5</w:t>
      </w:r>
      <w:r>
        <w:rPr>
          <w:rFonts w:eastAsiaTheme="minorEastAsia" w:cstheme="minorBidi"/>
          <w:noProof/>
          <w:sz w:val="22"/>
          <w:szCs w:val="22"/>
          <w:lang w:eastAsia="zh-CN"/>
        </w:rPr>
        <w:tab/>
      </w:r>
      <w:r>
        <w:rPr>
          <w:noProof/>
        </w:rPr>
        <w:t xml:space="preserve">Estimated net benefits/costs – ‘willingness to pay’ approach applied only to households containing </w:t>
      </w:r>
      <w:r>
        <w:rPr>
          <w:noProof/>
          <w:lang w:bidi="fa-IR"/>
        </w:rPr>
        <w:t>a person with mobility-related disability</w:t>
      </w:r>
      <w:r>
        <w:rPr>
          <w:noProof/>
        </w:rPr>
        <w:tab/>
      </w:r>
      <w:r>
        <w:rPr>
          <w:noProof/>
        </w:rPr>
        <w:fldChar w:fldCharType="begin"/>
      </w:r>
      <w:r>
        <w:rPr>
          <w:noProof/>
        </w:rPr>
        <w:instrText xml:space="preserve"> PAGEREF _Toc45654111 \h </w:instrText>
      </w:r>
      <w:r>
        <w:rPr>
          <w:noProof/>
        </w:rPr>
      </w:r>
      <w:r>
        <w:rPr>
          <w:noProof/>
        </w:rPr>
        <w:fldChar w:fldCharType="separate"/>
      </w:r>
      <w:r>
        <w:rPr>
          <w:noProof/>
        </w:rPr>
        <w:t>8</w:t>
      </w:r>
      <w:r>
        <w:rPr>
          <w:noProof/>
        </w:rPr>
        <w:fldChar w:fldCharType="end"/>
      </w:r>
    </w:p>
    <w:p w:rsidR="009F1D80" w:rsidRDefault="009F1D80">
      <w:pPr>
        <w:pStyle w:val="TableofFigures"/>
        <w:rPr>
          <w:rFonts w:eastAsiaTheme="minorEastAsia" w:cstheme="minorBidi"/>
          <w:noProof/>
          <w:sz w:val="22"/>
          <w:szCs w:val="22"/>
          <w:lang w:eastAsia="zh-CN"/>
        </w:rPr>
      </w:pPr>
      <w:r>
        <w:rPr>
          <w:noProof/>
        </w:rPr>
        <w:t>6</w:t>
      </w:r>
      <w:r>
        <w:rPr>
          <w:rFonts w:eastAsiaTheme="minorEastAsia" w:cstheme="minorBidi"/>
          <w:noProof/>
          <w:sz w:val="22"/>
          <w:szCs w:val="22"/>
          <w:lang w:eastAsia="zh-CN"/>
        </w:rPr>
        <w:tab/>
      </w:r>
      <w:r>
        <w:rPr>
          <w:noProof/>
        </w:rPr>
        <w:t>Summary of main beneficiaries by approach</w:t>
      </w:r>
      <w:r>
        <w:rPr>
          <w:noProof/>
        </w:rPr>
        <w:tab/>
      </w:r>
      <w:r>
        <w:rPr>
          <w:noProof/>
        </w:rPr>
        <w:fldChar w:fldCharType="begin"/>
      </w:r>
      <w:r>
        <w:rPr>
          <w:noProof/>
        </w:rPr>
        <w:instrText xml:space="preserve"> PAGEREF _Toc45654112 \h </w:instrText>
      </w:r>
      <w:r>
        <w:rPr>
          <w:noProof/>
        </w:rPr>
      </w:r>
      <w:r>
        <w:rPr>
          <w:noProof/>
        </w:rPr>
        <w:fldChar w:fldCharType="separate"/>
      </w:r>
      <w:r>
        <w:rPr>
          <w:noProof/>
        </w:rPr>
        <w:t>8</w:t>
      </w:r>
      <w:r>
        <w:rPr>
          <w:noProof/>
        </w:rPr>
        <w:fldChar w:fldCharType="end"/>
      </w:r>
    </w:p>
    <w:p w:rsidR="009F1D80" w:rsidRDefault="009F1D80">
      <w:pPr>
        <w:pStyle w:val="TableofFigures"/>
        <w:rPr>
          <w:rFonts w:eastAsiaTheme="minorEastAsia" w:cstheme="minorBidi"/>
          <w:noProof/>
          <w:sz w:val="22"/>
          <w:szCs w:val="22"/>
          <w:lang w:eastAsia="zh-CN"/>
        </w:rPr>
      </w:pPr>
      <w:r>
        <w:rPr>
          <w:noProof/>
        </w:rPr>
        <w:t>1.1</w:t>
      </w:r>
      <w:r>
        <w:rPr>
          <w:rFonts w:eastAsiaTheme="minorEastAsia" w:cstheme="minorBidi"/>
          <w:noProof/>
          <w:sz w:val="22"/>
          <w:szCs w:val="22"/>
          <w:lang w:eastAsia="zh-CN"/>
        </w:rPr>
        <w:tab/>
      </w:r>
      <w:r>
        <w:rPr>
          <w:noProof/>
        </w:rPr>
        <w:t>United Nations Convention on the Rights of Persons with Disabilities</w:t>
      </w:r>
      <w:r>
        <w:rPr>
          <w:noProof/>
        </w:rPr>
        <w:tab/>
      </w:r>
      <w:r>
        <w:rPr>
          <w:noProof/>
        </w:rPr>
        <w:fldChar w:fldCharType="begin"/>
      </w:r>
      <w:r>
        <w:rPr>
          <w:noProof/>
        </w:rPr>
        <w:instrText xml:space="preserve"> PAGEREF _Toc45654113 \h </w:instrText>
      </w:r>
      <w:r>
        <w:rPr>
          <w:noProof/>
        </w:rPr>
      </w:r>
      <w:r>
        <w:rPr>
          <w:noProof/>
        </w:rPr>
        <w:fldChar w:fldCharType="separate"/>
      </w:r>
      <w:r>
        <w:rPr>
          <w:noProof/>
        </w:rPr>
        <w:t>17</w:t>
      </w:r>
      <w:r>
        <w:rPr>
          <w:noProof/>
        </w:rPr>
        <w:fldChar w:fldCharType="end"/>
      </w:r>
    </w:p>
    <w:p w:rsidR="009F1D80" w:rsidRDefault="009F1D80">
      <w:pPr>
        <w:pStyle w:val="TableofFigures"/>
        <w:rPr>
          <w:rFonts w:eastAsiaTheme="minorEastAsia" w:cstheme="minorBidi"/>
          <w:noProof/>
          <w:sz w:val="22"/>
          <w:szCs w:val="22"/>
          <w:lang w:eastAsia="zh-CN"/>
        </w:rPr>
      </w:pPr>
      <w:r>
        <w:rPr>
          <w:noProof/>
        </w:rPr>
        <w:t>1.2</w:t>
      </w:r>
      <w:r>
        <w:rPr>
          <w:rFonts w:eastAsiaTheme="minorEastAsia" w:cstheme="minorBidi"/>
          <w:noProof/>
          <w:sz w:val="22"/>
          <w:szCs w:val="22"/>
          <w:lang w:eastAsia="zh-CN"/>
        </w:rPr>
        <w:tab/>
      </w:r>
      <w:r>
        <w:rPr>
          <w:noProof/>
        </w:rPr>
        <w:t>Principles of Best Practice Regulation</w:t>
      </w:r>
      <w:r>
        <w:rPr>
          <w:noProof/>
        </w:rPr>
        <w:tab/>
      </w:r>
      <w:r>
        <w:rPr>
          <w:noProof/>
        </w:rPr>
        <w:fldChar w:fldCharType="begin"/>
      </w:r>
      <w:r>
        <w:rPr>
          <w:noProof/>
        </w:rPr>
        <w:instrText xml:space="preserve"> PAGEREF _Toc45654114 \h </w:instrText>
      </w:r>
      <w:r>
        <w:rPr>
          <w:noProof/>
        </w:rPr>
      </w:r>
      <w:r>
        <w:rPr>
          <w:noProof/>
        </w:rPr>
        <w:fldChar w:fldCharType="separate"/>
      </w:r>
      <w:r>
        <w:rPr>
          <w:noProof/>
        </w:rPr>
        <w:t>19</w:t>
      </w:r>
      <w:r>
        <w:rPr>
          <w:noProof/>
        </w:rPr>
        <w:fldChar w:fldCharType="end"/>
      </w:r>
    </w:p>
    <w:p w:rsidR="009F1D80" w:rsidRDefault="009F1D80">
      <w:pPr>
        <w:pStyle w:val="TableofFigures"/>
        <w:rPr>
          <w:rFonts w:eastAsiaTheme="minorEastAsia" w:cstheme="minorBidi"/>
          <w:noProof/>
          <w:sz w:val="22"/>
          <w:szCs w:val="22"/>
          <w:lang w:eastAsia="zh-CN"/>
        </w:rPr>
      </w:pPr>
      <w:r>
        <w:rPr>
          <w:noProof/>
        </w:rPr>
        <w:t>1.3</w:t>
      </w:r>
      <w:r>
        <w:rPr>
          <w:rFonts w:eastAsiaTheme="minorEastAsia" w:cstheme="minorBidi"/>
          <w:noProof/>
          <w:sz w:val="22"/>
          <w:szCs w:val="22"/>
          <w:lang w:eastAsia="zh-CN"/>
        </w:rPr>
        <w:tab/>
      </w:r>
      <w:r>
        <w:rPr>
          <w:noProof/>
        </w:rPr>
        <w:t>Summary of stakeholder consultations</w:t>
      </w:r>
      <w:r>
        <w:rPr>
          <w:noProof/>
        </w:rPr>
        <w:tab/>
      </w:r>
      <w:r>
        <w:rPr>
          <w:noProof/>
        </w:rPr>
        <w:fldChar w:fldCharType="begin"/>
      </w:r>
      <w:r>
        <w:rPr>
          <w:noProof/>
        </w:rPr>
        <w:instrText xml:space="preserve"> PAGEREF _Toc45654115 \h </w:instrText>
      </w:r>
      <w:r>
        <w:rPr>
          <w:noProof/>
        </w:rPr>
      </w:r>
      <w:r>
        <w:rPr>
          <w:noProof/>
        </w:rPr>
        <w:fldChar w:fldCharType="separate"/>
      </w:r>
      <w:r>
        <w:rPr>
          <w:noProof/>
        </w:rPr>
        <w:t>21</w:t>
      </w:r>
      <w:r>
        <w:rPr>
          <w:noProof/>
        </w:rPr>
        <w:fldChar w:fldCharType="end"/>
      </w:r>
    </w:p>
    <w:p w:rsidR="009F1D80" w:rsidRDefault="009F1D80">
      <w:pPr>
        <w:pStyle w:val="TableofFigures"/>
        <w:rPr>
          <w:rFonts w:eastAsiaTheme="minorEastAsia" w:cstheme="minorBidi"/>
          <w:noProof/>
          <w:sz w:val="22"/>
          <w:szCs w:val="22"/>
          <w:lang w:eastAsia="zh-CN"/>
        </w:rPr>
      </w:pPr>
      <w:r>
        <w:rPr>
          <w:noProof/>
        </w:rPr>
        <w:lastRenderedPageBreak/>
        <w:t>2.1</w:t>
      </w:r>
      <w:r>
        <w:rPr>
          <w:rFonts w:eastAsiaTheme="minorEastAsia" w:cstheme="minorBidi"/>
          <w:noProof/>
          <w:sz w:val="22"/>
          <w:szCs w:val="22"/>
          <w:lang w:eastAsia="zh-CN"/>
        </w:rPr>
        <w:tab/>
      </w:r>
      <w:r>
        <w:rPr>
          <w:noProof/>
        </w:rPr>
        <w:t>Estimated size of the problem (per year)</w:t>
      </w:r>
      <w:r>
        <w:rPr>
          <w:noProof/>
        </w:rPr>
        <w:tab/>
      </w:r>
      <w:r>
        <w:rPr>
          <w:noProof/>
        </w:rPr>
        <w:fldChar w:fldCharType="begin"/>
      </w:r>
      <w:r>
        <w:rPr>
          <w:noProof/>
        </w:rPr>
        <w:instrText xml:space="preserve"> PAGEREF _Toc45654116 \h </w:instrText>
      </w:r>
      <w:r>
        <w:rPr>
          <w:noProof/>
        </w:rPr>
      </w:r>
      <w:r>
        <w:rPr>
          <w:noProof/>
        </w:rPr>
        <w:fldChar w:fldCharType="separate"/>
      </w:r>
      <w:r>
        <w:rPr>
          <w:noProof/>
        </w:rPr>
        <w:t>24</w:t>
      </w:r>
      <w:r>
        <w:rPr>
          <w:noProof/>
        </w:rPr>
        <w:fldChar w:fldCharType="end"/>
      </w:r>
    </w:p>
    <w:p w:rsidR="009F1D80" w:rsidRDefault="009F1D80">
      <w:pPr>
        <w:pStyle w:val="TableofFigures"/>
        <w:rPr>
          <w:rFonts w:eastAsiaTheme="minorEastAsia" w:cstheme="minorBidi"/>
          <w:noProof/>
          <w:sz w:val="22"/>
          <w:szCs w:val="22"/>
          <w:lang w:eastAsia="zh-CN"/>
        </w:rPr>
      </w:pPr>
      <w:r>
        <w:rPr>
          <w:noProof/>
        </w:rPr>
        <w:t>2.2</w:t>
      </w:r>
      <w:r>
        <w:rPr>
          <w:rFonts w:eastAsiaTheme="minorEastAsia" w:cstheme="minorBidi"/>
          <w:noProof/>
          <w:sz w:val="22"/>
          <w:szCs w:val="22"/>
          <w:lang w:eastAsia="zh-CN"/>
        </w:rPr>
        <w:tab/>
      </w:r>
      <w:r>
        <w:rPr>
          <w:noProof/>
        </w:rPr>
        <w:t>Number of people with a disability who have a mobility limitation</w:t>
      </w:r>
      <w:r>
        <w:rPr>
          <w:noProof/>
        </w:rPr>
        <w:tab/>
      </w:r>
      <w:r>
        <w:rPr>
          <w:noProof/>
        </w:rPr>
        <w:fldChar w:fldCharType="begin"/>
      </w:r>
      <w:r>
        <w:rPr>
          <w:noProof/>
        </w:rPr>
        <w:instrText xml:space="preserve"> PAGEREF _Toc45654117 \h </w:instrText>
      </w:r>
      <w:r>
        <w:rPr>
          <w:noProof/>
        </w:rPr>
      </w:r>
      <w:r>
        <w:rPr>
          <w:noProof/>
        </w:rPr>
        <w:fldChar w:fldCharType="separate"/>
      </w:r>
      <w:r>
        <w:rPr>
          <w:noProof/>
        </w:rPr>
        <w:t>27</w:t>
      </w:r>
      <w:r>
        <w:rPr>
          <w:noProof/>
        </w:rPr>
        <w:fldChar w:fldCharType="end"/>
      </w:r>
    </w:p>
    <w:p w:rsidR="009F1D80" w:rsidRDefault="009F1D80">
      <w:pPr>
        <w:pStyle w:val="TableofFigures"/>
        <w:rPr>
          <w:rFonts w:eastAsiaTheme="minorEastAsia" w:cstheme="minorBidi"/>
          <w:noProof/>
          <w:sz w:val="22"/>
          <w:szCs w:val="22"/>
          <w:lang w:eastAsia="zh-CN"/>
        </w:rPr>
      </w:pPr>
      <w:r>
        <w:rPr>
          <w:noProof/>
        </w:rPr>
        <w:t>2.3</w:t>
      </w:r>
      <w:r>
        <w:rPr>
          <w:rFonts w:eastAsiaTheme="minorEastAsia" w:cstheme="minorBidi"/>
          <w:noProof/>
          <w:sz w:val="22"/>
          <w:szCs w:val="22"/>
          <w:lang w:eastAsia="zh-CN"/>
        </w:rPr>
        <w:tab/>
      </w:r>
      <w:r>
        <w:rPr>
          <w:noProof/>
        </w:rPr>
        <w:t>Types of mobility aids</w:t>
      </w:r>
      <w:r>
        <w:rPr>
          <w:noProof/>
        </w:rPr>
        <w:tab/>
      </w:r>
      <w:r>
        <w:rPr>
          <w:noProof/>
        </w:rPr>
        <w:fldChar w:fldCharType="begin"/>
      </w:r>
      <w:r>
        <w:rPr>
          <w:noProof/>
        </w:rPr>
        <w:instrText xml:space="preserve"> PAGEREF _Toc45654118 \h </w:instrText>
      </w:r>
      <w:r>
        <w:rPr>
          <w:noProof/>
        </w:rPr>
      </w:r>
      <w:r>
        <w:rPr>
          <w:noProof/>
        </w:rPr>
        <w:fldChar w:fldCharType="separate"/>
      </w:r>
      <w:r>
        <w:rPr>
          <w:noProof/>
        </w:rPr>
        <w:t>28</w:t>
      </w:r>
      <w:r>
        <w:rPr>
          <w:noProof/>
        </w:rPr>
        <w:fldChar w:fldCharType="end"/>
      </w:r>
    </w:p>
    <w:p w:rsidR="009F1D80" w:rsidRDefault="009F1D80">
      <w:pPr>
        <w:pStyle w:val="TableofFigures"/>
        <w:rPr>
          <w:rFonts w:eastAsiaTheme="minorEastAsia" w:cstheme="minorBidi"/>
          <w:noProof/>
          <w:sz w:val="22"/>
          <w:szCs w:val="22"/>
          <w:lang w:eastAsia="zh-CN"/>
        </w:rPr>
      </w:pPr>
      <w:r>
        <w:rPr>
          <w:noProof/>
        </w:rPr>
        <w:t>2.4</w:t>
      </w:r>
      <w:r>
        <w:rPr>
          <w:rFonts w:eastAsiaTheme="minorEastAsia" w:cstheme="minorBidi"/>
          <w:noProof/>
          <w:sz w:val="22"/>
          <w:szCs w:val="22"/>
          <w:lang w:eastAsia="zh-CN"/>
        </w:rPr>
        <w:tab/>
      </w:r>
      <w:r>
        <w:rPr>
          <w:noProof/>
        </w:rPr>
        <w:t>Population projections</w:t>
      </w:r>
      <w:r>
        <w:rPr>
          <w:noProof/>
        </w:rPr>
        <w:tab/>
      </w:r>
      <w:r>
        <w:rPr>
          <w:noProof/>
        </w:rPr>
        <w:fldChar w:fldCharType="begin"/>
      </w:r>
      <w:r>
        <w:rPr>
          <w:noProof/>
        </w:rPr>
        <w:instrText xml:space="preserve"> PAGEREF _Toc45654119 \h </w:instrText>
      </w:r>
      <w:r>
        <w:rPr>
          <w:noProof/>
        </w:rPr>
      </w:r>
      <w:r>
        <w:rPr>
          <w:noProof/>
        </w:rPr>
        <w:fldChar w:fldCharType="separate"/>
      </w:r>
      <w:r>
        <w:rPr>
          <w:noProof/>
        </w:rPr>
        <w:t>29</w:t>
      </w:r>
      <w:r>
        <w:rPr>
          <w:noProof/>
        </w:rPr>
        <w:fldChar w:fldCharType="end"/>
      </w:r>
    </w:p>
    <w:p w:rsidR="009F1D80" w:rsidRDefault="009F1D80">
      <w:pPr>
        <w:pStyle w:val="TableofFigures"/>
        <w:rPr>
          <w:rFonts w:eastAsiaTheme="minorEastAsia" w:cstheme="minorBidi"/>
          <w:noProof/>
          <w:sz w:val="22"/>
          <w:szCs w:val="22"/>
          <w:lang w:eastAsia="zh-CN"/>
        </w:rPr>
      </w:pPr>
      <w:r>
        <w:rPr>
          <w:noProof/>
        </w:rPr>
        <w:t>2.5</w:t>
      </w:r>
      <w:r>
        <w:rPr>
          <w:rFonts w:eastAsiaTheme="minorEastAsia" w:cstheme="minorBidi"/>
          <w:noProof/>
          <w:sz w:val="22"/>
          <w:szCs w:val="22"/>
          <w:lang w:eastAsia="zh-CN"/>
        </w:rPr>
        <w:tab/>
      </w:r>
      <w:r>
        <w:rPr>
          <w:noProof/>
        </w:rPr>
        <w:t>Mobility limitations and wheelchair users by age — share of population</w:t>
      </w:r>
      <w:r>
        <w:rPr>
          <w:noProof/>
        </w:rPr>
        <w:tab/>
      </w:r>
      <w:r>
        <w:rPr>
          <w:noProof/>
        </w:rPr>
        <w:fldChar w:fldCharType="begin"/>
      </w:r>
      <w:r>
        <w:rPr>
          <w:noProof/>
        </w:rPr>
        <w:instrText xml:space="preserve"> PAGEREF _Toc45654120 \h </w:instrText>
      </w:r>
      <w:r>
        <w:rPr>
          <w:noProof/>
        </w:rPr>
      </w:r>
      <w:r>
        <w:rPr>
          <w:noProof/>
        </w:rPr>
        <w:fldChar w:fldCharType="separate"/>
      </w:r>
      <w:r>
        <w:rPr>
          <w:noProof/>
        </w:rPr>
        <w:t>29</w:t>
      </w:r>
      <w:r>
        <w:rPr>
          <w:noProof/>
        </w:rPr>
        <w:fldChar w:fldCharType="end"/>
      </w:r>
    </w:p>
    <w:p w:rsidR="009F1D80" w:rsidRDefault="009F1D80">
      <w:pPr>
        <w:pStyle w:val="TableofFigures"/>
        <w:rPr>
          <w:rFonts w:eastAsiaTheme="minorEastAsia" w:cstheme="minorBidi"/>
          <w:noProof/>
          <w:sz w:val="22"/>
          <w:szCs w:val="22"/>
          <w:lang w:eastAsia="zh-CN"/>
        </w:rPr>
      </w:pPr>
      <w:r>
        <w:rPr>
          <w:noProof/>
        </w:rPr>
        <w:t>2.6</w:t>
      </w:r>
      <w:r>
        <w:rPr>
          <w:rFonts w:eastAsiaTheme="minorEastAsia" w:cstheme="minorBidi"/>
          <w:noProof/>
          <w:sz w:val="22"/>
          <w:szCs w:val="22"/>
          <w:lang w:eastAsia="zh-CN"/>
        </w:rPr>
        <w:tab/>
      </w:r>
      <w:r>
        <w:rPr>
          <w:noProof/>
        </w:rPr>
        <w:t>Number of people with a mobility limitation — projection</w:t>
      </w:r>
      <w:r>
        <w:rPr>
          <w:noProof/>
        </w:rPr>
        <w:tab/>
      </w:r>
      <w:r>
        <w:rPr>
          <w:noProof/>
        </w:rPr>
        <w:fldChar w:fldCharType="begin"/>
      </w:r>
      <w:r>
        <w:rPr>
          <w:noProof/>
        </w:rPr>
        <w:instrText xml:space="preserve"> PAGEREF _Toc45654121 \h </w:instrText>
      </w:r>
      <w:r>
        <w:rPr>
          <w:noProof/>
        </w:rPr>
      </w:r>
      <w:r>
        <w:rPr>
          <w:noProof/>
        </w:rPr>
        <w:fldChar w:fldCharType="separate"/>
      </w:r>
      <w:r>
        <w:rPr>
          <w:noProof/>
        </w:rPr>
        <w:t>30</w:t>
      </w:r>
      <w:r>
        <w:rPr>
          <w:noProof/>
        </w:rPr>
        <w:fldChar w:fldCharType="end"/>
      </w:r>
    </w:p>
    <w:p w:rsidR="009F1D80" w:rsidRDefault="009F1D80">
      <w:pPr>
        <w:pStyle w:val="TableofFigures"/>
        <w:rPr>
          <w:rFonts w:eastAsiaTheme="minorEastAsia" w:cstheme="minorBidi"/>
          <w:noProof/>
          <w:sz w:val="22"/>
          <w:szCs w:val="22"/>
          <w:lang w:eastAsia="zh-CN"/>
        </w:rPr>
      </w:pPr>
      <w:r>
        <w:rPr>
          <w:noProof/>
        </w:rPr>
        <w:t>2.7</w:t>
      </w:r>
      <w:r>
        <w:rPr>
          <w:rFonts w:eastAsiaTheme="minorEastAsia" w:cstheme="minorBidi"/>
          <w:noProof/>
          <w:sz w:val="22"/>
          <w:szCs w:val="22"/>
          <w:lang w:eastAsia="zh-CN"/>
        </w:rPr>
        <w:tab/>
      </w:r>
      <w:r>
        <w:rPr>
          <w:noProof/>
        </w:rPr>
        <w:t>Number of wheelchair users — projections</w:t>
      </w:r>
      <w:r>
        <w:rPr>
          <w:noProof/>
        </w:rPr>
        <w:tab/>
      </w:r>
      <w:r>
        <w:rPr>
          <w:noProof/>
        </w:rPr>
        <w:fldChar w:fldCharType="begin"/>
      </w:r>
      <w:r>
        <w:rPr>
          <w:noProof/>
        </w:rPr>
        <w:instrText xml:space="preserve"> PAGEREF _Toc45654122 \h </w:instrText>
      </w:r>
      <w:r>
        <w:rPr>
          <w:noProof/>
        </w:rPr>
      </w:r>
      <w:r>
        <w:rPr>
          <w:noProof/>
        </w:rPr>
        <w:fldChar w:fldCharType="separate"/>
      </w:r>
      <w:r>
        <w:rPr>
          <w:noProof/>
        </w:rPr>
        <w:t>30</w:t>
      </w:r>
      <w:r>
        <w:rPr>
          <w:noProof/>
        </w:rPr>
        <w:fldChar w:fldCharType="end"/>
      </w:r>
    </w:p>
    <w:p w:rsidR="009F1D80" w:rsidRDefault="009F1D80">
      <w:pPr>
        <w:pStyle w:val="TableofFigures"/>
        <w:rPr>
          <w:rFonts w:eastAsiaTheme="minorEastAsia" w:cstheme="minorBidi"/>
          <w:noProof/>
          <w:sz w:val="22"/>
          <w:szCs w:val="22"/>
          <w:lang w:eastAsia="zh-CN"/>
        </w:rPr>
      </w:pPr>
      <w:r>
        <w:rPr>
          <w:noProof/>
        </w:rPr>
        <w:t>2.8</w:t>
      </w:r>
      <w:r>
        <w:rPr>
          <w:rFonts w:eastAsiaTheme="minorEastAsia" w:cstheme="minorBidi"/>
          <w:noProof/>
          <w:sz w:val="22"/>
          <w:szCs w:val="22"/>
          <w:lang w:eastAsia="zh-CN"/>
        </w:rPr>
        <w:tab/>
      </w:r>
      <w:r>
        <w:rPr>
          <w:noProof/>
        </w:rPr>
        <w:t>Summary of state and territory government policies that to increase the supply of accessible housing</w:t>
      </w:r>
      <w:r>
        <w:rPr>
          <w:noProof/>
        </w:rPr>
        <w:tab/>
      </w:r>
      <w:r>
        <w:rPr>
          <w:noProof/>
        </w:rPr>
        <w:fldChar w:fldCharType="begin"/>
      </w:r>
      <w:r>
        <w:rPr>
          <w:noProof/>
        </w:rPr>
        <w:instrText xml:space="preserve"> PAGEREF _Toc45654123 \h </w:instrText>
      </w:r>
      <w:r>
        <w:rPr>
          <w:noProof/>
        </w:rPr>
      </w:r>
      <w:r>
        <w:rPr>
          <w:noProof/>
        </w:rPr>
        <w:fldChar w:fldCharType="separate"/>
      </w:r>
      <w:r>
        <w:rPr>
          <w:noProof/>
        </w:rPr>
        <w:t>31</w:t>
      </w:r>
      <w:r>
        <w:rPr>
          <w:noProof/>
        </w:rPr>
        <w:fldChar w:fldCharType="end"/>
      </w:r>
    </w:p>
    <w:p w:rsidR="009F1D80" w:rsidRDefault="009F1D80">
      <w:pPr>
        <w:pStyle w:val="TableofFigures"/>
        <w:rPr>
          <w:rFonts w:eastAsiaTheme="minorEastAsia" w:cstheme="minorBidi"/>
          <w:noProof/>
          <w:sz w:val="22"/>
          <w:szCs w:val="22"/>
          <w:lang w:eastAsia="zh-CN"/>
        </w:rPr>
      </w:pPr>
      <w:r>
        <w:rPr>
          <w:noProof/>
        </w:rPr>
        <w:t>2.9</w:t>
      </w:r>
      <w:r>
        <w:rPr>
          <w:rFonts w:eastAsiaTheme="minorEastAsia" w:cstheme="minorBidi"/>
          <w:noProof/>
          <w:sz w:val="22"/>
          <w:szCs w:val="22"/>
          <w:lang w:eastAsia="zh-CN"/>
        </w:rPr>
        <w:tab/>
      </w:r>
      <w:r>
        <w:rPr>
          <w:noProof/>
        </w:rPr>
        <w:t>Summary of state and territory government social housing accessibility requirements</w:t>
      </w:r>
      <w:r>
        <w:rPr>
          <w:noProof/>
        </w:rPr>
        <w:tab/>
      </w:r>
      <w:r>
        <w:rPr>
          <w:noProof/>
        </w:rPr>
        <w:fldChar w:fldCharType="begin"/>
      </w:r>
      <w:r>
        <w:rPr>
          <w:noProof/>
        </w:rPr>
        <w:instrText xml:space="preserve"> PAGEREF _Toc45654124 \h </w:instrText>
      </w:r>
      <w:r>
        <w:rPr>
          <w:noProof/>
        </w:rPr>
      </w:r>
      <w:r>
        <w:rPr>
          <w:noProof/>
        </w:rPr>
        <w:fldChar w:fldCharType="separate"/>
      </w:r>
      <w:r>
        <w:rPr>
          <w:noProof/>
        </w:rPr>
        <w:t>32</w:t>
      </w:r>
      <w:r>
        <w:rPr>
          <w:noProof/>
        </w:rPr>
        <w:fldChar w:fldCharType="end"/>
      </w:r>
    </w:p>
    <w:p w:rsidR="009F1D80" w:rsidRDefault="009F1D80">
      <w:pPr>
        <w:pStyle w:val="TableofFigures"/>
        <w:rPr>
          <w:rFonts w:eastAsiaTheme="minorEastAsia" w:cstheme="minorBidi"/>
          <w:noProof/>
          <w:sz w:val="22"/>
          <w:szCs w:val="22"/>
          <w:lang w:eastAsia="zh-CN"/>
        </w:rPr>
      </w:pPr>
      <w:r>
        <w:rPr>
          <w:noProof/>
        </w:rPr>
        <w:t>2.10</w:t>
      </w:r>
      <w:r>
        <w:rPr>
          <w:rFonts w:eastAsiaTheme="minorEastAsia" w:cstheme="minorBidi"/>
          <w:noProof/>
          <w:sz w:val="22"/>
          <w:szCs w:val="22"/>
          <w:lang w:eastAsia="zh-CN"/>
        </w:rPr>
        <w:tab/>
      </w:r>
      <w:r>
        <w:rPr>
          <w:noProof/>
        </w:rPr>
        <w:t>Summary of other services</w:t>
      </w:r>
      <w:r>
        <w:rPr>
          <w:noProof/>
        </w:rPr>
        <w:tab/>
      </w:r>
      <w:r>
        <w:rPr>
          <w:noProof/>
        </w:rPr>
        <w:fldChar w:fldCharType="begin"/>
      </w:r>
      <w:r>
        <w:rPr>
          <w:noProof/>
        </w:rPr>
        <w:instrText xml:space="preserve"> PAGEREF _Toc45654125 \h </w:instrText>
      </w:r>
      <w:r>
        <w:rPr>
          <w:noProof/>
        </w:rPr>
      </w:r>
      <w:r>
        <w:rPr>
          <w:noProof/>
        </w:rPr>
        <w:fldChar w:fldCharType="separate"/>
      </w:r>
      <w:r>
        <w:rPr>
          <w:noProof/>
        </w:rPr>
        <w:t>35</w:t>
      </w:r>
      <w:r>
        <w:rPr>
          <w:noProof/>
        </w:rPr>
        <w:fldChar w:fldCharType="end"/>
      </w:r>
    </w:p>
    <w:p w:rsidR="009F1D80" w:rsidRDefault="009F1D80">
      <w:pPr>
        <w:pStyle w:val="TableofFigures"/>
        <w:rPr>
          <w:rFonts w:eastAsiaTheme="minorEastAsia" w:cstheme="minorBidi"/>
          <w:noProof/>
          <w:sz w:val="22"/>
          <w:szCs w:val="22"/>
          <w:lang w:eastAsia="zh-CN"/>
        </w:rPr>
      </w:pPr>
      <w:r>
        <w:rPr>
          <w:noProof/>
        </w:rPr>
        <w:t>2.11</w:t>
      </w:r>
      <w:r>
        <w:rPr>
          <w:rFonts w:eastAsiaTheme="minorEastAsia" w:cstheme="minorBidi"/>
          <w:noProof/>
          <w:sz w:val="22"/>
          <w:szCs w:val="22"/>
          <w:lang w:eastAsia="zh-CN"/>
        </w:rPr>
        <w:tab/>
      </w:r>
      <w:r>
        <w:rPr>
          <w:noProof/>
        </w:rPr>
        <w:t>Type of dwelling</w:t>
      </w:r>
      <w:r>
        <w:rPr>
          <w:noProof/>
        </w:rPr>
        <w:tab/>
      </w:r>
      <w:r>
        <w:rPr>
          <w:noProof/>
        </w:rPr>
        <w:fldChar w:fldCharType="begin"/>
      </w:r>
      <w:r>
        <w:rPr>
          <w:noProof/>
        </w:rPr>
        <w:instrText xml:space="preserve"> PAGEREF _Toc45654126 \h </w:instrText>
      </w:r>
      <w:r>
        <w:rPr>
          <w:noProof/>
        </w:rPr>
      </w:r>
      <w:r>
        <w:rPr>
          <w:noProof/>
        </w:rPr>
        <w:fldChar w:fldCharType="separate"/>
      </w:r>
      <w:r>
        <w:rPr>
          <w:noProof/>
        </w:rPr>
        <w:t>35</w:t>
      </w:r>
      <w:r>
        <w:rPr>
          <w:noProof/>
        </w:rPr>
        <w:fldChar w:fldCharType="end"/>
      </w:r>
    </w:p>
    <w:p w:rsidR="009F1D80" w:rsidRDefault="009F1D80">
      <w:pPr>
        <w:pStyle w:val="TableofFigures"/>
        <w:rPr>
          <w:rFonts w:eastAsiaTheme="minorEastAsia" w:cstheme="minorBidi"/>
          <w:noProof/>
          <w:sz w:val="22"/>
          <w:szCs w:val="22"/>
          <w:lang w:eastAsia="zh-CN"/>
        </w:rPr>
      </w:pPr>
      <w:r>
        <w:rPr>
          <w:noProof/>
        </w:rPr>
        <w:t>2.12</w:t>
      </w:r>
      <w:r>
        <w:rPr>
          <w:rFonts w:eastAsiaTheme="minorEastAsia" w:cstheme="minorBidi"/>
          <w:noProof/>
          <w:sz w:val="22"/>
          <w:szCs w:val="22"/>
          <w:lang w:eastAsia="zh-CN"/>
        </w:rPr>
        <w:tab/>
      </w:r>
      <w:r>
        <w:rPr>
          <w:noProof/>
        </w:rPr>
        <w:t>Retirement village dwelling and resident numbers — 2014</w:t>
      </w:r>
      <w:r>
        <w:rPr>
          <w:noProof/>
        </w:rPr>
        <w:tab/>
      </w:r>
      <w:r>
        <w:rPr>
          <w:noProof/>
        </w:rPr>
        <w:fldChar w:fldCharType="begin"/>
      </w:r>
      <w:r>
        <w:rPr>
          <w:noProof/>
        </w:rPr>
        <w:instrText xml:space="preserve"> PAGEREF _Toc45654127 \h </w:instrText>
      </w:r>
      <w:r>
        <w:rPr>
          <w:noProof/>
        </w:rPr>
      </w:r>
      <w:r>
        <w:rPr>
          <w:noProof/>
        </w:rPr>
        <w:fldChar w:fldCharType="separate"/>
      </w:r>
      <w:r>
        <w:rPr>
          <w:noProof/>
        </w:rPr>
        <w:t>37</w:t>
      </w:r>
      <w:r>
        <w:rPr>
          <w:noProof/>
        </w:rPr>
        <w:fldChar w:fldCharType="end"/>
      </w:r>
    </w:p>
    <w:p w:rsidR="009F1D80" w:rsidRDefault="009F1D80">
      <w:pPr>
        <w:pStyle w:val="TableofFigures"/>
        <w:rPr>
          <w:rFonts w:eastAsiaTheme="minorEastAsia" w:cstheme="minorBidi"/>
          <w:noProof/>
          <w:sz w:val="22"/>
          <w:szCs w:val="22"/>
          <w:lang w:eastAsia="zh-CN"/>
        </w:rPr>
      </w:pPr>
      <w:r>
        <w:rPr>
          <w:noProof/>
        </w:rPr>
        <w:t>2.13</w:t>
      </w:r>
      <w:r>
        <w:rPr>
          <w:rFonts w:eastAsiaTheme="minorEastAsia" w:cstheme="minorBidi"/>
          <w:noProof/>
          <w:sz w:val="22"/>
          <w:szCs w:val="22"/>
          <w:lang w:eastAsia="zh-CN"/>
        </w:rPr>
        <w:tab/>
      </w:r>
      <w:r>
        <w:rPr>
          <w:noProof/>
        </w:rPr>
        <w:t>Share of people with a mobility limitation living in modified dwellings</w:t>
      </w:r>
      <w:r>
        <w:rPr>
          <w:noProof/>
        </w:rPr>
        <w:tab/>
      </w:r>
      <w:r>
        <w:rPr>
          <w:noProof/>
        </w:rPr>
        <w:fldChar w:fldCharType="begin"/>
      </w:r>
      <w:r>
        <w:rPr>
          <w:noProof/>
        </w:rPr>
        <w:instrText xml:space="preserve"> PAGEREF _Toc45654128 \h </w:instrText>
      </w:r>
      <w:r>
        <w:rPr>
          <w:noProof/>
        </w:rPr>
      </w:r>
      <w:r>
        <w:rPr>
          <w:noProof/>
        </w:rPr>
        <w:fldChar w:fldCharType="separate"/>
      </w:r>
      <w:r>
        <w:rPr>
          <w:noProof/>
        </w:rPr>
        <w:t>38</w:t>
      </w:r>
      <w:r>
        <w:rPr>
          <w:noProof/>
        </w:rPr>
        <w:fldChar w:fldCharType="end"/>
      </w:r>
    </w:p>
    <w:p w:rsidR="009F1D80" w:rsidRDefault="009F1D80">
      <w:pPr>
        <w:pStyle w:val="TableofFigures"/>
        <w:rPr>
          <w:rFonts w:eastAsiaTheme="minorEastAsia" w:cstheme="minorBidi"/>
          <w:noProof/>
          <w:sz w:val="22"/>
          <w:szCs w:val="22"/>
          <w:lang w:eastAsia="zh-CN"/>
        </w:rPr>
      </w:pPr>
      <w:r>
        <w:rPr>
          <w:noProof/>
        </w:rPr>
        <w:t>2.14</w:t>
      </w:r>
      <w:r>
        <w:rPr>
          <w:rFonts w:eastAsiaTheme="minorEastAsia" w:cstheme="minorBidi"/>
          <w:noProof/>
          <w:sz w:val="22"/>
          <w:szCs w:val="22"/>
          <w:lang w:eastAsia="zh-CN"/>
        </w:rPr>
        <w:tab/>
      </w:r>
      <w:r>
        <w:rPr>
          <w:noProof/>
        </w:rPr>
        <w:t>Types of home modifications — share of total home modifications</w:t>
      </w:r>
      <w:r>
        <w:rPr>
          <w:noProof/>
        </w:rPr>
        <w:tab/>
      </w:r>
      <w:r>
        <w:rPr>
          <w:noProof/>
        </w:rPr>
        <w:fldChar w:fldCharType="begin"/>
      </w:r>
      <w:r>
        <w:rPr>
          <w:noProof/>
        </w:rPr>
        <w:instrText xml:space="preserve"> PAGEREF _Toc45654129 \h </w:instrText>
      </w:r>
      <w:r>
        <w:rPr>
          <w:noProof/>
        </w:rPr>
      </w:r>
      <w:r>
        <w:rPr>
          <w:noProof/>
        </w:rPr>
        <w:fldChar w:fldCharType="separate"/>
      </w:r>
      <w:r>
        <w:rPr>
          <w:noProof/>
        </w:rPr>
        <w:t>38</w:t>
      </w:r>
      <w:r>
        <w:rPr>
          <w:noProof/>
        </w:rPr>
        <w:fldChar w:fldCharType="end"/>
      </w:r>
    </w:p>
    <w:p w:rsidR="009F1D80" w:rsidRDefault="009F1D80">
      <w:pPr>
        <w:pStyle w:val="TableofFigures"/>
        <w:rPr>
          <w:rFonts w:eastAsiaTheme="minorEastAsia" w:cstheme="minorBidi"/>
          <w:noProof/>
          <w:sz w:val="22"/>
          <w:szCs w:val="22"/>
          <w:lang w:eastAsia="zh-CN"/>
        </w:rPr>
      </w:pPr>
      <w:r>
        <w:rPr>
          <w:noProof/>
        </w:rPr>
        <w:t>2.15</w:t>
      </w:r>
      <w:r>
        <w:rPr>
          <w:rFonts w:eastAsiaTheme="minorEastAsia" w:cstheme="minorBidi"/>
          <w:noProof/>
          <w:sz w:val="22"/>
          <w:szCs w:val="22"/>
          <w:lang w:eastAsia="zh-CN"/>
        </w:rPr>
        <w:tab/>
      </w:r>
      <w:r>
        <w:rPr>
          <w:noProof/>
        </w:rPr>
        <w:t>Share of home modifications</w:t>
      </w:r>
      <w:r>
        <w:rPr>
          <w:noProof/>
        </w:rPr>
        <w:tab/>
      </w:r>
      <w:r>
        <w:rPr>
          <w:noProof/>
        </w:rPr>
        <w:fldChar w:fldCharType="begin"/>
      </w:r>
      <w:r>
        <w:rPr>
          <w:noProof/>
        </w:rPr>
        <w:instrText xml:space="preserve"> PAGEREF _Toc45654130 \h </w:instrText>
      </w:r>
      <w:r>
        <w:rPr>
          <w:noProof/>
        </w:rPr>
      </w:r>
      <w:r>
        <w:rPr>
          <w:noProof/>
        </w:rPr>
        <w:fldChar w:fldCharType="separate"/>
      </w:r>
      <w:r>
        <w:rPr>
          <w:noProof/>
        </w:rPr>
        <w:t>39</w:t>
      </w:r>
      <w:r>
        <w:rPr>
          <w:noProof/>
        </w:rPr>
        <w:fldChar w:fldCharType="end"/>
      </w:r>
    </w:p>
    <w:p w:rsidR="009F1D80" w:rsidRDefault="009F1D80">
      <w:pPr>
        <w:pStyle w:val="TableofFigures"/>
        <w:rPr>
          <w:rFonts w:eastAsiaTheme="minorEastAsia" w:cstheme="minorBidi"/>
          <w:noProof/>
          <w:sz w:val="22"/>
          <w:szCs w:val="22"/>
          <w:lang w:eastAsia="zh-CN"/>
        </w:rPr>
      </w:pPr>
      <w:r>
        <w:rPr>
          <w:noProof/>
        </w:rPr>
        <w:t>2.16</w:t>
      </w:r>
      <w:r>
        <w:rPr>
          <w:rFonts w:eastAsiaTheme="minorEastAsia" w:cstheme="minorBidi"/>
          <w:noProof/>
          <w:sz w:val="22"/>
          <w:szCs w:val="22"/>
          <w:lang w:eastAsia="zh-CN"/>
        </w:rPr>
        <w:tab/>
      </w:r>
      <w:r>
        <w:rPr>
          <w:noProof/>
        </w:rPr>
        <w:t>Moved house because of condition or age</w:t>
      </w:r>
      <w:r>
        <w:rPr>
          <w:noProof/>
        </w:rPr>
        <w:tab/>
      </w:r>
      <w:r>
        <w:rPr>
          <w:noProof/>
        </w:rPr>
        <w:fldChar w:fldCharType="begin"/>
      </w:r>
      <w:r>
        <w:rPr>
          <w:noProof/>
        </w:rPr>
        <w:instrText xml:space="preserve"> PAGEREF _Toc45654131 \h </w:instrText>
      </w:r>
      <w:r>
        <w:rPr>
          <w:noProof/>
        </w:rPr>
      </w:r>
      <w:r>
        <w:rPr>
          <w:noProof/>
        </w:rPr>
        <w:fldChar w:fldCharType="separate"/>
      </w:r>
      <w:r>
        <w:rPr>
          <w:noProof/>
        </w:rPr>
        <w:t>39</w:t>
      </w:r>
      <w:r>
        <w:rPr>
          <w:noProof/>
        </w:rPr>
        <w:fldChar w:fldCharType="end"/>
      </w:r>
    </w:p>
    <w:p w:rsidR="009F1D80" w:rsidRDefault="009F1D80">
      <w:pPr>
        <w:pStyle w:val="TableofFigures"/>
        <w:rPr>
          <w:rFonts w:eastAsiaTheme="minorEastAsia" w:cstheme="minorBidi"/>
          <w:noProof/>
          <w:sz w:val="22"/>
          <w:szCs w:val="22"/>
          <w:lang w:eastAsia="zh-CN"/>
        </w:rPr>
      </w:pPr>
      <w:r>
        <w:rPr>
          <w:noProof/>
        </w:rPr>
        <w:t>2.17</w:t>
      </w:r>
      <w:r>
        <w:rPr>
          <w:rFonts w:eastAsiaTheme="minorEastAsia" w:cstheme="minorBidi"/>
          <w:noProof/>
          <w:sz w:val="22"/>
          <w:szCs w:val="22"/>
          <w:lang w:eastAsia="zh-CN"/>
        </w:rPr>
        <w:tab/>
      </w:r>
      <w:r>
        <w:rPr>
          <w:noProof/>
        </w:rPr>
        <w:t>Number of people with a mobility-related disability in social housing</w:t>
      </w:r>
      <w:r>
        <w:rPr>
          <w:noProof/>
        </w:rPr>
        <w:tab/>
      </w:r>
      <w:r>
        <w:rPr>
          <w:noProof/>
        </w:rPr>
        <w:fldChar w:fldCharType="begin"/>
      </w:r>
      <w:r>
        <w:rPr>
          <w:noProof/>
        </w:rPr>
        <w:instrText xml:space="preserve"> PAGEREF _Toc45654132 \h </w:instrText>
      </w:r>
      <w:r>
        <w:rPr>
          <w:noProof/>
        </w:rPr>
      </w:r>
      <w:r>
        <w:rPr>
          <w:noProof/>
        </w:rPr>
        <w:fldChar w:fldCharType="separate"/>
      </w:r>
      <w:r>
        <w:rPr>
          <w:noProof/>
        </w:rPr>
        <w:t>40</w:t>
      </w:r>
      <w:r>
        <w:rPr>
          <w:noProof/>
        </w:rPr>
        <w:fldChar w:fldCharType="end"/>
      </w:r>
    </w:p>
    <w:p w:rsidR="009F1D80" w:rsidRDefault="009F1D80">
      <w:pPr>
        <w:pStyle w:val="TableofFigures"/>
        <w:rPr>
          <w:rFonts w:eastAsiaTheme="minorEastAsia" w:cstheme="minorBidi"/>
          <w:noProof/>
          <w:sz w:val="22"/>
          <w:szCs w:val="22"/>
          <w:lang w:eastAsia="zh-CN"/>
        </w:rPr>
      </w:pPr>
      <w:r>
        <w:rPr>
          <w:noProof/>
        </w:rPr>
        <w:t>2.18</w:t>
      </w:r>
      <w:r>
        <w:rPr>
          <w:rFonts w:eastAsiaTheme="minorEastAsia" w:cstheme="minorBidi"/>
          <w:noProof/>
          <w:sz w:val="22"/>
          <w:szCs w:val="22"/>
          <w:lang w:eastAsia="zh-CN"/>
        </w:rPr>
        <w:tab/>
      </w:r>
      <w:r>
        <w:rPr>
          <w:noProof/>
        </w:rPr>
        <w:t>Summary of sub-optimal outcomes from a shortage of accessible housing</w:t>
      </w:r>
      <w:r>
        <w:rPr>
          <w:noProof/>
        </w:rPr>
        <w:tab/>
      </w:r>
      <w:r>
        <w:rPr>
          <w:noProof/>
        </w:rPr>
        <w:fldChar w:fldCharType="begin"/>
      </w:r>
      <w:r>
        <w:rPr>
          <w:noProof/>
        </w:rPr>
        <w:instrText xml:space="preserve"> PAGEREF _Toc45654133 \h </w:instrText>
      </w:r>
      <w:r>
        <w:rPr>
          <w:noProof/>
        </w:rPr>
      </w:r>
      <w:r>
        <w:rPr>
          <w:noProof/>
        </w:rPr>
        <w:fldChar w:fldCharType="separate"/>
      </w:r>
      <w:r>
        <w:rPr>
          <w:noProof/>
        </w:rPr>
        <w:t>41</w:t>
      </w:r>
      <w:r>
        <w:rPr>
          <w:noProof/>
        </w:rPr>
        <w:fldChar w:fldCharType="end"/>
      </w:r>
    </w:p>
    <w:p w:rsidR="009F1D80" w:rsidRDefault="009F1D80">
      <w:pPr>
        <w:pStyle w:val="TableofFigures"/>
        <w:rPr>
          <w:rFonts w:eastAsiaTheme="minorEastAsia" w:cstheme="minorBidi"/>
          <w:noProof/>
          <w:sz w:val="22"/>
          <w:szCs w:val="22"/>
          <w:lang w:eastAsia="zh-CN"/>
        </w:rPr>
      </w:pPr>
      <w:r>
        <w:rPr>
          <w:noProof/>
        </w:rPr>
        <w:t>2.19</w:t>
      </w:r>
      <w:r>
        <w:rPr>
          <w:rFonts w:eastAsiaTheme="minorEastAsia" w:cstheme="minorBidi"/>
          <w:noProof/>
          <w:sz w:val="22"/>
          <w:szCs w:val="22"/>
          <w:lang w:eastAsia="zh-CN"/>
        </w:rPr>
        <w:tab/>
      </w:r>
      <w:r>
        <w:rPr>
          <w:noProof/>
        </w:rPr>
        <w:t>Questions for stakeholders</w:t>
      </w:r>
      <w:r>
        <w:rPr>
          <w:noProof/>
        </w:rPr>
        <w:tab/>
      </w:r>
      <w:r>
        <w:rPr>
          <w:noProof/>
        </w:rPr>
        <w:fldChar w:fldCharType="begin"/>
      </w:r>
      <w:r>
        <w:rPr>
          <w:noProof/>
        </w:rPr>
        <w:instrText xml:space="preserve"> PAGEREF _Toc45654134 \h </w:instrText>
      </w:r>
      <w:r>
        <w:rPr>
          <w:noProof/>
        </w:rPr>
      </w:r>
      <w:r>
        <w:rPr>
          <w:noProof/>
        </w:rPr>
        <w:fldChar w:fldCharType="separate"/>
      </w:r>
      <w:r>
        <w:rPr>
          <w:noProof/>
        </w:rPr>
        <w:t>44</w:t>
      </w:r>
      <w:r>
        <w:rPr>
          <w:noProof/>
        </w:rPr>
        <w:fldChar w:fldCharType="end"/>
      </w:r>
    </w:p>
    <w:p w:rsidR="009F1D80" w:rsidRDefault="009F1D80">
      <w:pPr>
        <w:pStyle w:val="TableofFigures"/>
        <w:rPr>
          <w:rFonts w:eastAsiaTheme="minorEastAsia" w:cstheme="minorBidi"/>
          <w:noProof/>
          <w:sz w:val="22"/>
          <w:szCs w:val="22"/>
          <w:lang w:eastAsia="zh-CN"/>
        </w:rPr>
      </w:pPr>
      <w:r>
        <w:rPr>
          <w:noProof/>
        </w:rPr>
        <w:t>2.20</w:t>
      </w:r>
      <w:r>
        <w:rPr>
          <w:rFonts w:eastAsiaTheme="minorEastAsia" w:cstheme="minorBidi"/>
          <w:noProof/>
          <w:sz w:val="22"/>
          <w:szCs w:val="22"/>
          <w:lang w:eastAsia="zh-CN"/>
        </w:rPr>
        <w:tab/>
      </w:r>
      <w:r>
        <w:rPr>
          <w:noProof/>
        </w:rPr>
        <w:t>Estimated annual safety costs from inaccessible housing</w:t>
      </w:r>
      <w:r>
        <w:rPr>
          <w:noProof/>
        </w:rPr>
        <w:tab/>
      </w:r>
      <w:r>
        <w:rPr>
          <w:noProof/>
        </w:rPr>
        <w:fldChar w:fldCharType="begin"/>
      </w:r>
      <w:r>
        <w:rPr>
          <w:noProof/>
        </w:rPr>
        <w:instrText xml:space="preserve"> PAGEREF _Toc45654135 \h </w:instrText>
      </w:r>
      <w:r>
        <w:rPr>
          <w:noProof/>
        </w:rPr>
      </w:r>
      <w:r>
        <w:rPr>
          <w:noProof/>
        </w:rPr>
        <w:fldChar w:fldCharType="separate"/>
      </w:r>
      <w:r>
        <w:rPr>
          <w:noProof/>
        </w:rPr>
        <w:t>44</w:t>
      </w:r>
      <w:r>
        <w:rPr>
          <w:noProof/>
        </w:rPr>
        <w:fldChar w:fldCharType="end"/>
      </w:r>
    </w:p>
    <w:p w:rsidR="009F1D80" w:rsidRDefault="009F1D80">
      <w:pPr>
        <w:pStyle w:val="TableofFigures"/>
        <w:rPr>
          <w:rFonts w:eastAsiaTheme="minorEastAsia" w:cstheme="minorBidi"/>
          <w:noProof/>
          <w:sz w:val="22"/>
          <w:szCs w:val="22"/>
          <w:lang w:eastAsia="zh-CN"/>
        </w:rPr>
      </w:pPr>
      <w:r>
        <w:rPr>
          <w:noProof/>
        </w:rPr>
        <w:t>2.21</w:t>
      </w:r>
      <w:r>
        <w:rPr>
          <w:rFonts w:eastAsiaTheme="minorEastAsia" w:cstheme="minorBidi"/>
          <w:noProof/>
          <w:sz w:val="22"/>
          <w:szCs w:val="22"/>
          <w:lang w:eastAsia="zh-CN"/>
        </w:rPr>
        <w:tab/>
      </w:r>
      <w:r>
        <w:rPr>
          <w:noProof/>
        </w:rPr>
        <w:t>Annual additional care costs due to inaccessible housing</w:t>
      </w:r>
      <w:r>
        <w:rPr>
          <w:noProof/>
        </w:rPr>
        <w:tab/>
      </w:r>
      <w:r>
        <w:rPr>
          <w:noProof/>
        </w:rPr>
        <w:fldChar w:fldCharType="begin"/>
      </w:r>
      <w:r>
        <w:rPr>
          <w:noProof/>
        </w:rPr>
        <w:instrText xml:space="preserve"> PAGEREF _Toc45654136 \h </w:instrText>
      </w:r>
      <w:r>
        <w:rPr>
          <w:noProof/>
        </w:rPr>
      </w:r>
      <w:r>
        <w:rPr>
          <w:noProof/>
        </w:rPr>
        <w:fldChar w:fldCharType="separate"/>
      </w:r>
      <w:r>
        <w:rPr>
          <w:noProof/>
        </w:rPr>
        <w:t>45</w:t>
      </w:r>
      <w:r>
        <w:rPr>
          <w:noProof/>
        </w:rPr>
        <w:fldChar w:fldCharType="end"/>
      </w:r>
    </w:p>
    <w:p w:rsidR="009F1D80" w:rsidRDefault="009F1D80">
      <w:pPr>
        <w:pStyle w:val="TableofFigures"/>
        <w:rPr>
          <w:rFonts w:eastAsiaTheme="minorEastAsia" w:cstheme="minorBidi"/>
          <w:noProof/>
          <w:sz w:val="22"/>
          <w:szCs w:val="22"/>
          <w:lang w:eastAsia="zh-CN"/>
        </w:rPr>
      </w:pPr>
      <w:r>
        <w:rPr>
          <w:noProof/>
        </w:rPr>
        <w:t>2.22</w:t>
      </w:r>
      <w:r>
        <w:rPr>
          <w:rFonts w:eastAsiaTheme="minorEastAsia" w:cstheme="minorBidi"/>
          <w:noProof/>
          <w:sz w:val="22"/>
          <w:szCs w:val="22"/>
          <w:lang w:eastAsia="zh-CN"/>
        </w:rPr>
        <w:tab/>
      </w:r>
      <w:r>
        <w:rPr>
          <w:noProof/>
        </w:rPr>
        <w:t>Expectations of ability to afford future modifications to make home accessible/liveable</w:t>
      </w:r>
      <w:r>
        <w:rPr>
          <w:noProof/>
        </w:rPr>
        <w:tab/>
      </w:r>
      <w:r>
        <w:rPr>
          <w:noProof/>
        </w:rPr>
        <w:fldChar w:fldCharType="begin"/>
      </w:r>
      <w:r>
        <w:rPr>
          <w:noProof/>
        </w:rPr>
        <w:instrText xml:space="preserve"> PAGEREF _Toc45654137 \h </w:instrText>
      </w:r>
      <w:r>
        <w:rPr>
          <w:noProof/>
        </w:rPr>
      </w:r>
      <w:r>
        <w:rPr>
          <w:noProof/>
        </w:rPr>
        <w:fldChar w:fldCharType="separate"/>
      </w:r>
      <w:r>
        <w:rPr>
          <w:noProof/>
        </w:rPr>
        <w:t>47</w:t>
      </w:r>
      <w:r>
        <w:rPr>
          <w:noProof/>
        </w:rPr>
        <w:fldChar w:fldCharType="end"/>
      </w:r>
    </w:p>
    <w:p w:rsidR="009F1D80" w:rsidRDefault="009F1D80">
      <w:pPr>
        <w:pStyle w:val="TableofFigures"/>
        <w:rPr>
          <w:rFonts w:eastAsiaTheme="minorEastAsia" w:cstheme="minorBidi"/>
          <w:noProof/>
          <w:sz w:val="22"/>
          <w:szCs w:val="22"/>
          <w:lang w:eastAsia="zh-CN"/>
        </w:rPr>
      </w:pPr>
      <w:r>
        <w:rPr>
          <w:noProof/>
        </w:rPr>
        <w:t>2.23</w:t>
      </w:r>
      <w:r>
        <w:rPr>
          <w:rFonts w:eastAsiaTheme="minorEastAsia" w:cstheme="minorBidi"/>
          <w:noProof/>
          <w:sz w:val="22"/>
          <w:szCs w:val="22"/>
          <w:lang w:eastAsia="zh-CN"/>
        </w:rPr>
        <w:tab/>
      </w:r>
      <w:r>
        <w:rPr>
          <w:noProof/>
        </w:rPr>
        <w:t>Weighted average cost of modifications per dwelling</w:t>
      </w:r>
      <w:r>
        <w:rPr>
          <w:noProof/>
        </w:rPr>
        <w:tab/>
      </w:r>
      <w:r>
        <w:rPr>
          <w:noProof/>
        </w:rPr>
        <w:fldChar w:fldCharType="begin"/>
      </w:r>
      <w:r>
        <w:rPr>
          <w:noProof/>
        </w:rPr>
        <w:instrText xml:space="preserve"> PAGEREF _Toc45654138 \h </w:instrText>
      </w:r>
      <w:r>
        <w:rPr>
          <w:noProof/>
        </w:rPr>
      </w:r>
      <w:r>
        <w:rPr>
          <w:noProof/>
        </w:rPr>
        <w:fldChar w:fldCharType="separate"/>
      </w:r>
      <w:r>
        <w:rPr>
          <w:noProof/>
        </w:rPr>
        <w:t>48</w:t>
      </w:r>
      <w:r>
        <w:rPr>
          <w:noProof/>
        </w:rPr>
        <w:fldChar w:fldCharType="end"/>
      </w:r>
    </w:p>
    <w:p w:rsidR="009F1D80" w:rsidRDefault="009F1D80">
      <w:pPr>
        <w:pStyle w:val="TableofFigures"/>
        <w:rPr>
          <w:rFonts w:eastAsiaTheme="minorEastAsia" w:cstheme="minorBidi"/>
          <w:noProof/>
          <w:sz w:val="22"/>
          <w:szCs w:val="22"/>
          <w:lang w:eastAsia="zh-CN"/>
        </w:rPr>
      </w:pPr>
      <w:r>
        <w:rPr>
          <w:noProof/>
        </w:rPr>
        <w:t>2.24</w:t>
      </w:r>
      <w:r>
        <w:rPr>
          <w:rFonts w:eastAsiaTheme="minorEastAsia" w:cstheme="minorBidi"/>
          <w:noProof/>
          <w:sz w:val="22"/>
          <w:szCs w:val="22"/>
          <w:lang w:eastAsia="zh-CN"/>
        </w:rPr>
        <w:tab/>
      </w:r>
      <w:r>
        <w:rPr>
          <w:noProof/>
        </w:rPr>
        <w:t>Estimated cost of additional moves due to inaccessible housing</w:t>
      </w:r>
      <w:r>
        <w:rPr>
          <w:noProof/>
        </w:rPr>
        <w:tab/>
      </w:r>
      <w:r>
        <w:rPr>
          <w:noProof/>
        </w:rPr>
        <w:fldChar w:fldCharType="begin"/>
      </w:r>
      <w:r>
        <w:rPr>
          <w:noProof/>
        </w:rPr>
        <w:instrText xml:space="preserve"> PAGEREF _Toc45654139 \h </w:instrText>
      </w:r>
      <w:r>
        <w:rPr>
          <w:noProof/>
        </w:rPr>
      </w:r>
      <w:r>
        <w:rPr>
          <w:noProof/>
        </w:rPr>
        <w:fldChar w:fldCharType="separate"/>
      </w:r>
      <w:r>
        <w:rPr>
          <w:noProof/>
        </w:rPr>
        <w:t>48</w:t>
      </w:r>
      <w:r>
        <w:rPr>
          <w:noProof/>
        </w:rPr>
        <w:fldChar w:fldCharType="end"/>
      </w:r>
    </w:p>
    <w:p w:rsidR="009F1D80" w:rsidRDefault="009F1D80">
      <w:pPr>
        <w:pStyle w:val="TableofFigures"/>
        <w:rPr>
          <w:rFonts w:eastAsiaTheme="minorEastAsia" w:cstheme="minorBidi"/>
          <w:noProof/>
          <w:sz w:val="22"/>
          <w:szCs w:val="22"/>
          <w:lang w:eastAsia="zh-CN"/>
        </w:rPr>
      </w:pPr>
      <w:r>
        <w:rPr>
          <w:noProof/>
        </w:rPr>
        <w:t>2.25</w:t>
      </w:r>
      <w:r>
        <w:rPr>
          <w:rFonts w:eastAsiaTheme="minorEastAsia" w:cstheme="minorBidi"/>
          <w:noProof/>
          <w:sz w:val="22"/>
          <w:szCs w:val="22"/>
          <w:lang w:eastAsia="zh-CN"/>
        </w:rPr>
        <w:tab/>
      </w:r>
      <w:r>
        <w:rPr>
          <w:noProof/>
        </w:rPr>
        <w:t>Estimated cost of delayed discharge from hospital or transition care</w:t>
      </w:r>
      <w:r>
        <w:rPr>
          <w:noProof/>
        </w:rPr>
        <w:tab/>
      </w:r>
      <w:r>
        <w:rPr>
          <w:noProof/>
        </w:rPr>
        <w:fldChar w:fldCharType="begin"/>
      </w:r>
      <w:r>
        <w:rPr>
          <w:noProof/>
        </w:rPr>
        <w:instrText xml:space="preserve"> PAGEREF _Toc45654140 \h </w:instrText>
      </w:r>
      <w:r>
        <w:rPr>
          <w:noProof/>
        </w:rPr>
      </w:r>
      <w:r>
        <w:rPr>
          <w:noProof/>
        </w:rPr>
        <w:fldChar w:fldCharType="separate"/>
      </w:r>
      <w:r>
        <w:rPr>
          <w:noProof/>
        </w:rPr>
        <w:t>50</w:t>
      </w:r>
      <w:r>
        <w:rPr>
          <w:noProof/>
        </w:rPr>
        <w:fldChar w:fldCharType="end"/>
      </w:r>
    </w:p>
    <w:p w:rsidR="009F1D80" w:rsidRDefault="009F1D80">
      <w:pPr>
        <w:pStyle w:val="TableofFigures"/>
        <w:rPr>
          <w:rFonts w:eastAsiaTheme="minorEastAsia" w:cstheme="minorBidi"/>
          <w:noProof/>
          <w:sz w:val="22"/>
          <w:szCs w:val="22"/>
          <w:lang w:eastAsia="zh-CN"/>
        </w:rPr>
      </w:pPr>
      <w:r>
        <w:rPr>
          <w:noProof/>
        </w:rPr>
        <w:t>2.26</w:t>
      </w:r>
      <w:r>
        <w:rPr>
          <w:rFonts w:eastAsiaTheme="minorEastAsia" w:cstheme="minorBidi"/>
          <w:noProof/>
          <w:sz w:val="22"/>
          <w:szCs w:val="22"/>
          <w:lang w:eastAsia="zh-CN"/>
        </w:rPr>
        <w:tab/>
      </w:r>
      <w:r>
        <w:rPr>
          <w:noProof/>
        </w:rPr>
        <w:t>Estimated cost of loneliness due to a lack of accessible housing</w:t>
      </w:r>
      <w:r>
        <w:rPr>
          <w:noProof/>
        </w:rPr>
        <w:tab/>
      </w:r>
      <w:r>
        <w:rPr>
          <w:noProof/>
        </w:rPr>
        <w:fldChar w:fldCharType="begin"/>
      </w:r>
      <w:r>
        <w:rPr>
          <w:noProof/>
        </w:rPr>
        <w:instrText xml:space="preserve"> PAGEREF _Toc45654141 \h </w:instrText>
      </w:r>
      <w:r>
        <w:rPr>
          <w:noProof/>
        </w:rPr>
      </w:r>
      <w:r>
        <w:rPr>
          <w:noProof/>
        </w:rPr>
        <w:fldChar w:fldCharType="separate"/>
      </w:r>
      <w:r>
        <w:rPr>
          <w:noProof/>
        </w:rPr>
        <w:t>51</w:t>
      </w:r>
      <w:r>
        <w:rPr>
          <w:noProof/>
        </w:rPr>
        <w:fldChar w:fldCharType="end"/>
      </w:r>
    </w:p>
    <w:p w:rsidR="009F1D80" w:rsidRDefault="009F1D80">
      <w:pPr>
        <w:pStyle w:val="TableofFigures"/>
        <w:rPr>
          <w:rFonts w:eastAsiaTheme="minorEastAsia" w:cstheme="minorBidi"/>
          <w:noProof/>
          <w:sz w:val="22"/>
          <w:szCs w:val="22"/>
          <w:lang w:eastAsia="zh-CN"/>
        </w:rPr>
      </w:pPr>
      <w:r>
        <w:rPr>
          <w:noProof/>
        </w:rPr>
        <w:t>2.27</w:t>
      </w:r>
      <w:r>
        <w:rPr>
          <w:rFonts w:eastAsiaTheme="minorEastAsia" w:cstheme="minorBidi"/>
          <w:noProof/>
          <w:sz w:val="22"/>
          <w:szCs w:val="22"/>
          <w:lang w:eastAsia="zh-CN"/>
        </w:rPr>
        <w:tab/>
      </w:r>
      <w:r>
        <w:rPr>
          <w:noProof/>
        </w:rPr>
        <w:t>Estimate costs of inappropriate or premature entry into aged care</w:t>
      </w:r>
      <w:r>
        <w:rPr>
          <w:noProof/>
        </w:rPr>
        <w:tab/>
      </w:r>
      <w:r>
        <w:rPr>
          <w:noProof/>
        </w:rPr>
        <w:fldChar w:fldCharType="begin"/>
      </w:r>
      <w:r>
        <w:rPr>
          <w:noProof/>
        </w:rPr>
        <w:instrText xml:space="preserve"> PAGEREF _Toc45654142 \h </w:instrText>
      </w:r>
      <w:r>
        <w:rPr>
          <w:noProof/>
        </w:rPr>
      </w:r>
      <w:r>
        <w:rPr>
          <w:noProof/>
        </w:rPr>
        <w:fldChar w:fldCharType="separate"/>
      </w:r>
      <w:r>
        <w:rPr>
          <w:noProof/>
        </w:rPr>
        <w:t>52</w:t>
      </w:r>
      <w:r>
        <w:rPr>
          <w:noProof/>
        </w:rPr>
        <w:fldChar w:fldCharType="end"/>
      </w:r>
    </w:p>
    <w:p w:rsidR="009F1D80" w:rsidRDefault="009F1D80">
      <w:pPr>
        <w:pStyle w:val="TableofFigures"/>
        <w:rPr>
          <w:rFonts w:eastAsiaTheme="minorEastAsia" w:cstheme="minorBidi"/>
          <w:noProof/>
          <w:sz w:val="22"/>
          <w:szCs w:val="22"/>
          <w:lang w:eastAsia="zh-CN"/>
        </w:rPr>
      </w:pPr>
      <w:r>
        <w:rPr>
          <w:noProof/>
        </w:rPr>
        <w:t>2.28</w:t>
      </w:r>
      <w:r>
        <w:rPr>
          <w:rFonts w:eastAsiaTheme="minorEastAsia" w:cstheme="minorBidi"/>
          <w:noProof/>
          <w:sz w:val="22"/>
          <w:szCs w:val="22"/>
          <w:lang w:eastAsia="zh-CN"/>
        </w:rPr>
        <w:tab/>
      </w:r>
      <w:r>
        <w:rPr>
          <w:noProof/>
        </w:rPr>
        <w:t>Size of the problem — projections</w:t>
      </w:r>
      <w:r>
        <w:rPr>
          <w:noProof/>
        </w:rPr>
        <w:tab/>
      </w:r>
      <w:r>
        <w:rPr>
          <w:noProof/>
        </w:rPr>
        <w:fldChar w:fldCharType="begin"/>
      </w:r>
      <w:r>
        <w:rPr>
          <w:noProof/>
        </w:rPr>
        <w:instrText xml:space="preserve"> PAGEREF _Toc45654143 \h </w:instrText>
      </w:r>
      <w:r>
        <w:rPr>
          <w:noProof/>
        </w:rPr>
      </w:r>
      <w:r>
        <w:rPr>
          <w:noProof/>
        </w:rPr>
        <w:fldChar w:fldCharType="separate"/>
      </w:r>
      <w:r>
        <w:rPr>
          <w:noProof/>
        </w:rPr>
        <w:t>53</w:t>
      </w:r>
      <w:r>
        <w:rPr>
          <w:noProof/>
        </w:rPr>
        <w:fldChar w:fldCharType="end"/>
      </w:r>
    </w:p>
    <w:p w:rsidR="009F1D80" w:rsidRDefault="009F1D80">
      <w:pPr>
        <w:pStyle w:val="TableofFigures"/>
        <w:rPr>
          <w:rFonts w:eastAsiaTheme="minorEastAsia" w:cstheme="minorBidi"/>
          <w:noProof/>
          <w:sz w:val="22"/>
          <w:szCs w:val="22"/>
          <w:lang w:eastAsia="zh-CN"/>
        </w:rPr>
      </w:pPr>
      <w:r>
        <w:rPr>
          <w:noProof/>
        </w:rPr>
        <w:t>2.29</w:t>
      </w:r>
      <w:r>
        <w:rPr>
          <w:rFonts w:eastAsiaTheme="minorEastAsia" w:cstheme="minorBidi"/>
          <w:noProof/>
          <w:sz w:val="22"/>
          <w:szCs w:val="22"/>
          <w:lang w:eastAsia="zh-CN"/>
        </w:rPr>
        <w:tab/>
      </w:r>
      <w:r>
        <w:rPr>
          <w:noProof/>
        </w:rPr>
        <w:t>Questions for stakeholders</w:t>
      </w:r>
      <w:r>
        <w:rPr>
          <w:noProof/>
        </w:rPr>
        <w:tab/>
      </w:r>
      <w:r>
        <w:rPr>
          <w:noProof/>
        </w:rPr>
        <w:fldChar w:fldCharType="begin"/>
      </w:r>
      <w:r>
        <w:rPr>
          <w:noProof/>
        </w:rPr>
        <w:instrText xml:space="preserve"> PAGEREF _Toc45654144 \h </w:instrText>
      </w:r>
      <w:r>
        <w:rPr>
          <w:noProof/>
        </w:rPr>
      </w:r>
      <w:r>
        <w:rPr>
          <w:noProof/>
        </w:rPr>
        <w:fldChar w:fldCharType="separate"/>
      </w:r>
      <w:r>
        <w:rPr>
          <w:noProof/>
        </w:rPr>
        <w:t>54</w:t>
      </w:r>
      <w:r>
        <w:rPr>
          <w:noProof/>
        </w:rPr>
        <w:fldChar w:fldCharType="end"/>
      </w:r>
    </w:p>
    <w:p w:rsidR="009F1D80" w:rsidRDefault="009F1D80">
      <w:pPr>
        <w:pStyle w:val="TableofFigures"/>
        <w:rPr>
          <w:rFonts w:eastAsiaTheme="minorEastAsia" w:cstheme="minorBidi"/>
          <w:noProof/>
          <w:sz w:val="22"/>
          <w:szCs w:val="22"/>
          <w:lang w:eastAsia="zh-CN"/>
        </w:rPr>
      </w:pPr>
      <w:r>
        <w:rPr>
          <w:noProof/>
        </w:rPr>
        <w:t>2.30</w:t>
      </w:r>
      <w:r>
        <w:rPr>
          <w:rFonts w:eastAsiaTheme="minorEastAsia" w:cstheme="minorBidi"/>
          <w:noProof/>
          <w:sz w:val="22"/>
          <w:szCs w:val="22"/>
          <w:lang w:eastAsia="zh-CN"/>
        </w:rPr>
        <w:tab/>
      </w:r>
      <w:r>
        <w:rPr>
          <w:noProof/>
        </w:rPr>
        <w:t>Proportion of people with a mobility impairment with home modifications</w:t>
      </w:r>
      <w:r>
        <w:rPr>
          <w:noProof/>
        </w:rPr>
        <w:tab/>
      </w:r>
      <w:r>
        <w:rPr>
          <w:noProof/>
        </w:rPr>
        <w:fldChar w:fldCharType="begin"/>
      </w:r>
      <w:r>
        <w:rPr>
          <w:noProof/>
        </w:rPr>
        <w:instrText xml:space="preserve"> PAGEREF _Toc45654145 \h </w:instrText>
      </w:r>
      <w:r>
        <w:rPr>
          <w:noProof/>
        </w:rPr>
      </w:r>
      <w:r>
        <w:rPr>
          <w:noProof/>
        </w:rPr>
        <w:fldChar w:fldCharType="separate"/>
      </w:r>
      <w:r>
        <w:rPr>
          <w:noProof/>
        </w:rPr>
        <w:t>56</w:t>
      </w:r>
      <w:r>
        <w:rPr>
          <w:noProof/>
        </w:rPr>
        <w:fldChar w:fldCharType="end"/>
      </w:r>
    </w:p>
    <w:p w:rsidR="009F1D80" w:rsidRDefault="009F1D80">
      <w:pPr>
        <w:pStyle w:val="TableofFigures"/>
        <w:rPr>
          <w:rFonts w:eastAsiaTheme="minorEastAsia" w:cstheme="minorBidi"/>
          <w:noProof/>
          <w:sz w:val="22"/>
          <w:szCs w:val="22"/>
          <w:lang w:eastAsia="zh-CN"/>
        </w:rPr>
      </w:pPr>
      <w:r>
        <w:rPr>
          <w:noProof/>
        </w:rPr>
        <w:t>2.31</w:t>
      </w:r>
      <w:r>
        <w:rPr>
          <w:rFonts w:eastAsiaTheme="minorEastAsia" w:cstheme="minorBidi"/>
          <w:noProof/>
          <w:sz w:val="22"/>
          <w:szCs w:val="22"/>
          <w:lang w:eastAsia="zh-CN"/>
        </w:rPr>
        <w:tab/>
      </w:r>
      <w:r>
        <w:rPr>
          <w:noProof/>
        </w:rPr>
        <w:t>Equivalised income distribution</w:t>
      </w:r>
      <w:r>
        <w:rPr>
          <w:noProof/>
        </w:rPr>
        <w:tab/>
      </w:r>
      <w:r>
        <w:rPr>
          <w:noProof/>
        </w:rPr>
        <w:fldChar w:fldCharType="begin"/>
      </w:r>
      <w:r>
        <w:rPr>
          <w:noProof/>
        </w:rPr>
        <w:instrText xml:space="preserve"> PAGEREF _Toc45654146 \h </w:instrText>
      </w:r>
      <w:r>
        <w:rPr>
          <w:noProof/>
        </w:rPr>
      </w:r>
      <w:r>
        <w:rPr>
          <w:noProof/>
        </w:rPr>
        <w:fldChar w:fldCharType="separate"/>
      </w:r>
      <w:r>
        <w:rPr>
          <w:noProof/>
        </w:rPr>
        <w:t>57</w:t>
      </w:r>
      <w:r>
        <w:rPr>
          <w:noProof/>
        </w:rPr>
        <w:fldChar w:fldCharType="end"/>
      </w:r>
    </w:p>
    <w:p w:rsidR="009F1D80" w:rsidRDefault="009F1D80">
      <w:pPr>
        <w:pStyle w:val="TableofFigures"/>
        <w:rPr>
          <w:rFonts w:eastAsiaTheme="minorEastAsia" w:cstheme="minorBidi"/>
          <w:noProof/>
          <w:sz w:val="22"/>
          <w:szCs w:val="22"/>
          <w:lang w:eastAsia="zh-CN"/>
        </w:rPr>
      </w:pPr>
      <w:r>
        <w:rPr>
          <w:noProof/>
        </w:rPr>
        <w:t>3.1</w:t>
      </w:r>
      <w:r>
        <w:rPr>
          <w:rFonts w:eastAsiaTheme="minorEastAsia" w:cstheme="minorBidi"/>
          <w:noProof/>
          <w:sz w:val="22"/>
          <w:szCs w:val="22"/>
          <w:lang w:eastAsia="zh-CN"/>
        </w:rPr>
        <w:tab/>
      </w:r>
      <w:r>
        <w:rPr>
          <w:noProof/>
        </w:rPr>
        <w:t>Key requirements to be added to NCC</w:t>
      </w:r>
      <w:r w:rsidRPr="00676FD2">
        <w:rPr>
          <w:noProof/>
          <w:color w:val="9B917E" w:themeColor="accent4"/>
          <w:position w:val="4"/>
        </w:rPr>
        <w:t xml:space="preserve"> </w:t>
      </w:r>
      <w:r>
        <w:rPr>
          <w:noProof/>
        </w:rPr>
        <w:t>under different stringency options considered by ABCB</w:t>
      </w:r>
      <w:r>
        <w:rPr>
          <w:noProof/>
        </w:rPr>
        <w:tab/>
      </w:r>
      <w:r>
        <w:rPr>
          <w:noProof/>
        </w:rPr>
        <w:fldChar w:fldCharType="begin"/>
      </w:r>
      <w:r>
        <w:rPr>
          <w:noProof/>
        </w:rPr>
        <w:instrText xml:space="preserve"> PAGEREF _Toc45654147 \h </w:instrText>
      </w:r>
      <w:r>
        <w:rPr>
          <w:noProof/>
        </w:rPr>
      </w:r>
      <w:r>
        <w:rPr>
          <w:noProof/>
        </w:rPr>
        <w:fldChar w:fldCharType="separate"/>
      </w:r>
      <w:r>
        <w:rPr>
          <w:noProof/>
        </w:rPr>
        <w:t>60</w:t>
      </w:r>
      <w:r>
        <w:rPr>
          <w:noProof/>
        </w:rPr>
        <w:fldChar w:fldCharType="end"/>
      </w:r>
    </w:p>
    <w:p w:rsidR="009F1D80" w:rsidRDefault="009F1D80">
      <w:pPr>
        <w:pStyle w:val="TableofFigures"/>
        <w:rPr>
          <w:rFonts w:eastAsiaTheme="minorEastAsia" w:cstheme="minorBidi"/>
          <w:noProof/>
          <w:sz w:val="22"/>
          <w:szCs w:val="22"/>
          <w:lang w:eastAsia="zh-CN"/>
        </w:rPr>
      </w:pPr>
      <w:r>
        <w:rPr>
          <w:noProof/>
        </w:rPr>
        <w:t>3.2</w:t>
      </w:r>
      <w:r>
        <w:rPr>
          <w:rFonts w:eastAsiaTheme="minorEastAsia" w:cstheme="minorBidi"/>
          <w:noProof/>
          <w:sz w:val="22"/>
          <w:szCs w:val="22"/>
          <w:lang w:eastAsia="zh-CN"/>
        </w:rPr>
        <w:tab/>
      </w:r>
      <w:r>
        <w:rPr>
          <w:noProof/>
        </w:rPr>
        <w:t>Cases where step-free access would not be required, or where exclusions apply</w:t>
      </w:r>
      <w:r>
        <w:rPr>
          <w:noProof/>
        </w:rPr>
        <w:tab/>
      </w:r>
      <w:r>
        <w:rPr>
          <w:noProof/>
        </w:rPr>
        <w:fldChar w:fldCharType="begin"/>
      </w:r>
      <w:r>
        <w:rPr>
          <w:noProof/>
        </w:rPr>
        <w:instrText xml:space="preserve"> PAGEREF _Toc45654148 \h </w:instrText>
      </w:r>
      <w:r>
        <w:rPr>
          <w:noProof/>
        </w:rPr>
      </w:r>
      <w:r>
        <w:rPr>
          <w:noProof/>
        </w:rPr>
        <w:fldChar w:fldCharType="separate"/>
      </w:r>
      <w:r>
        <w:rPr>
          <w:noProof/>
        </w:rPr>
        <w:t>63</w:t>
      </w:r>
      <w:r>
        <w:rPr>
          <w:noProof/>
        </w:rPr>
        <w:fldChar w:fldCharType="end"/>
      </w:r>
    </w:p>
    <w:p w:rsidR="009F1D80" w:rsidRDefault="009F1D80">
      <w:pPr>
        <w:pStyle w:val="TableofFigures"/>
        <w:rPr>
          <w:rFonts w:eastAsiaTheme="minorEastAsia" w:cstheme="minorBidi"/>
          <w:noProof/>
          <w:sz w:val="22"/>
          <w:szCs w:val="22"/>
          <w:lang w:eastAsia="zh-CN"/>
        </w:rPr>
      </w:pPr>
      <w:r>
        <w:rPr>
          <w:noProof/>
        </w:rPr>
        <w:t>3.3</w:t>
      </w:r>
      <w:r>
        <w:rPr>
          <w:rFonts w:eastAsiaTheme="minorEastAsia" w:cstheme="minorBidi"/>
          <w:noProof/>
          <w:sz w:val="22"/>
          <w:szCs w:val="22"/>
          <w:lang w:eastAsia="zh-CN"/>
        </w:rPr>
        <w:tab/>
      </w:r>
      <w:r>
        <w:rPr>
          <w:noProof/>
        </w:rPr>
        <w:t>Questions for stakeholders</w:t>
      </w:r>
      <w:r>
        <w:rPr>
          <w:noProof/>
        </w:rPr>
        <w:tab/>
      </w:r>
      <w:r>
        <w:rPr>
          <w:noProof/>
        </w:rPr>
        <w:fldChar w:fldCharType="begin"/>
      </w:r>
      <w:r>
        <w:rPr>
          <w:noProof/>
        </w:rPr>
        <w:instrText xml:space="preserve"> PAGEREF _Toc45654149 \h </w:instrText>
      </w:r>
      <w:r>
        <w:rPr>
          <w:noProof/>
        </w:rPr>
      </w:r>
      <w:r>
        <w:rPr>
          <w:noProof/>
        </w:rPr>
        <w:fldChar w:fldCharType="separate"/>
      </w:r>
      <w:r>
        <w:rPr>
          <w:noProof/>
        </w:rPr>
        <w:t>67</w:t>
      </w:r>
      <w:r>
        <w:rPr>
          <w:noProof/>
        </w:rPr>
        <w:fldChar w:fldCharType="end"/>
      </w:r>
    </w:p>
    <w:p w:rsidR="009F1D80" w:rsidRDefault="009F1D80">
      <w:pPr>
        <w:pStyle w:val="TableofFigures"/>
        <w:rPr>
          <w:rFonts w:eastAsiaTheme="minorEastAsia" w:cstheme="minorBidi"/>
          <w:noProof/>
          <w:sz w:val="22"/>
          <w:szCs w:val="22"/>
          <w:lang w:eastAsia="zh-CN"/>
        </w:rPr>
      </w:pPr>
      <w:r>
        <w:rPr>
          <w:noProof/>
        </w:rPr>
        <w:t>4.1</w:t>
      </w:r>
      <w:r>
        <w:rPr>
          <w:rFonts w:eastAsiaTheme="minorEastAsia" w:cstheme="minorBidi"/>
          <w:noProof/>
          <w:sz w:val="22"/>
          <w:szCs w:val="22"/>
          <w:lang w:eastAsia="zh-CN"/>
        </w:rPr>
        <w:tab/>
      </w:r>
      <w:r>
        <w:rPr>
          <w:noProof/>
        </w:rPr>
        <w:t>Projections for dwelling completions in Australia</w:t>
      </w:r>
      <w:r>
        <w:rPr>
          <w:noProof/>
        </w:rPr>
        <w:tab/>
      </w:r>
      <w:r>
        <w:rPr>
          <w:noProof/>
        </w:rPr>
        <w:fldChar w:fldCharType="begin"/>
      </w:r>
      <w:r>
        <w:rPr>
          <w:noProof/>
        </w:rPr>
        <w:instrText xml:space="preserve"> PAGEREF _Toc45654150 \h </w:instrText>
      </w:r>
      <w:r>
        <w:rPr>
          <w:noProof/>
        </w:rPr>
      </w:r>
      <w:r>
        <w:rPr>
          <w:noProof/>
        </w:rPr>
        <w:fldChar w:fldCharType="separate"/>
      </w:r>
      <w:r>
        <w:rPr>
          <w:noProof/>
        </w:rPr>
        <w:t>72</w:t>
      </w:r>
      <w:r>
        <w:rPr>
          <w:noProof/>
        </w:rPr>
        <w:fldChar w:fldCharType="end"/>
      </w:r>
    </w:p>
    <w:p w:rsidR="009F1D80" w:rsidRDefault="009F1D80">
      <w:pPr>
        <w:pStyle w:val="TableofFigures"/>
        <w:rPr>
          <w:rFonts w:eastAsiaTheme="minorEastAsia" w:cstheme="minorBidi"/>
          <w:noProof/>
          <w:sz w:val="22"/>
          <w:szCs w:val="22"/>
          <w:lang w:eastAsia="zh-CN"/>
        </w:rPr>
      </w:pPr>
      <w:r>
        <w:rPr>
          <w:noProof/>
        </w:rPr>
        <w:t>4.2</w:t>
      </w:r>
      <w:r>
        <w:rPr>
          <w:rFonts w:eastAsiaTheme="minorEastAsia" w:cstheme="minorBidi"/>
          <w:noProof/>
          <w:sz w:val="22"/>
          <w:szCs w:val="22"/>
          <w:lang w:eastAsia="zh-CN"/>
        </w:rPr>
        <w:tab/>
      </w:r>
      <w:r>
        <w:rPr>
          <w:noProof/>
        </w:rPr>
        <w:t>Share of the dwelling stock (by type) constructed under the new Code</w:t>
      </w:r>
      <w:r>
        <w:rPr>
          <w:noProof/>
        </w:rPr>
        <w:tab/>
      </w:r>
      <w:r>
        <w:rPr>
          <w:noProof/>
        </w:rPr>
        <w:fldChar w:fldCharType="begin"/>
      </w:r>
      <w:r>
        <w:rPr>
          <w:noProof/>
        </w:rPr>
        <w:instrText xml:space="preserve"> PAGEREF _Toc45654151 \h </w:instrText>
      </w:r>
      <w:r>
        <w:rPr>
          <w:noProof/>
        </w:rPr>
      </w:r>
      <w:r>
        <w:rPr>
          <w:noProof/>
        </w:rPr>
        <w:fldChar w:fldCharType="separate"/>
      </w:r>
      <w:r>
        <w:rPr>
          <w:noProof/>
        </w:rPr>
        <w:t>73</w:t>
      </w:r>
      <w:r>
        <w:rPr>
          <w:noProof/>
        </w:rPr>
        <w:fldChar w:fldCharType="end"/>
      </w:r>
    </w:p>
    <w:p w:rsidR="009F1D80" w:rsidRDefault="009F1D80">
      <w:pPr>
        <w:pStyle w:val="TableofFigures"/>
        <w:rPr>
          <w:rFonts w:eastAsiaTheme="minorEastAsia" w:cstheme="minorBidi"/>
          <w:noProof/>
          <w:sz w:val="22"/>
          <w:szCs w:val="22"/>
          <w:lang w:eastAsia="zh-CN"/>
        </w:rPr>
      </w:pPr>
      <w:r>
        <w:rPr>
          <w:noProof/>
        </w:rPr>
        <w:t>5.1</w:t>
      </w:r>
      <w:r>
        <w:rPr>
          <w:rFonts w:eastAsiaTheme="minorEastAsia" w:cstheme="minorBidi"/>
          <w:noProof/>
          <w:sz w:val="22"/>
          <w:szCs w:val="22"/>
          <w:lang w:eastAsia="zh-CN"/>
        </w:rPr>
        <w:tab/>
      </w:r>
      <w:r>
        <w:rPr>
          <w:noProof/>
        </w:rPr>
        <w:t>Estimated additional compliance costs</w:t>
      </w:r>
      <w:r>
        <w:rPr>
          <w:noProof/>
        </w:rPr>
        <w:tab/>
      </w:r>
      <w:r>
        <w:rPr>
          <w:noProof/>
        </w:rPr>
        <w:fldChar w:fldCharType="begin"/>
      </w:r>
      <w:r>
        <w:rPr>
          <w:noProof/>
        </w:rPr>
        <w:instrText xml:space="preserve"> PAGEREF _Toc45654152 \h </w:instrText>
      </w:r>
      <w:r>
        <w:rPr>
          <w:noProof/>
        </w:rPr>
      </w:r>
      <w:r>
        <w:rPr>
          <w:noProof/>
        </w:rPr>
        <w:fldChar w:fldCharType="separate"/>
      </w:r>
      <w:r>
        <w:rPr>
          <w:noProof/>
        </w:rPr>
        <w:t>74</w:t>
      </w:r>
      <w:r>
        <w:rPr>
          <w:noProof/>
        </w:rPr>
        <w:fldChar w:fldCharType="end"/>
      </w:r>
    </w:p>
    <w:p w:rsidR="009F1D80" w:rsidRDefault="009F1D80">
      <w:pPr>
        <w:pStyle w:val="TableofFigures"/>
        <w:rPr>
          <w:rFonts w:eastAsiaTheme="minorEastAsia" w:cstheme="minorBidi"/>
          <w:noProof/>
          <w:sz w:val="22"/>
          <w:szCs w:val="22"/>
          <w:lang w:eastAsia="zh-CN"/>
        </w:rPr>
      </w:pPr>
      <w:r>
        <w:rPr>
          <w:noProof/>
        </w:rPr>
        <w:lastRenderedPageBreak/>
        <w:t>5.2</w:t>
      </w:r>
      <w:r>
        <w:rPr>
          <w:rFonts w:eastAsiaTheme="minorEastAsia" w:cstheme="minorBidi"/>
          <w:noProof/>
          <w:sz w:val="22"/>
          <w:szCs w:val="22"/>
          <w:lang w:eastAsia="zh-CN"/>
        </w:rPr>
        <w:tab/>
      </w:r>
      <w:r>
        <w:rPr>
          <w:noProof/>
        </w:rPr>
        <w:t>Additional compliance costs from selecting Option A for Design Element 1 (dwelling access): construction cost per dwelling</w:t>
      </w:r>
      <w:r>
        <w:rPr>
          <w:noProof/>
        </w:rPr>
        <w:tab/>
      </w:r>
      <w:r>
        <w:rPr>
          <w:noProof/>
        </w:rPr>
        <w:fldChar w:fldCharType="begin"/>
      </w:r>
      <w:r>
        <w:rPr>
          <w:noProof/>
        </w:rPr>
        <w:instrText xml:space="preserve"> PAGEREF _Toc45654153 \h </w:instrText>
      </w:r>
      <w:r>
        <w:rPr>
          <w:noProof/>
        </w:rPr>
      </w:r>
      <w:r>
        <w:rPr>
          <w:noProof/>
        </w:rPr>
        <w:fldChar w:fldCharType="separate"/>
      </w:r>
      <w:r>
        <w:rPr>
          <w:noProof/>
        </w:rPr>
        <w:t>76</w:t>
      </w:r>
      <w:r>
        <w:rPr>
          <w:noProof/>
        </w:rPr>
        <w:fldChar w:fldCharType="end"/>
      </w:r>
    </w:p>
    <w:p w:rsidR="009F1D80" w:rsidRDefault="009F1D80">
      <w:pPr>
        <w:pStyle w:val="TableofFigures"/>
        <w:rPr>
          <w:rFonts w:eastAsiaTheme="minorEastAsia" w:cstheme="minorBidi"/>
          <w:noProof/>
          <w:sz w:val="22"/>
          <w:szCs w:val="22"/>
          <w:lang w:eastAsia="zh-CN"/>
        </w:rPr>
      </w:pPr>
      <w:r>
        <w:rPr>
          <w:noProof/>
        </w:rPr>
        <w:t>5.3</w:t>
      </w:r>
      <w:r>
        <w:rPr>
          <w:rFonts w:eastAsiaTheme="minorEastAsia" w:cstheme="minorBidi"/>
          <w:noProof/>
          <w:sz w:val="22"/>
          <w:szCs w:val="22"/>
          <w:lang w:eastAsia="zh-CN"/>
        </w:rPr>
        <w:tab/>
      </w:r>
      <w:r>
        <w:rPr>
          <w:noProof/>
        </w:rPr>
        <w:t>Additional compliance costs from selecting Option A for Design Element 1 (dwelling access)</w:t>
      </w:r>
      <w:r>
        <w:rPr>
          <w:noProof/>
        </w:rPr>
        <w:tab/>
      </w:r>
      <w:r>
        <w:rPr>
          <w:noProof/>
        </w:rPr>
        <w:fldChar w:fldCharType="begin"/>
      </w:r>
      <w:r>
        <w:rPr>
          <w:noProof/>
        </w:rPr>
        <w:instrText xml:space="preserve"> PAGEREF _Toc45654154 \h </w:instrText>
      </w:r>
      <w:r>
        <w:rPr>
          <w:noProof/>
        </w:rPr>
      </w:r>
      <w:r>
        <w:rPr>
          <w:noProof/>
        </w:rPr>
        <w:fldChar w:fldCharType="separate"/>
      </w:r>
      <w:r>
        <w:rPr>
          <w:noProof/>
        </w:rPr>
        <w:t>77</w:t>
      </w:r>
      <w:r>
        <w:rPr>
          <w:noProof/>
        </w:rPr>
        <w:fldChar w:fldCharType="end"/>
      </w:r>
    </w:p>
    <w:p w:rsidR="009F1D80" w:rsidRDefault="009F1D80">
      <w:pPr>
        <w:pStyle w:val="TableofFigures"/>
        <w:rPr>
          <w:rFonts w:eastAsiaTheme="minorEastAsia" w:cstheme="minorBidi"/>
          <w:noProof/>
          <w:sz w:val="22"/>
          <w:szCs w:val="22"/>
          <w:lang w:eastAsia="zh-CN"/>
        </w:rPr>
      </w:pPr>
      <w:r>
        <w:rPr>
          <w:noProof/>
        </w:rPr>
        <w:t>5.4</w:t>
      </w:r>
      <w:r>
        <w:rPr>
          <w:rFonts w:eastAsiaTheme="minorEastAsia" w:cstheme="minorBidi"/>
          <w:noProof/>
          <w:sz w:val="22"/>
          <w:szCs w:val="22"/>
          <w:lang w:eastAsia="zh-CN"/>
        </w:rPr>
        <w:tab/>
      </w:r>
      <w:r>
        <w:rPr>
          <w:noProof/>
        </w:rPr>
        <w:t>Questions for stakeholders</w:t>
      </w:r>
      <w:r>
        <w:rPr>
          <w:noProof/>
        </w:rPr>
        <w:tab/>
      </w:r>
      <w:r>
        <w:rPr>
          <w:noProof/>
        </w:rPr>
        <w:fldChar w:fldCharType="begin"/>
      </w:r>
      <w:r>
        <w:rPr>
          <w:noProof/>
        </w:rPr>
        <w:instrText xml:space="preserve"> PAGEREF _Toc45654155 \h </w:instrText>
      </w:r>
      <w:r>
        <w:rPr>
          <w:noProof/>
        </w:rPr>
      </w:r>
      <w:r>
        <w:rPr>
          <w:noProof/>
        </w:rPr>
        <w:fldChar w:fldCharType="separate"/>
      </w:r>
      <w:r>
        <w:rPr>
          <w:noProof/>
        </w:rPr>
        <w:t>77</w:t>
      </w:r>
      <w:r>
        <w:rPr>
          <w:noProof/>
        </w:rPr>
        <w:fldChar w:fldCharType="end"/>
      </w:r>
    </w:p>
    <w:p w:rsidR="009F1D80" w:rsidRDefault="009F1D80">
      <w:pPr>
        <w:pStyle w:val="TableofFigures"/>
        <w:rPr>
          <w:rFonts w:eastAsiaTheme="minorEastAsia" w:cstheme="minorBidi"/>
          <w:noProof/>
          <w:sz w:val="22"/>
          <w:szCs w:val="22"/>
          <w:lang w:eastAsia="zh-CN"/>
        </w:rPr>
      </w:pPr>
      <w:r>
        <w:rPr>
          <w:noProof/>
        </w:rPr>
        <w:t>5.5</w:t>
      </w:r>
      <w:r>
        <w:rPr>
          <w:rFonts w:eastAsiaTheme="minorEastAsia" w:cstheme="minorBidi"/>
          <w:noProof/>
          <w:sz w:val="22"/>
          <w:szCs w:val="22"/>
          <w:lang w:eastAsia="zh-CN"/>
        </w:rPr>
        <w:tab/>
      </w:r>
      <w:r>
        <w:rPr>
          <w:noProof/>
        </w:rPr>
        <w:t>Median lot size</w:t>
      </w:r>
      <w:r>
        <w:rPr>
          <w:noProof/>
        </w:rPr>
        <w:tab/>
      </w:r>
      <w:r>
        <w:rPr>
          <w:noProof/>
        </w:rPr>
        <w:fldChar w:fldCharType="begin"/>
      </w:r>
      <w:r>
        <w:rPr>
          <w:noProof/>
        </w:rPr>
        <w:instrText xml:space="preserve"> PAGEREF _Toc45654156 \h </w:instrText>
      </w:r>
      <w:r>
        <w:rPr>
          <w:noProof/>
        </w:rPr>
      </w:r>
      <w:r>
        <w:rPr>
          <w:noProof/>
        </w:rPr>
        <w:fldChar w:fldCharType="separate"/>
      </w:r>
      <w:r>
        <w:rPr>
          <w:noProof/>
        </w:rPr>
        <w:t>78</w:t>
      </w:r>
      <w:r>
        <w:rPr>
          <w:noProof/>
        </w:rPr>
        <w:fldChar w:fldCharType="end"/>
      </w:r>
    </w:p>
    <w:p w:rsidR="009F1D80" w:rsidRDefault="009F1D80">
      <w:pPr>
        <w:pStyle w:val="TableofFigures"/>
        <w:rPr>
          <w:rFonts w:eastAsiaTheme="minorEastAsia" w:cstheme="minorBidi"/>
          <w:noProof/>
          <w:sz w:val="22"/>
          <w:szCs w:val="22"/>
          <w:lang w:eastAsia="zh-CN"/>
        </w:rPr>
      </w:pPr>
      <w:r>
        <w:rPr>
          <w:noProof/>
        </w:rPr>
        <w:t>5.6</w:t>
      </w:r>
      <w:r>
        <w:rPr>
          <w:rFonts w:eastAsiaTheme="minorEastAsia" w:cstheme="minorBidi"/>
          <w:noProof/>
          <w:sz w:val="22"/>
          <w:szCs w:val="22"/>
          <w:lang w:eastAsia="zh-CN"/>
        </w:rPr>
        <w:tab/>
      </w:r>
      <w:r>
        <w:rPr>
          <w:noProof/>
        </w:rPr>
        <w:t>Estimated space impacts of complying with proposed changes to NCC</w:t>
      </w:r>
      <w:r>
        <w:rPr>
          <w:noProof/>
        </w:rPr>
        <w:tab/>
      </w:r>
      <w:r>
        <w:rPr>
          <w:noProof/>
        </w:rPr>
        <w:fldChar w:fldCharType="begin"/>
      </w:r>
      <w:r>
        <w:rPr>
          <w:noProof/>
        </w:rPr>
        <w:instrText xml:space="preserve"> PAGEREF _Toc45654157 \h </w:instrText>
      </w:r>
      <w:r>
        <w:rPr>
          <w:noProof/>
        </w:rPr>
      </w:r>
      <w:r>
        <w:rPr>
          <w:noProof/>
        </w:rPr>
        <w:fldChar w:fldCharType="separate"/>
      </w:r>
      <w:r>
        <w:rPr>
          <w:noProof/>
        </w:rPr>
        <w:t>79</w:t>
      </w:r>
      <w:r>
        <w:rPr>
          <w:noProof/>
        </w:rPr>
        <w:fldChar w:fldCharType="end"/>
      </w:r>
    </w:p>
    <w:p w:rsidR="009F1D80" w:rsidRDefault="009F1D80">
      <w:pPr>
        <w:pStyle w:val="TableofFigures"/>
        <w:rPr>
          <w:rFonts w:eastAsiaTheme="minorEastAsia" w:cstheme="minorBidi"/>
          <w:noProof/>
          <w:sz w:val="22"/>
          <w:szCs w:val="22"/>
          <w:lang w:eastAsia="zh-CN"/>
        </w:rPr>
      </w:pPr>
      <w:r>
        <w:rPr>
          <w:noProof/>
        </w:rPr>
        <w:t>5.7</w:t>
      </w:r>
      <w:r>
        <w:rPr>
          <w:rFonts w:eastAsiaTheme="minorEastAsia" w:cstheme="minorBidi"/>
          <w:noProof/>
          <w:sz w:val="22"/>
          <w:szCs w:val="22"/>
          <w:lang w:eastAsia="zh-CN"/>
        </w:rPr>
        <w:tab/>
      </w:r>
      <w:r>
        <w:rPr>
          <w:noProof/>
        </w:rPr>
        <w:t>Estimated marginal cost of land</w:t>
      </w:r>
      <w:r>
        <w:rPr>
          <w:noProof/>
        </w:rPr>
        <w:tab/>
      </w:r>
      <w:r>
        <w:rPr>
          <w:noProof/>
        </w:rPr>
        <w:fldChar w:fldCharType="begin"/>
      </w:r>
      <w:r>
        <w:rPr>
          <w:noProof/>
        </w:rPr>
        <w:instrText xml:space="preserve"> PAGEREF _Toc45654158 \h </w:instrText>
      </w:r>
      <w:r>
        <w:rPr>
          <w:noProof/>
        </w:rPr>
      </w:r>
      <w:r>
        <w:rPr>
          <w:noProof/>
        </w:rPr>
        <w:fldChar w:fldCharType="separate"/>
      </w:r>
      <w:r>
        <w:rPr>
          <w:noProof/>
        </w:rPr>
        <w:t>80</w:t>
      </w:r>
      <w:r>
        <w:rPr>
          <w:noProof/>
        </w:rPr>
        <w:fldChar w:fldCharType="end"/>
      </w:r>
    </w:p>
    <w:p w:rsidR="009F1D80" w:rsidRDefault="009F1D80">
      <w:pPr>
        <w:pStyle w:val="TableofFigures"/>
        <w:rPr>
          <w:rFonts w:eastAsiaTheme="minorEastAsia" w:cstheme="minorBidi"/>
          <w:noProof/>
          <w:sz w:val="22"/>
          <w:szCs w:val="22"/>
          <w:lang w:eastAsia="zh-CN"/>
        </w:rPr>
      </w:pPr>
      <w:r>
        <w:rPr>
          <w:noProof/>
        </w:rPr>
        <w:t>5.8</w:t>
      </w:r>
      <w:r>
        <w:rPr>
          <w:rFonts w:eastAsiaTheme="minorEastAsia" w:cstheme="minorBidi"/>
          <w:noProof/>
          <w:sz w:val="22"/>
          <w:szCs w:val="22"/>
          <w:lang w:eastAsia="zh-CN"/>
        </w:rPr>
        <w:tab/>
      </w:r>
      <w:r>
        <w:rPr>
          <w:noProof/>
        </w:rPr>
        <w:t xml:space="preserve">Average price per square metre </w:t>
      </w:r>
      <w:r>
        <w:rPr>
          <w:noProof/>
        </w:rPr>
        <w:noBreakHyphen/>
        <w:t xml:space="preserve"> apartments</w:t>
      </w:r>
      <w:r>
        <w:rPr>
          <w:noProof/>
        </w:rPr>
        <w:tab/>
      </w:r>
      <w:r>
        <w:rPr>
          <w:noProof/>
        </w:rPr>
        <w:fldChar w:fldCharType="begin"/>
      </w:r>
      <w:r>
        <w:rPr>
          <w:noProof/>
        </w:rPr>
        <w:instrText xml:space="preserve"> PAGEREF _Toc45654159 \h </w:instrText>
      </w:r>
      <w:r>
        <w:rPr>
          <w:noProof/>
        </w:rPr>
      </w:r>
      <w:r>
        <w:rPr>
          <w:noProof/>
        </w:rPr>
        <w:fldChar w:fldCharType="separate"/>
      </w:r>
      <w:r>
        <w:rPr>
          <w:noProof/>
        </w:rPr>
        <w:t>81</w:t>
      </w:r>
      <w:r>
        <w:rPr>
          <w:noProof/>
        </w:rPr>
        <w:fldChar w:fldCharType="end"/>
      </w:r>
    </w:p>
    <w:p w:rsidR="009F1D80" w:rsidRDefault="009F1D80">
      <w:pPr>
        <w:pStyle w:val="TableofFigures"/>
        <w:rPr>
          <w:rFonts w:eastAsiaTheme="minorEastAsia" w:cstheme="minorBidi"/>
          <w:noProof/>
          <w:sz w:val="22"/>
          <w:szCs w:val="22"/>
          <w:lang w:eastAsia="zh-CN"/>
        </w:rPr>
      </w:pPr>
      <w:r>
        <w:rPr>
          <w:noProof/>
        </w:rPr>
        <w:t>5.9</w:t>
      </w:r>
      <w:r>
        <w:rPr>
          <w:rFonts w:eastAsiaTheme="minorEastAsia" w:cstheme="minorBidi"/>
          <w:noProof/>
          <w:sz w:val="22"/>
          <w:szCs w:val="22"/>
          <w:lang w:eastAsia="zh-CN"/>
        </w:rPr>
        <w:tab/>
      </w:r>
      <w:r>
        <w:rPr>
          <w:noProof/>
        </w:rPr>
        <w:t>Questions for stakeholders</w:t>
      </w:r>
      <w:r>
        <w:rPr>
          <w:noProof/>
        </w:rPr>
        <w:tab/>
      </w:r>
      <w:r>
        <w:rPr>
          <w:noProof/>
        </w:rPr>
        <w:fldChar w:fldCharType="begin"/>
      </w:r>
      <w:r>
        <w:rPr>
          <w:noProof/>
        </w:rPr>
        <w:instrText xml:space="preserve"> PAGEREF _Toc45654160 \h </w:instrText>
      </w:r>
      <w:r>
        <w:rPr>
          <w:noProof/>
        </w:rPr>
      </w:r>
      <w:r>
        <w:rPr>
          <w:noProof/>
        </w:rPr>
        <w:fldChar w:fldCharType="separate"/>
      </w:r>
      <w:r>
        <w:rPr>
          <w:noProof/>
        </w:rPr>
        <w:t>82</w:t>
      </w:r>
      <w:r>
        <w:rPr>
          <w:noProof/>
        </w:rPr>
        <w:fldChar w:fldCharType="end"/>
      </w:r>
    </w:p>
    <w:p w:rsidR="009F1D80" w:rsidRDefault="009F1D80">
      <w:pPr>
        <w:pStyle w:val="TableofFigures"/>
        <w:rPr>
          <w:rFonts w:eastAsiaTheme="minorEastAsia" w:cstheme="minorBidi"/>
          <w:noProof/>
          <w:sz w:val="22"/>
          <w:szCs w:val="22"/>
          <w:lang w:eastAsia="zh-CN"/>
        </w:rPr>
      </w:pPr>
      <w:r>
        <w:rPr>
          <w:noProof/>
        </w:rPr>
        <w:t>5.10</w:t>
      </w:r>
      <w:r>
        <w:rPr>
          <w:rFonts w:eastAsiaTheme="minorEastAsia" w:cstheme="minorBidi"/>
          <w:noProof/>
          <w:sz w:val="22"/>
          <w:szCs w:val="22"/>
          <w:lang w:eastAsia="zh-CN"/>
        </w:rPr>
        <w:tab/>
      </w:r>
      <w:r>
        <w:rPr>
          <w:noProof/>
        </w:rPr>
        <w:t>Weighted average excavation costs</w:t>
      </w:r>
      <w:r>
        <w:rPr>
          <w:noProof/>
        </w:rPr>
        <w:tab/>
      </w:r>
      <w:r>
        <w:rPr>
          <w:noProof/>
        </w:rPr>
        <w:fldChar w:fldCharType="begin"/>
      </w:r>
      <w:r>
        <w:rPr>
          <w:noProof/>
        </w:rPr>
        <w:instrText xml:space="preserve"> PAGEREF _Toc45654161 \h </w:instrText>
      </w:r>
      <w:r>
        <w:rPr>
          <w:noProof/>
        </w:rPr>
      </w:r>
      <w:r>
        <w:rPr>
          <w:noProof/>
        </w:rPr>
        <w:fldChar w:fldCharType="separate"/>
      </w:r>
      <w:r>
        <w:rPr>
          <w:noProof/>
        </w:rPr>
        <w:t>82</w:t>
      </w:r>
      <w:r>
        <w:rPr>
          <w:noProof/>
        </w:rPr>
        <w:fldChar w:fldCharType="end"/>
      </w:r>
    </w:p>
    <w:p w:rsidR="009F1D80" w:rsidRDefault="009F1D80">
      <w:pPr>
        <w:pStyle w:val="TableofFigures"/>
        <w:rPr>
          <w:rFonts w:eastAsiaTheme="minorEastAsia" w:cstheme="minorBidi"/>
          <w:noProof/>
          <w:sz w:val="22"/>
          <w:szCs w:val="22"/>
          <w:lang w:eastAsia="zh-CN"/>
        </w:rPr>
      </w:pPr>
      <w:r>
        <w:rPr>
          <w:noProof/>
        </w:rPr>
        <w:t>5.11</w:t>
      </w:r>
      <w:r>
        <w:rPr>
          <w:rFonts w:eastAsiaTheme="minorEastAsia" w:cstheme="minorBidi"/>
          <w:noProof/>
          <w:sz w:val="22"/>
          <w:szCs w:val="22"/>
          <w:lang w:eastAsia="zh-CN"/>
        </w:rPr>
        <w:tab/>
      </w:r>
      <w:r>
        <w:rPr>
          <w:noProof/>
        </w:rPr>
        <w:t>Weighted average cost per m</w:t>
      </w:r>
      <w:r w:rsidRPr="00676FD2">
        <w:rPr>
          <w:noProof/>
          <w:vertAlign w:val="superscript"/>
        </w:rPr>
        <w:t>3</w:t>
      </w:r>
      <w:r>
        <w:rPr>
          <w:noProof/>
        </w:rPr>
        <w:tab/>
      </w:r>
      <w:r>
        <w:rPr>
          <w:noProof/>
        </w:rPr>
        <w:fldChar w:fldCharType="begin"/>
      </w:r>
      <w:r>
        <w:rPr>
          <w:noProof/>
        </w:rPr>
        <w:instrText xml:space="preserve"> PAGEREF _Toc45654162 \h </w:instrText>
      </w:r>
      <w:r>
        <w:rPr>
          <w:noProof/>
        </w:rPr>
      </w:r>
      <w:r>
        <w:rPr>
          <w:noProof/>
        </w:rPr>
        <w:fldChar w:fldCharType="separate"/>
      </w:r>
      <w:r>
        <w:rPr>
          <w:noProof/>
        </w:rPr>
        <w:t>83</w:t>
      </w:r>
      <w:r>
        <w:rPr>
          <w:noProof/>
        </w:rPr>
        <w:fldChar w:fldCharType="end"/>
      </w:r>
    </w:p>
    <w:p w:rsidR="009F1D80" w:rsidRDefault="009F1D80">
      <w:pPr>
        <w:pStyle w:val="TableofFigures"/>
        <w:rPr>
          <w:rFonts w:eastAsiaTheme="minorEastAsia" w:cstheme="minorBidi"/>
          <w:noProof/>
          <w:sz w:val="22"/>
          <w:szCs w:val="22"/>
          <w:lang w:eastAsia="zh-CN"/>
        </w:rPr>
      </w:pPr>
      <w:r>
        <w:rPr>
          <w:noProof/>
        </w:rPr>
        <w:t>5.12</w:t>
      </w:r>
      <w:r>
        <w:rPr>
          <w:rFonts w:eastAsiaTheme="minorEastAsia" w:cstheme="minorBidi"/>
          <w:noProof/>
          <w:sz w:val="22"/>
          <w:szCs w:val="22"/>
          <w:lang w:eastAsia="zh-CN"/>
        </w:rPr>
        <w:tab/>
      </w:r>
      <w:r>
        <w:rPr>
          <w:noProof/>
        </w:rPr>
        <w:t>Estimated cost per lot</w:t>
      </w:r>
      <w:r>
        <w:rPr>
          <w:noProof/>
        </w:rPr>
        <w:tab/>
      </w:r>
      <w:r>
        <w:rPr>
          <w:noProof/>
        </w:rPr>
        <w:fldChar w:fldCharType="begin"/>
      </w:r>
      <w:r>
        <w:rPr>
          <w:noProof/>
        </w:rPr>
        <w:instrText xml:space="preserve"> PAGEREF _Toc45654163 \h </w:instrText>
      </w:r>
      <w:r>
        <w:rPr>
          <w:noProof/>
        </w:rPr>
      </w:r>
      <w:r>
        <w:rPr>
          <w:noProof/>
        </w:rPr>
        <w:fldChar w:fldCharType="separate"/>
      </w:r>
      <w:r>
        <w:rPr>
          <w:noProof/>
        </w:rPr>
        <w:t>83</w:t>
      </w:r>
      <w:r>
        <w:rPr>
          <w:noProof/>
        </w:rPr>
        <w:fldChar w:fldCharType="end"/>
      </w:r>
    </w:p>
    <w:p w:rsidR="009F1D80" w:rsidRDefault="009F1D80">
      <w:pPr>
        <w:pStyle w:val="TableofFigures"/>
        <w:rPr>
          <w:rFonts w:eastAsiaTheme="minorEastAsia" w:cstheme="minorBidi"/>
          <w:noProof/>
          <w:sz w:val="22"/>
          <w:szCs w:val="22"/>
          <w:lang w:eastAsia="zh-CN"/>
        </w:rPr>
      </w:pPr>
      <w:r>
        <w:rPr>
          <w:noProof/>
        </w:rPr>
        <w:t>5.13</w:t>
      </w:r>
      <w:r>
        <w:rPr>
          <w:rFonts w:eastAsiaTheme="minorEastAsia" w:cstheme="minorBidi"/>
          <w:noProof/>
          <w:sz w:val="22"/>
          <w:szCs w:val="22"/>
          <w:lang w:eastAsia="zh-CN"/>
        </w:rPr>
        <w:tab/>
      </w:r>
      <w:r>
        <w:rPr>
          <w:noProof/>
        </w:rPr>
        <w:t>Questions for stakeholders</w:t>
      </w:r>
      <w:r>
        <w:rPr>
          <w:noProof/>
        </w:rPr>
        <w:tab/>
      </w:r>
      <w:r>
        <w:rPr>
          <w:noProof/>
        </w:rPr>
        <w:fldChar w:fldCharType="begin"/>
      </w:r>
      <w:r>
        <w:rPr>
          <w:noProof/>
        </w:rPr>
        <w:instrText xml:space="preserve"> PAGEREF _Toc45654164 \h </w:instrText>
      </w:r>
      <w:r>
        <w:rPr>
          <w:noProof/>
        </w:rPr>
      </w:r>
      <w:r>
        <w:rPr>
          <w:noProof/>
        </w:rPr>
        <w:fldChar w:fldCharType="separate"/>
      </w:r>
      <w:r>
        <w:rPr>
          <w:noProof/>
        </w:rPr>
        <w:t>84</w:t>
      </w:r>
      <w:r>
        <w:rPr>
          <w:noProof/>
        </w:rPr>
        <w:fldChar w:fldCharType="end"/>
      </w:r>
    </w:p>
    <w:p w:rsidR="009F1D80" w:rsidRDefault="009F1D80">
      <w:pPr>
        <w:pStyle w:val="TableofFigures"/>
        <w:rPr>
          <w:rFonts w:eastAsiaTheme="minorEastAsia" w:cstheme="minorBidi"/>
          <w:noProof/>
          <w:sz w:val="22"/>
          <w:szCs w:val="22"/>
          <w:lang w:eastAsia="zh-CN"/>
        </w:rPr>
      </w:pPr>
      <w:r>
        <w:rPr>
          <w:noProof/>
        </w:rPr>
        <w:t>5.14</w:t>
      </w:r>
      <w:r>
        <w:rPr>
          <w:rFonts w:eastAsiaTheme="minorEastAsia" w:cstheme="minorBidi"/>
          <w:noProof/>
          <w:sz w:val="22"/>
          <w:szCs w:val="22"/>
          <w:lang w:eastAsia="zh-CN"/>
        </w:rPr>
        <w:tab/>
      </w:r>
      <w:r>
        <w:rPr>
          <w:noProof/>
        </w:rPr>
        <w:t>Questions for stakeholders</w:t>
      </w:r>
      <w:r>
        <w:rPr>
          <w:noProof/>
        </w:rPr>
        <w:tab/>
      </w:r>
      <w:r>
        <w:rPr>
          <w:noProof/>
        </w:rPr>
        <w:fldChar w:fldCharType="begin"/>
      </w:r>
      <w:r>
        <w:rPr>
          <w:noProof/>
        </w:rPr>
        <w:instrText xml:space="preserve"> PAGEREF _Toc45654165 \h </w:instrText>
      </w:r>
      <w:r>
        <w:rPr>
          <w:noProof/>
        </w:rPr>
      </w:r>
      <w:r>
        <w:rPr>
          <w:noProof/>
        </w:rPr>
        <w:fldChar w:fldCharType="separate"/>
      </w:r>
      <w:r>
        <w:rPr>
          <w:noProof/>
        </w:rPr>
        <w:t>84</w:t>
      </w:r>
      <w:r>
        <w:rPr>
          <w:noProof/>
        </w:rPr>
        <w:fldChar w:fldCharType="end"/>
      </w:r>
    </w:p>
    <w:p w:rsidR="009F1D80" w:rsidRDefault="009F1D80">
      <w:pPr>
        <w:pStyle w:val="TableofFigures"/>
        <w:rPr>
          <w:rFonts w:eastAsiaTheme="minorEastAsia" w:cstheme="minorBidi"/>
          <w:noProof/>
          <w:sz w:val="22"/>
          <w:szCs w:val="22"/>
          <w:lang w:eastAsia="zh-CN"/>
        </w:rPr>
      </w:pPr>
      <w:r>
        <w:rPr>
          <w:noProof/>
        </w:rPr>
        <w:t>5.15</w:t>
      </w:r>
      <w:r>
        <w:rPr>
          <w:rFonts w:eastAsiaTheme="minorEastAsia" w:cstheme="minorBidi"/>
          <w:noProof/>
          <w:sz w:val="22"/>
          <w:szCs w:val="22"/>
          <w:lang w:eastAsia="zh-CN"/>
        </w:rPr>
        <w:tab/>
      </w:r>
      <w:r>
        <w:rPr>
          <w:noProof/>
        </w:rPr>
        <w:t>Transitional costs to government</w:t>
      </w:r>
      <w:r>
        <w:rPr>
          <w:noProof/>
        </w:rPr>
        <w:tab/>
      </w:r>
      <w:r>
        <w:rPr>
          <w:noProof/>
        </w:rPr>
        <w:fldChar w:fldCharType="begin"/>
      </w:r>
      <w:r>
        <w:rPr>
          <w:noProof/>
        </w:rPr>
        <w:instrText xml:space="preserve"> PAGEREF _Toc45654166 \h </w:instrText>
      </w:r>
      <w:r>
        <w:rPr>
          <w:noProof/>
        </w:rPr>
      </w:r>
      <w:r>
        <w:rPr>
          <w:noProof/>
        </w:rPr>
        <w:fldChar w:fldCharType="separate"/>
      </w:r>
      <w:r>
        <w:rPr>
          <w:noProof/>
        </w:rPr>
        <w:t>85</w:t>
      </w:r>
      <w:r>
        <w:rPr>
          <w:noProof/>
        </w:rPr>
        <w:fldChar w:fldCharType="end"/>
      </w:r>
    </w:p>
    <w:p w:rsidR="009F1D80" w:rsidRDefault="009F1D80">
      <w:pPr>
        <w:pStyle w:val="TableofFigures"/>
        <w:rPr>
          <w:rFonts w:eastAsiaTheme="minorEastAsia" w:cstheme="minorBidi"/>
          <w:noProof/>
          <w:sz w:val="22"/>
          <w:szCs w:val="22"/>
          <w:lang w:eastAsia="zh-CN"/>
        </w:rPr>
      </w:pPr>
      <w:r>
        <w:rPr>
          <w:noProof/>
        </w:rPr>
        <w:t>5.16</w:t>
      </w:r>
      <w:r>
        <w:rPr>
          <w:rFonts w:eastAsiaTheme="minorEastAsia" w:cstheme="minorBidi"/>
          <w:noProof/>
          <w:sz w:val="22"/>
          <w:szCs w:val="22"/>
          <w:lang w:eastAsia="zh-CN"/>
        </w:rPr>
        <w:tab/>
      </w:r>
      <w:r>
        <w:rPr>
          <w:noProof/>
        </w:rPr>
        <w:t>Estimated number of individuals to be retrained, and retraining costs</w:t>
      </w:r>
      <w:r>
        <w:rPr>
          <w:noProof/>
        </w:rPr>
        <w:tab/>
      </w:r>
      <w:r>
        <w:rPr>
          <w:noProof/>
        </w:rPr>
        <w:fldChar w:fldCharType="begin"/>
      </w:r>
      <w:r>
        <w:rPr>
          <w:noProof/>
        </w:rPr>
        <w:instrText xml:space="preserve"> PAGEREF _Toc45654167 \h </w:instrText>
      </w:r>
      <w:r>
        <w:rPr>
          <w:noProof/>
        </w:rPr>
      </w:r>
      <w:r>
        <w:rPr>
          <w:noProof/>
        </w:rPr>
        <w:fldChar w:fldCharType="separate"/>
      </w:r>
      <w:r>
        <w:rPr>
          <w:noProof/>
        </w:rPr>
        <w:t>85</w:t>
      </w:r>
      <w:r>
        <w:rPr>
          <w:noProof/>
        </w:rPr>
        <w:fldChar w:fldCharType="end"/>
      </w:r>
    </w:p>
    <w:p w:rsidR="009F1D80" w:rsidRDefault="009F1D80">
      <w:pPr>
        <w:pStyle w:val="TableofFigures"/>
        <w:rPr>
          <w:rFonts w:eastAsiaTheme="minorEastAsia" w:cstheme="minorBidi"/>
          <w:noProof/>
          <w:sz w:val="22"/>
          <w:szCs w:val="22"/>
          <w:lang w:eastAsia="zh-CN"/>
        </w:rPr>
      </w:pPr>
      <w:r>
        <w:rPr>
          <w:noProof/>
        </w:rPr>
        <w:t>5.17</w:t>
      </w:r>
      <w:r>
        <w:rPr>
          <w:rFonts w:eastAsiaTheme="minorEastAsia" w:cstheme="minorBidi"/>
          <w:noProof/>
          <w:sz w:val="22"/>
          <w:szCs w:val="22"/>
          <w:lang w:eastAsia="zh-CN"/>
        </w:rPr>
        <w:tab/>
      </w:r>
      <w:r>
        <w:rPr>
          <w:noProof/>
        </w:rPr>
        <w:t>Construction managers</w:t>
      </w:r>
      <w:r>
        <w:rPr>
          <w:noProof/>
        </w:rPr>
        <w:tab/>
      </w:r>
      <w:r>
        <w:rPr>
          <w:noProof/>
        </w:rPr>
        <w:fldChar w:fldCharType="begin"/>
      </w:r>
      <w:r>
        <w:rPr>
          <w:noProof/>
        </w:rPr>
        <w:instrText xml:space="preserve"> PAGEREF _Toc45654168 \h </w:instrText>
      </w:r>
      <w:r>
        <w:rPr>
          <w:noProof/>
        </w:rPr>
      </w:r>
      <w:r>
        <w:rPr>
          <w:noProof/>
        </w:rPr>
        <w:fldChar w:fldCharType="separate"/>
      </w:r>
      <w:r>
        <w:rPr>
          <w:noProof/>
        </w:rPr>
        <w:t>86</w:t>
      </w:r>
      <w:r>
        <w:rPr>
          <w:noProof/>
        </w:rPr>
        <w:fldChar w:fldCharType="end"/>
      </w:r>
    </w:p>
    <w:p w:rsidR="009F1D80" w:rsidRDefault="009F1D80">
      <w:pPr>
        <w:pStyle w:val="TableofFigures"/>
        <w:rPr>
          <w:rFonts w:eastAsiaTheme="minorEastAsia" w:cstheme="minorBidi"/>
          <w:noProof/>
          <w:sz w:val="22"/>
          <w:szCs w:val="22"/>
          <w:lang w:eastAsia="zh-CN"/>
        </w:rPr>
      </w:pPr>
      <w:r>
        <w:rPr>
          <w:noProof/>
        </w:rPr>
        <w:t>5.18</w:t>
      </w:r>
      <w:r>
        <w:rPr>
          <w:rFonts w:eastAsiaTheme="minorEastAsia" w:cstheme="minorBidi"/>
          <w:noProof/>
          <w:sz w:val="22"/>
          <w:szCs w:val="22"/>
          <w:lang w:eastAsia="zh-CN"/>
        </w:rPr>
        <w:tab/>
      </w:r>
      <w:r>
        <w:rPr>
          <w:noProof/>
        </w:rPr>
        <w:t>Assumptions for hourly earnings in relevant occupations</w:t>
      </w:r>
      <w:r>
        <w:rPr>
          <w:noProof/>
        </w:rPr>
        <w:tab/>
      </w:r>
      <w:r>
        <w:rPr>
          <w:noProof/>
        </w:rPr>
        <w:fldChar w:fldCharType="begin"/>
      </w:r>
      <w:r>
        <w:rPr>
          <w:noProof/>
        </w:rPr>
        <w:instrText xml:space="preserve"> PAGEREF _Toc45654169 \h </w:instrText>
      </w:r>
      <w:r>
        <w:rPr>
          <w:noProof/>
        </w:rPr>
      </w:r>
      <w:r>
        <w:rPr>
          <w:noProof/>
        </w:rPr>
        <w:fldChar w:fldCharType="separate"/>
      </w:r>
      <w:r>
        <w:rPr>
          <w:noProof/>
        </w:rPr>
        <w:t>87</w:t>
      </w:r>
      <w:r>
        <w:rPr>
          <w:noProof/>
        </w:rPr>
        <w:fldChar w:fldCharType="end"/>
      </w:r>
    </w:p>
    <w:p w:rsidR="009F1D80" w:rsidRDefault="009F1D80">
      <w:pPr>
        <w:pStyle w:val="TableofFigures"/>
        <w:rPr>
          <w:rFonts w:eastAsiaTheme="minorEastAsia" w:cstheme="minorBidi"/>
          <w:noProof/>
          <w:sz w:val="22"/>
          <w:szCs w:val="22"/>
          <w:lang w:eastAsia="zh-CN"/>
        </w:rPr>
      </w:pPr>
      <w:r>
        <w:rPr>
          <w:noProof/>
        </w:rPr>
        <w:t>5.19</w:t>
      </w:r>
      <w:r>
        <w:rPr>
          <w:rFonts w:eastAsiaTheme="minorEastAsia" w:cstheme="minorBidi"/>
          <w:noProof/>
          <w:sz w:val="22"/>
          <w:szCs w:val="22"/>
          <w:lang w:eastAsia="zh-CN"/>
        </w:rPr>
        <w:tab/>
      </w:r>
      <w:r>
        <w:rPr>
          <w:noProof/>
        </w:rPr>
        <w:t>Estimated subsidy</w:t>
      </w:r>
      <w:r>
        <w:rPr>
          <w:noProof/>
        </w:rPr>
        <w:tab/>
      </w:r>
      <w:r>
        <w:rPr>
          <w:noProof/>
        </w:rPr>
        <w:fldChar w:fldCharType="begin"/>
      </w:r>
      <w:r>
        <w:rPr>
          <w:noProof/>
        </w:rPr>
        <w:instrText xml:space="preserve"> PAGEREF _Toc45654170 \h </w:instrText>
      </w:r>
      <w:r>
        <w:rPr>
          <w:noProof/>
        </w:rPr>
      </w:r>
      <w:r>
        <w:rPr>
          <w:noProof/>
        </w:rPr>
        <w:fldChar w:fldCharType="separate"/>
      </w:r>
      <w:r>
        <w:rPr>
          <w:noProof/>
        </w:rPr>
        <w:t>88</w:t>
      </w:r>
      <w:r>
        <w:rPr>
          <w:noProof/>
        </w:rPr>
        <w:fldChar w:fldCharType="end"/>
      </w:r>
    </w:p>
    <w:p w:rsidR="009F1D80" w:rsidRDefault="009F1D80">
      <w:pPr>
        <w:pStyle w:val="TableofFigures"/>
        <w:rPr>
          <w:rFonts w:eastAsiaTheme="minorEastAsia" w:cstheme="minorBidi"/>
          <w:noProof/>
          <w:sz w:val="22"/>
          <w:szCs w:val="22"/>
          <w:lang w:eastAsia="zh-CN"/>
        </w:rPr>
      </w:pPr>
      <w:r>
        <w:rPr>
          <w:noProof/>
        </w:rPr>
        <w:t>6.1</w:t>
      </w:r>
      <w:r>
        <w:rPr>
          <w:rFonts w:eastAsiaTheme="minorEastAsia" w:cstheme="minorBidi"/>
          <w:noProof/>
          <w:sz w:val="22"/>
          <w:szCs w:val="22"/>
          <w:lang w:eastAsia="zh-CN"/>
        </w:rPr>
        <w:tab/>
      </w:r>
      <w:r>
        <w:rPr>
          <w:noProof/>
        </w:rPr>
        <w:t>Reduction of costs due to features being provided under the baseline</w:t>
      </w:r>
      <w:r>
        <w:rPr>
          <w:noProof/>
        </w:rPr>
        <w:tab/>
      </w:r>
      <w:r>
        <w:rPr>
          <w:noProof/>
        </w:rPr>
        <w:fldChar w:fldCharType="begin"/>
      </w:r>
      <w:r>
        <w:rPr>
          <w:noProof/>
        </w:rPr>
        <w:instrText xml:space="preserve"> PAGEREF _Toc45654171 \h </w:instrText>
      </w:r>
      <w:r>
        <w:rPr>
          <w:noProof/>
        </w:rPr>
      </w:r>
      <w:r>
        <w:rPr>
          <w:noProof/>
        </w:rPr>
        <w:fldChar w:fldCharType="separate"/>
      </w:r>
      <w:r>
        <w:rPr>
          <w:noProof/>
        </w:rPr>
        <w:t>94</w:t>
      </w:r>
      <w:r>
        <w:rPr>
          <w:noProof/>
        </w:rPr>
        <w:fldChar w:fldCharType="end"/>
      </w:r>
    </w:p>
    <w:p w:rsidR="009F1D80" w:rsidRDefault="009F1D80">
      <w:pPr>
        <w:pStyle w:val="TableofFigures"/>
        <w:rPr>
          <w:rFonts w:eastAsiaTheme="minorEastAsia" w:cstheme="minorBidi"/>
          <w:noProof/>
          <w:sz w:val="22"/>
          <w:szCs w:val="22"/>
          <w:lang w:eastAsia="zh-CN"/>
        </w:rPr>
      </w:pPr>
      <w:r>
        <w:rPr>
          <w:noProof/>
        </w:rPr>
        <w:t>6.2</w:t>
      </w:r>
      <w:r>
        <w:rPr>
          <w:rFonts w:eastAsiaTheme="minorEastAsia" w:cstheme="minorBidi"/>
          <w:noProof/>
          <w:sz w:val="22"/>
          <w:szCs w:val="22"/>
          <w:lang w:eastAsia="zh-CN"/>
        </w:rPr>
        <w:tab/>
      </w:r>
      <w:r>
        <w:rPr>
          <w:noProof/>
        </w:rPr>
        <w:t>Questions for stakeholders</w:t>
      </w:r>
      <w:r>
        <w:rPr>
          <w:noProof/>
        </w:rPr>
        <w:tab/>
      </w:r>
      <w:r>
        <w:rPr>
          <w:noProof/>
        </w:rPr>
        <w:fldChar w:fldCharType="begin"/>
      </w:r>
      <w:r>
        <w:rPr>
          <w:noProof/>
        </w:rPr>
        <w:instrText xml:space="preserve"> PAGEREF _Toc45654172 \h </w:instrText>
      </w:r>
      <w:r>
        <w:rPr>
          <w:noProof/>
        </w:rPr>
      </w:r>
      <w:r>
        <w:rPr>
          <w:noProof/>
        </w:rPr>
        <w:fldChar w:fldCharType="separate"/>
      </w:r>
      <w:r>
        <w:rPr>
          <w:noProof/>
        </w:rPr>
        <w:t>95</w:t>
      </w:r>
      <w:r>
        <w:rPr>
          <w:noProof/>
        </w:rPr>
        <w:fldChar w:fldCharType="end"/>
      </w:r>
    </w:p>
    <w:p w:rsidR="009F1D80" w:rsidRDefault="009F1D80">
      <w:pPr>
        <w:pStyle w:val="TableofFigures"/>
        <w:rPr>
          <w:rFonts w:eastAsiaTheme="minorEastAsia" w:cstheme="minorBidi"/>
          <w:noProof/>
          <w:sz w:val="22"/>
          <w:szCs w:val="22"/>
          <w:lang w:eastAsia="zh-CN"/>
        </w:rPr>
      </w:pPr>
      <w:r>
        <w:rPr>
          <w:noProof/>
        </w:rPr>
        <w:t>6.3</w:t>
      </w:r>
      <w:r>
        <w:rPr>
          <w:rFonts w:eastAsiaTheme="minorEastAsia" w:cstheme="minorBidi"/>
          <w:noProof/>
          <w:sz w:val="22"/>
          <w:szCs w:val="22"/>
          <w:lang w:eastAsia="zh-CN"/>
        </w:rPr>
        <w:tab/>
      </w:r>
      <w:r>
        <w:rPr>
          <w:noProof/>
        </w:rPr>
        <w:t>Reduction in the size of the problem</w:t>
      </w:r>
      <w:r>
        <w:rPr>
          <w:noProof/>
        </w:rPr>
        <w:tab/>
      </w:r>
      <w:r>
        <w:rPr>
          <w:noProof/>
        </w:rPr>
        <w:fldChar w:fldCharType="begin"/>
      </w:r>
      <w:r>
        <w:rPr>
          <w:noProof/>
        </w:rPr>
        <w:instrText xml:space="preserve"> PAGEREF _Toc45654173 \h </w:instrText>
      </w:r>
      <w:r>
        <w:rPr>
          <w:noProof/>
        </w:rPr>
      </w:r>
      <w:r>
        <w:rPr>
          <w:noProof/>
        </w:rPr>
        <w:fldChar w:fldCharType="separate"/>
      </w:r>
      <w:r>
        <w:rPr>
          <w:noProof/>
        </w:rPr>
        <w:t>97</w:t>
      </w:r>
      <w:r>
        <w:rPr>
          <w:noProof/>
        </w:rPr>
        <w:fldChar w:fldCharType="end"/>
      </w:r>
    </w:p>
    <w:p w:rsidR="009F1D80" w:rsidRDefault="009F1D80">
      <w:pPr>
        <w:pStyle w:val="TableofFigures"/>
        <w:rPr>
          <w:rFonts w:eastAsiaTheme="minorEastAsia" w:cstheme="minorBidi"/>
          <w:noProof/>
          <w:sz w:val="22"/>
          <w:szCs w:val="22"/>
          <w:lang w:eastAsia="zh-CN"/>
        </w:rPr>
      </w:pPr>
      <w:r>
        <w:rPr>
          <w:noProof/>
        </w:rPr>
        <w:t>6.4</w:t>
      </w:r>
      <w:r>
        <w:rPr>
          <w:rFonts w:eastAsiaTheme="minorEastAsia" w:cstheme="minorBidi"/>
          <w:noProof/>
          <w:sz w:val="22"/>
          <w:szCs w:val="22"/>
          <w:lang w:eastAsia="zh-CN"/>
        </w:rPr>
        <w:tab/>
      </w:r>
      <w:r>
        <w:rPr>
          <w:noProof/>
        </w:rPr>
        <w:t>Estimated supply of accessibility features in baseline</w:t>
      </w:r>
      <w:r>
        <w:rPr>
          <w:noProof/>
        </w:rPr>
        <w:tab/>
      </w:r>
      <w:r>
        <w:rPr>
          <w:noProof/>
        </w:rPr>
        <w:fldChar w:fldCharType="begin"/>
      </w:r>
      <w:r>
        <w:rPr>
          <w:noProof/>
        </w:rPr>
        <w:instrText xml:space="preserve"> PAGEREF _Toc45654174 \h </w:instrText>
      </w:r>
      <w:r>
        <w:rPr>
          <w:noProof/>
        </w:rPr>
      </w:r>
      <w:r>
        <w:rPr>
          <w:noProof/>
        </w:rPr>
        <w:fldChar w:fldCharType="separate"/>
      </w:r>
      <w:r>
        <w:rPr>
          <w:noProof/>
        </w:rPr>
        <w:t>99</w:t>
      </w:r>
      <w:r>
        <w:rPr>
          <w:noProof/>
        </w:rPr>
        <w:fldChar w:fldCharType="end"/>
      </w:r>
    </w:p>
    <w:p w:rsidR="009F1D80" w:rsidRDefault="009F1D80">
      <w:pPr>
        <w:pStyle w:val="TableofFigures"/>
        <w:rPr>
          <w:rFonts w:eastAsiaTheme="minorEastAsia" w:cstheme="minorBidi"/>
          <w:noProof/>
          <w:sz w:val="22"/>
          <w:szCs w:val="22"/>
          <w:lang w:eastAsia="zh-CN"/>
        </w:rPr>
      </w:pPr>
      <w:r>
        <w:rPr>
          <w:noProof/>
        </w:rPr>
        <w:t>6.5</w:t>
      </w:r>
      <w:r>
        <w:rPr>
          <w:rFonts w:eastAsiaTheme="minorEastAsia" w:cstheme="minorBidi"/>
          <w:noProof/>
          <w:sz w:val="22"/>
          <w:szCs w:val="22"/>
          <w:lang w:eastAsia="zh-CN"/>
        </w:rPr>
        <w:tab/>
      </w:r>
      <w:r>
        <w:rPr>
          <w:noProof/>
        </w:rPr>
        <w:t>Assumptions for projected supply of accessibility features: Owner-occupants</w:t>
      </w:r>
      <w:r>
        <w:rPr>
          <w:noProof/>
        </w:rPr>
        <w:tab/>
      </w:r>
      <w:r>
        <w:rPr>
          <w:noProof/>
        </w:rPr>
        <w:fldChar w:fldCharType="begin"/>
      </w:r>
      <w:r>
        <w:rPr>
          <w:noProof/>
        </w:rPr>
        <w:instrText xml:space="preserve"> PAGEREF _Toc45654175 \h </w:instrText>
      </w:r>
      <w:r>
        <w:rPr>
          <w:noProof/>
        </w:rPr>
      </w:r>
      <w:r>
        <w:rPr>
          <w:noProof/>
        </w:rPr>
        <w:fldChar w:fldCharType="separate"/>
      </w:r>
      <w:r>
        <w:rPr>
          <w:noProof/>
        </w:rPr>
        <w:t>101</w:t>
      </w:r>
      <w:r>
        <w:rPr>
          <w:noProof/>
        </w:rPr>
        <w:fldChar w:fldCharType="end"/>
      </w:r>
    </w:p>
    <w:p w:rsidR="009F1D80" w:rsidRDefault="009F1D80">
      <w:pPr>
        <w:pStyle w:val="TableofFigures"/>
        <w:rPr>
          <w:rFonts w:eastAsiaTheme="minorEastAsia" w:cstheme="minorBidi"/>
          <w:noProof/>
          <w:sz w:val="22"/>
          <w:szCs w:val="22"/>
          <w:lang w:eastAsia="zh-CN"/>
        </w:rPr>
      </w:pPr>
      <w:r>
        <w:rPr>
          <w:noProof/>
        </w:rPr>
        <w:t>6.6</w:t>
      </w:r>
      <w:r>
        <w:rPr>
          <w:rFonts w:eastAsiaTheme="minorEastAsia" w:cstheme="minorBidi"/>
          <w:noProof/>
          <w:sz w:val="22"/>
          <w:szCs w:val="22"/>
          <w:lang w:eastAsia="zh-CN"/>
        </w:rPr>
        <w:tab/>
      </w:r>
      <w:r>
        <w:rPr>
          <w:noProof/>
        </w:rPr>
        <w:t>Assumptions for projected supply of accessibility features: Rentals</w:t>
      </w:r>
      <w:r>
        <w:rPr>
          <w:noProof/>
        </w:rPr>
        <w:tab/>
      </w:r>
      <w:r>
        <w:rPr>
          <w:noProof/>
        </w:rPr>
        <w:fldChar w:fldCharType="begin"/>
      </w:r>
      <w:r>
        <w:rPr>
          <w:noProof/>
        </w:rPr>
        <w:instrText xml:space="preserve"> PAGEREF _Toc45654176 \h </w:instrText>
      </w:r>
      <w:r>
        <w:rPr>
          <w:noProof/>
        </w:rPr>
      </w:r>
      <w:r>
        <w:rPr>
          <w:noProof/>
        </w:rPr>
        <w:fldChar w:fldCharType="separate"/>
      </w:r>
      <w:r>
        <w:rPr>
          <w:noProof/>
        </w:rPr>
        <w:t>102</w:t>
      </w:r>
      <w:r>
        <w:rPr>
          <w:noProof/>
        </w:rPr>
        <w:fldChar w:fldCharType="end"/>
      </w:r>
    </w:p>
    <w:p w:rsidR="009F1D80" w:rsidRDefault="009F1D80">
      <w:pPr>
        <w:pStyle w:val="TableofFigures"/>
        <w:rPr>
          <w:rFonts w:eastAsiaTheme="minorEastAsia" w:cstheme="minorBidi"/>
          <w:noProof/>
          <w:sz w:val="22"/>
          <w:szCs w:val="22"/>
          <w:lang w:eastAsia="zh-CN"/>
        </w:rPr>
      </w:pPr>
      <w:r>
        <w:rPr>
          <w:noProof/>
        </w:rPr>
        <w:t>6.7</w:t>
      </w:r>
      <w:r>
        <w:rPr>
          <w:rFonts w:eastAsiaTheme="minorEastAsia" w:cstheme="minorBidi"/>
          <w:noProof/>
          <w:sz w:val="22"/>
          <w:szCs w:val="22"/>
          <w:lang w:eastAsia="zh-CN"/>
        </w:rPr>
        <w:tab/>
      </w:r>
      <w:r>
        <w:rPr>
          <w:noProof/>
        </w:rPr>
        <w:t>Projected entrance-level amenities in rental housing stock: Option 2</w:t>
      </w:r>
      <w:r>
        <w:rPr>
          <w:noProof/>
        </w:rPr>
        <w:tab/>
      </w:r>
      <w:r>
        <w:rPr>
          <w:noProof/>
        </w:rPr>
        <w:fldChar w:fldCharType="begin"/>
      </w:r>
      <w:r>
        <w:rPr>
          <w:noProof/>
        </w:rPr>
        <w:instrText xml:space="preserve"> PAGEREF _Toc45654177 \h </w:instrText>
      </w:r>
      <w:r>
        <w:rPr>
          <w:noProof/>
        </w:rPr>
      </w:r>
      <w:r>
        <w:rPr>
          <w:noProof/>
        </w:rPr>
        <w:fldChar w:fldCharType="separate"/>
      </w:r>
      <w:r>
        <w:rPr>
          <w:noProof/>
        </w:rPr>
        <w:t>103</w:t>
      </w:r>
      <w:r>
        <w:rPr>
          <w:noProof/>
        </w:rPr>
        <w:fldChar w:fldCharType="end"/>
      </w:r>
    </w:p>
    <w:p w:rsidR="009F1D80" w:rsidRDefault="009F1D80">
      <w:pPr>
        <w:pStyle w:val="TableofFigures"/>
        <w:rPr>
          <w:rFonts w:eastAsiaTheme="minorEastAsia" w:cstheme="minorBidi"/>
          <w:noProof/>
          <w:sz w:val="22"/>
          <w:szCs w:val="22"/>
          <w:lang w:eastAsia="zh-CN"/>
        </w:rPr>
      </w:pPr>
      <w:r>
        <w:rPr>
          <w:noProof/>
        </w:rPr>
        <w:t>6.8</w:t>
      </w:r>
      <w:r>
        <w:rPr>
          <w:rFonts w:eastAsiaTheme="minorEastAsia" w:cstheme="minorBidi"/>
          <w:noProof/>
          <w:sz w:val="22"/>
          <w:szCs w:val="22"/>
          <w:lang w:eastAsia="zh-CN"/>
        </w:rPr>
        <w:tab/>
      </w:r>
      <w:r>
        <w:rPr>
          <w:noProof/>
        </w:rPr>
        <w:t>Estimates of average willingness to pay by tenure type and mobility status</w:t>
      </w:r>
      <w:r>
        <w:rPr>
          <w:noProof/>
        </w:rPr>
        <w:tab/>
      </w:r>
      <w:r>
        <w:rPr>
          <w:noProof/>
        </w:rPr>
        <w:fldChar w:fldCharType="begin"/>
      </w:r>
      <w:r>
        <w:rPr>
          <w:noProof/>
        </w:rPr>
        <w:instrText xml:space="preserve"> PAGEREF _Toc45654178 \h </w:instrText>
      </w:r>
      <w:r>
        <w:rPr>
          <w:noProof/>
        </w:rPr>
      </w:r>
      <w:r>
        <w:rPr>
          <w:noProof/>
        </w:rPr>
        <w:fldChar w:fldCharType="separate"/>
      </w:r>
      <w:r>
        <w:rPr>
          <w:noProof/>
        </w:rPr>
        <w:t>103</w:t>
      </w:r>
      <w:r>
        <w:rPr>
          <w:noProof/>
        </w:rPr>
        <w:fldChar w:fldCharType="end"/>
      </w:r>
    </w:p>
    <w:p w:rsidR="009F1D80" w:rsidRDefault="009F1D80">
      <w:pPr>
        <w:pStyle w:val="TableofFigures"/>
        <w:rPr>
          <w:rFonts w:eastAsiaTheme="minorEastAsia" w:cstheme="minorBidi"/>
          <w:noProof/>
          <w:sz w:val="22"/>
          <w:szCs w:val="22"/>
          <w:lang w:eastAsia="zh-CN"/>
        </w:rPr>
      </w:pPr>
      <w:r>
        <w:rPr>
          <w:noProof/>
        </w:rPr>
        <w:t>6.9</w:t>
      </w:r>
      <w:r>
        <w:rPr>
          <w:rFonts w:eastAsiaTheme="minorEastAsia" w:cstheme="minorBidi"/>
          <w:noProof/>
          <w:sz w:val="22"/>
          <w:szCs w:val="22"/>
          <w:lang w:eastAsia="zh-CN"/>
        </w:rPr>
        <w:tab/>
      </w:r>
      <w:r>
        <w:rPr>
          <w:noProof/>
        </w:rPr>
        <w:t>Characteristics of housing for households with and without limited mobility</w:t>
      </w:r>
      <w:r>
        <w:rPr>
          <w:noProof/>
        </w:rPr>
        <w:tab/>
      </w:r>
      <w:r>
        <w:rPr>
          <w:noProof/>
        </w:rPr>
        <w:fldChar w:fldCharType="begin"/>
      </w:r>
      <w:r>
        <w:rPr>
          <w:noProof/>
        </w:rPr>
        <w:instrText xml:space="preserve"> PAGEREF _Toc45654179 \h </w:instrText>
      </w:r>
      <w:r>
        <w:rPr>
          <w:noProof/>
        </w:rPr>
      </w:r>
      <w:r>
        <w:rPr>
          <w:noProof/>
        </w:rPr>
        <w:fldChar w:fldCharType="separate"/>
      </w:r>
      <w:r>
        <w:rPr>
          <w:noProof/>
        </w:rPr>
        <w:t>104</w:t>
      </w:r>
      <w:r>
        <w:rPr>
          <w:noProof/>
        </w:rPr>
        <w:fldChar w:fldCharType="end"/>
      </w:r>
    </w:p>
    <w:p w:rsidR="009F1D80" w:rsidRDefault="009F1D80">
      <w:pPr>
        <w:pStyle w:val="TableofFigures"/>
        <w:rPr>
          <w:rFonts w:eastAsiaTheme="minorEastAsia" w:cstheme="minorBidi"/>
          <w:noProof/>
          <w:sz w:val="22"/>
          <w:szCs w:val="22"/>
          <w:lang w:eastAsia="zh-CN"/>
        </w:rPr>
      </w:pPr>
      <w:r>
        <w:rPr>
          <w:noProof/>
        </w:rPr>
        <w:t>6.10</w:t>
      </w:r>
      <w:r>
        <w:rPr>
          <w:rFonts w:eastAsiaTheme="minorEastAsia" w:cstheme="minorBidi"/>
          <w:noProof/>
          <w:sz w:val="22"/>
          <w:szCs w:val="22"/>
          <w:lang w:eastAsia="zh-CN"/>
        </w:rPr>
        <w:tab/>
      </w:r>
      <w:r>
        <w:rPr>
          <w:noProof/>
        </w:rPr>
        <w:t>Distribution of renter willingness to pay for toilet and shower at entrance level</w:t>
      </w:r>
      <w:r>
        <w:rPr>
          <w:noProof/>
        </w:rPr>
        <w:tab/>
      </w:r>
      <w:r>
        <w:rPr>
          <w:noProof/>
        </w:rPr>
        <w:fldChar w:fldCharType="begin"/>
      </w:r>
      <w:r>
        <w:rPr>
          <w:noProof/>
        </w:rPr>
        <w:instrText xml:space="preserve"> PAGEREF _Toc45654180 \h </w:instrText>
      </w:r>
      <w:r>
        <w:rPr>
          <w:noProof/>
        </w:rPr>
      </w:r>
      <w:r>
        <w:rPr>
          <w:noProof/>
        </w:rPr>
        <w:fldChar w:fldCharType="separate"/>
      </w:r>
      <w:r>
        <w:rPr>
          <w:noProof/>
        </w:rPr>
        <w:t>105</w:t>
      </w:r>
      <w:r>
        <w:rPr>
          <w:noProof/>
        </w:rPr>
        <w:fldChar w:fldCharType="end"/>
      </w:r>
    </w:p>
    <w:p w:rsidR="009F1D80" w:rsidRDefault="009F1D80">
      <w:pPr>
        <w:pStyle w:val="TableofFigures"/>
        <w:rPr>
          <w:rFonts w:eastAsiaTheme="minorEastAsia" w:cstheme="minorBidi"/>
          <w:noProof/>
          <w:sz w:val="22"/>
          <w:szCs w:val="22"/>
          <w:lang w:eastAsia="zh-CN"/>
        </w:rPr>
      </w:pPr>
      <w:r>
        <w:rPr>
          <w:noProof/>
        </w:rPr>
        <w:t>6.11</w:t>
      </w:r>
      <w:r>
        <w:rPr>
          <w:rFonts w:eastAsiaTheme="minorEastAsia" w:cstheme="minorBidi"/>
          <w:noProof/>
          <w:sz w:val="22"/>
          <w:szCs w:val="22"/>
          <w:lang w:eastAsia="zh-CN"/>
        </w:rPr>
        <w:tab/>
      </w:r>
      <w:r>
        <w:rPr>
          <w:noProof/>
        </w:rPr>
        <w:t>Assumptions for projections of willingness to pay</w:t>
      </w:r>
      <w:r>
        <w:rPr>
          <w:noProof/>
        </w:rPr>
        <w:tab/>
      </w:r>
      <w:r>
        <w:rPr>
          <w:noProof/>
        </w:rPr>
        <w:fldChar w:fldCharType="begin"/>
      </w:r>
      <w:r>
        <w:rPr>
          <w:noProof/>
        </w:rPr>
        <w:instrText xml:space="preserve"> PAGEREF _Toc45654181 \h </w:instrText>
      </w:r>
      <w:r>
        <w:rPr>
          <w:noProof/>
        </w:rPr>
      </w:r>
      <w:r>
        <w:rPr>
          <w:noProof/>
        </w:rPr>
        <w:fldChar w:fldCharType="separate"/>
      </w:r>
      <w:r>
        <w:rPr>
          <w:noProof/>
        </w:rPr>
        <w:t>106</w:t>
      </w:r>
      <w:r>
        <w:rPr>
          <w:noProof/>
        </w:rPr>
        <w:fldChar w:fldCharType="end"/>
      </w:r>
    </w:p>
    <w:p w:rsidR="009F1D80" w:rsidRDefault="009F1D80">
      <w:pPr>
        <w:pStyle w:val="TableofFigures"/>
        <w:rPr>
          <w:rFonts w:eastAsiaTheme="minorEastAsia" w:cstheme="minorBidi"/>
          <w:noProof/>
          <w:sz w:val="22"/>
          <w:szCs w:val="22"/>
          <w:lang w:eastAsia="zh-CN"/>
        </w:rPr>
      </w:pPr>
      <w:r>
        <w:rPr>
          <w:noProof/>
        </w:rPr>
        <w:t>6.12</w:t>
      </w:r>
      <w:r>
        <w:rPr>
          <w:rFonts w:eastAsiaTheme="minorEastAsia" w:cstheme="minorBidi"/>
          <w:noProof/>
          <w:sz w:val="22"/>
          <w:szCs w:val="22"/>
          <w:lang w:eastAsia="zh-CN"/>
        </w:rPr>
        <w:tab/>
      </w:r>
      <w:r>
        <w:rPr>
          <w:noProof/>
        </w:rPr>
        <w:t>Forecast rental completions and sales of new homes by first owner-occupiers</w:t>
      </w:r>
      <w:r>
        <w:rPr>
          <w:noProof/>
        </w:rPr>
        <w:tab/>
      </w:r>
      <w:r>
        <w:rPr>
          <w:noProof/>
        </w:rPr>
        <w:fldChar w:fldCharType="begin"/>
      </w:r>
      <w:r>
        <w:rPr>
          <w:noProof/>
        </w:rPr>
        <w:instrText xml:space="preserve"> PAGEREF _Toc45654182 \h </w:instrText>
      </w:r>
      <w:r>
        <w:rPr>
          <w:noProof/>
        </w:rPr>
      </w:r>
      <w:r>
        <w:rPr>
          <w:noProof/>
        </w:rPr>
        <w:fldChar w:fldCharType="separate"/>
      </w:r>
      <w:r>
        <w:rPr>
          <w:noProof/>
        </w:rPr>
        <w:t>107</w:t>
      </w:r>
      <w:r>
        <w:rPr>
          <w:noProof/>
        </w:rPr>
        <w:fldChar w:fldCharType="end"/>
      </w:r>
    </w:p>
    <w:p w:rsidR="009F1D80" w:rsidRDefault="009F1D80">
      <w:pPr>
        <w:pStyle w:val="TableofFigures"/>
        <w:rPr>
          <w:rFonts w:eastAsiaTheme="minorEastAsia" w:cstheme="minorBidi"/>
          <w:noProof/>
          <w:sz w:val="22"/>
          <w:szCs w:val="22"/>
          <w:lang w:eastAsia="zh-CN"/>
        </w:rPr>
      </w:pPr>
      <w:r>
        <w:rPr>
          <w:noProof/>
        </w:rPr>
        <w:t>6.13</w:t>
      </w:r>
      <w:r>
        <w:rPr>
          <w:rFonts w:eastAsiaTheme="minorEastAsia" w:cstheme="minorBidi"/>
          <w:noProof/>
          <w:sz w:val="22"/>
          <w:szCs w:val="22"/>
          <w:lang w:eastAsia="zh-CN"/>
        </w:rPr>
        <w:tab/>
      </w:r>
      <w:r>
        <w:rPr>
          <w:noProof/>
        </w:rPr>
        <w:t>Present value of total willingness to pay for incremental supply of accessibility features</w:t>
      </w:r>
      <w:r>
        <w:rPr>
          <w:noProof/>
        </w:rPr>
        <w:tab/>
      </w:r>
      <w:r>
        <w:rPr>
          <w:noProof/>
        </w:rPr>
        <w:fldChar w:fldCharType="begin"/>
      </w:r>
      <w:r>
        <w:rPr>
          <w:noProof/>
        </w:rPr>
        <w:instrText xml:space="preserve"> PAGEREF _Toc45654183 \h </w:instrText>
      </w:r>
      <w:r>
        <w:rPr>
          <w:noProof/>
        </w:rPr>
      </w:r>
      <w:r>
        <w:rPr>
          <w:noProof/>
        </w:rPr>
        <w:fldChar w:fldCharType="separate"/>
      </w:r>
      <w:r>
        <w:rPr>
          <w:noProof/>
        </w:rPr>
        <w:t>107</w:t>
      </w:r>
      <w:r>
        <w:rPr>
          <w:noProof/>
        </w:rPr>
        <w:fldChar w:fldCharType="end"/>
      </w:r>
    </w:p>
    <w:p w:rsidR="009F1D80" w:rsidRDefault="009F1D80">
      <w:pPr>
        <w:pStyle w:val="TableofFigures"/>
        <w:rPr>
          <w:rFonts w:eastAsiaTheme="minorEastAsia" w:cstheme="minorBidi"/>
          <w:noProof/>
          <w:sz w:val="22"/>
          <w:szCs w:val="22"/>
          <w:lang w:eastAsia="zh-CN"/>
        </w:rPr>
      </w:pPr>
      <w:r>
        <w:rPr>
          <w:noProof/>
        </w:rPr>
        <w:t>6.14</w:t>
      </w:r>
      <w:r>
        <w:rPr>
          <w:rFonts w:eastAsiaTheme="minorEastAsia" w:cstheme="minorBidi"/>
          <w:noProof/>
          <w:sz w:val="22"/>
          <w:szCs w:val="22"/>
          <w:lang w:eastAsia="zh-CN"/>
        </w:rPr>
        <w:tab/>
      </w:r>
      <w:r>
        <w:rPr>
          <w:noProof/>
        </w:rPr>
        <w:t>Questions for stakeholders</w:t>
      </w:r>
      <w:r>
        <w:rPr>
          <w:noProof/>
        </w:rPr>
        <w:tab/>
      </w:r>
      <w:r>
        <w:rPr>
          <w:noProof/>
        </w:rPr>
        <w:fldChar w:fldCharType="begin"/>
      </w:r>
      <w:r>
        <w:rPr>
          <w:noProof/>
        </w:rPr>
        <w:instrText xml:space="preserve"> PAGEREF _Toc45654184 \h </w:instrText>
      </w:r>
      <w:r>
        <w:rPr>
          <w:noProof/>
        </w:rPr>
      </w:r>
      <w:r>
        <w:rPr>
          <w:noProof/>
        </w:rPr>
        <w:fldChar w:fldCharType="separate"/>
      </w:r>
      <w:r>
        <w:rPr>
          <w:noProof/>
        </w:rPr>
        <w:t>108</w:t>
      </w:r>
      <w:r>
        <w:rPr>
          <w:noProof/>
        </w:rPr>
        <w:fldChar w:fldCharType="end"/>
      </w:r>
    </w:p>
    <w:p w:rsidR="009F1D80" w:rsidRDefault="009F1D80">
      <w:pPr>
        <w:pStyle w:val="TableofFigures"/>
        <w:rPr>
          <w:rFonts w:eastAsiaTheme="minorEastAsia" w:cstheme="minorBidi"/>
          <w:noProof/>
          <w:sz w:val="22"/>
          <w:szCs w:val="22"/>
          <w:lang w:eastAsia="zh-CN"/>
        </w:rPr>
      </w:pPr>
      <w:r>
        <w:rPr>
          <w:noProof/>
        </w:rPr>
        <w:t>7.1</w:t>
      </w:r>
      <w:r>
        <w:rPr>
          <w:rFonts w:eastAsiaTheme="minorEastAsia" w:cstheme="minorBidi"/>
          <w:noProof/>
          <w:sz w:val="22"/>
          <w:szCs w:val="22"/>
          <w:lang w:eastAsia="zh-CN"/>
        </w:rPr>
        <w:tab/>
      </w:r>
      <w:r>
        <w:rPr>
          <w:noProof/>
        </w:rPr>
        <w:t>Estimated net benefits/costs under various approaches to measuring the benefits</w:t>
      </w:r>
      <w:r>
        <w:rPr>
          <w:noProof/>
        </w:rPr>
        <w:tab/>
      </w:r>
      <w:r>
        <w:rPr>
          <w:noProof/>
        </w:rPr>
        <w:fldChar w:fldCharType="begin"/>
      </w:r>
      <w:r>
        <w:rPr>
          <w:noProof/>
        </w:rPr>
        <w:instrText xml:space="preserve"> PAGEREF _Toc45654185 \h </w:instrText>
      </w:r>
      <w:r>
        <w:rPr>
          <w:noProof/>
        </w:rPr>
      </w:r>
      <w:r>
        <w:rPr>
          <w:noProof/>
        </w:rPr>
        <w:fldChar w:fldCharType="separate"/>
      </w:r>
      <w:r>
        <w:rPr>
          <w:noProof/>
        </w:rPr>
        <w:t>109</w:t>
      </w:r>
      <w:r>
        <w:rPr>
          <w:noProof/>
        </w:rPr>
        <w:fldChar w:fldCharType="end"/>
      </w:r>
    </w:p>
    <w:p w:rsidR="009F1D80" w:rsidRDefault="009F1D80">
      <w:pPr>
        <w:pStyle w:val="TableofFigures"/>
        <w:rPr>
          <w:rFonts w:eastAsiaTheme="minorEastAsia" w:cstheme="minorBidi"/>
          <w:noProof/>
          <w:sz w:val="22"/>
          <w:szCs w:val="22"/>
          <w:lang w:eastAsia="zh-CN"/>
        </w:rPr>
      </w:pPr>
      <w:r>
        <w:rPr>
          <w:noProof/>
        </w:rPr>
        <w:t>7.2</w:t>
      </w:r>
      <w:r>
        <w:rPr>
          <w:rFonts w:eastAsiaTheme="minorEastAsia" w:cstheme="minorBidi"/>
          <w:noProof/>
          <w:sz w:val="22"/>
          <w:szCs w:val="22"/>
          <w:lang w:eastAsia="zh-CN"/>
        </w:rPr>
        <w:tab/>
      </w:r>
      <w:r>
        <w:rPr>
          <w:noProof/>
        </w:rPr>
        <w:t>Estimated net benefit/cost — problem reduction approach</w:t>
      </w:r>
      <w:r>
        <w:rPr>
          <w:noProof/>
        </w:rPr>
        <w:tab/>
      </w:r>
      <w:r>
        <w:rPr>
          <w:noProof/>
        </w:rPr>
        <w:fldChar w:fldCharType="begin"/>
      </w:r>
      <w:r>
        <w:rPr>
          <w:noProof/>
        </w:rPr>
        <w:instrText xml:space="preserve"> PAGEREF _Toc45654186 \h </w:instrText>
      </w:r>
      <w:r>
        <w:rPr>
          <w:noProof/>
        </w:rPr>
      </w:r>
      <w:r>
        <w:rPr>
          <w:noProof/>
        </w:rPr>
        <w:fldChar w:fldCharType="separate"/>
      </w:r>
      <w:r>
        <w:rPr>
          <w:noProof/>
        </w:rPr>
        <w:t>110</w:t>
      </w:r>
      <w:r>
        <w:rPr>
          <w:noProof/>
        </w:rPr>
        <w:fldChar w:fldCharType="end"/>
      </w:r>
    </w:p>
    <w:p w:rsidR="009F1D80" w:rsidRDefault="009F1D80">
      <w:pPr>
        <w:pStyle w:val="TableofFigures"/>
        <w:rPr>
          <w:rFonts w:eastAsiaTheme="minorEastAsia" w:cstheme="minorBidi"/>
          <w:noProof/>
          <w:sz w:val="22"/>
          <w:szCs w:val="22"/>
          <w:lang w:eastAsia="zh-CN"/>
        </w:rPr>
      </w:pPr>
      <w:r>
        <w:rPr>
          <w:noProof/>
        </w:rPr>
        <w:lastRenderedPageBreak/>
        <w:t>7.3</w:t>
      </w:r>
      <w:r>
        <w:rPr>
          <w:rFonts w:eastAsiaTheme="minorEastAsia" w:cstheme="minorBidi"/>
          <w:noProof/>
          <w:sz w:val="22"/>
          <w:szCs w:val="22"/>
          <w:lang w:eastAsia="zh-CN"/>
        </w:rPr>
        <w:tab/>
      </w:r>
      <w:r>
        <w:rPr>
          <w:noProof/>
        </w:rPr>
        <w:t>Estimated net benefits/costs – willingness to pay approach</w:t>
      </w:r>
      <w:r>
        <w:rPr>
          <w:noProof/>
        </w:rPr>
        <w:tab/>
      </w:r>
      <w:r>
        <w:rPr>
          <w:noProof/>
        </w:rPr>
        <w:fldChar w:fldCharType="begin"/>
      </w:r>
      <w:r>
        <w:rPr>
          <w:noProof/>
        </w:rPr>
        <w:instrText xml:space="preserve"> PAGEREF _Toc45654187 \h </w:instrText>
      </w:r>
      <w:r>
        <w:rPr>
          <w:noProof/>
        </w:rPr>
      </w:r>
      <w:r>
        <w:rPr>
          <w:noProof/>
        </w:rPr>
        <w:fldChar w:fldCharType="separate"/>
      </w:r>
      <w:r>
        <w:rPr>
          <w:noProof/>
        </w:rPr>
        <w:t>111</w:t>
      </w:r>
      <w:r>
        <w:rPr>
          <w:noProof/>
        </w:rPr>
        <w:fldChar w:fldCharType="end"/>
      </w:r>
    </w:p>
    <w:p w:rsidR="009F1D80" w:rsidRDefault="009F1D80">
      <w:pPr>
        <w:pStyle w:val="TableofFigures"/>
        <w:rPr>
          <w:rFonts w:eastAsiaTheme="minorEastAsia" w:cstheme="minorBidi"/>
          <w:noProof/>
          <w:sz w:val="22"/>
          <w:szCs w:val="22"/>
          <w:lang w:eastAsia="zh-CN"/>
        </w:rPr>
      </w:pPr>
      <w:r>
        <w:rPr>
          <w:noProof/>
        </w:rPr>
        <w:t>7.4</w:t>
      </w:r>
      <w:r>
        <w:rPr>
          <w:rFonts w:eastAsiaTheme="minorEastAsia" w:cstheme="minorBidi"/>
          <w:noProof/>
          <w:sz w:val="22"/>
          <w:szCs w:val="22"/>
          <w:lang w:eastAsia="zh-CN"/>
        </w:rPr>
        <w:tab/>
      </w:r>
      <w:r>
        <w:rPr>
          <w:noProof/>
        </w:rPr>
        <w:t>Estimated net benefits/costs – willingness to pay approach applied only to households containing someone with limited mobility</w:t>
      </w:r>
      <w:r>
        <w:rPr>
          <w:noProof/>
        </w:rPr>
        <w:tab/>
      </w:r>
      <w:r>
        <w:rPr>
          <w:noProof/>
        </w:rPr>
        <w:fldChar w:fldCharType="begin"/>
      </w:r>
      <w:r>
        <w:rPr>
          <w:noProof/>
        </w:rPr>
        <w:instrText xml:space="preserve"> PAGEREF _Toc45654188 \h </w:instrText>
      </w:r>
      <w:r>
        <w:rPr>
          <w:noProof/>
        </w:rPr>
      </w:r>
      <w:r>
        <w:rPr>
          <w:noProof/>
        </w:rPr>
        <w:fldChar w:fldCharType="separate"/>
      </w:r>
      <w:r>
        <w:rPr>
          <w:noProof/>
        </w:rPr>
        <w:t>112</w:t>
      </w:r>
      <w:r>
        <w:rPr>
          <w:noProof/>
        </w:rPr>
        <w:fldChar w:fldCharType="end"/>
      </w:r>
    </w:p>
    <w:p w:rsidR="009F1D80" w:rsidRDefault="009F1D80">
      <w:pPr>
        <w:pStyle w:val="TableofFigures"/>
        <w:rPr>
          <w:rFonts w:eastAsiaTheme="minorEastAsia" w:cstheme="minorBidi"/>
          <w:noProof/>
          <w:sz w:val="22"/>
          <w:szCs w:val="22"/>
          <w:lang w:eastAsia="zh-CN"/>
        </w:rPr>
      </w:pPr>
      <w:r>
        <w:rPr>
          <w:noProof/>
        </w:rPr>
        <w:t>7.5</w:t>
      </w:r>
      <w:r>
        <w:rPr>
          <w:rFonts w:eastAsiaTheme="minorEastAsia" w:cstheme="minorBidi"/>
          <w:noProof/>
          <w:sz w:val="22"/>
          <w:szCs w:val="22"/>
          <w:lang w:eastAsia="zh-CN"/>
        </w:rPr>
        <w:tab/>
      </w:r>
      <w:r>
        <w:rPr>
          <w:noProof/>
        </w:rPr>
        <w:t>Summary of benefit recipients by approach</w:t>
      </w:r>
      <w:r>
        <w:rPr>
          <w:noProof/>
        </w:rPr>
        <w:tab/>
      </w:r>
      <w:r>
        <w:rPr>
          <w:noProof/>
        </w:rPr>
        <w:fldChar w:fldCharType="begin"/>
      </w:r>
      <w:r>
        <w:rPr>
          <w:noProof/>
        </w:rPr>
        <w:instrText xml:space="preserve"> PAGEREF _Toc45654189 \h </w:instrText>
      </w:r>
      <w:r>
        <w:rPr>
          <w:noProof/>
        </w:rPr>
      </w:r>
      <w:r>
        <w:rPr>
          <w:noProof/>
        </w:rPr>
        <w:fldChar w:fldCharType="separate"/>
      </w:r>
      <w:r>
        <w:rPr>
          <w:noProof/>
        </w:rPr>
        <w:t>113</w:t>
      </w:r>
      <w:r>
        <w:rPr>
          <w:noProof/>
        </w:rPr>
        <w:fldChar w:fldCharType="end"/>
      </w:r>
    </w:p>
    <w:p w:rsidR="009F1D80" w:rsidRDefault="009F1D80">
      <w:pPr>
        <w:pStyle w:val="TableofFigures"/>
        <w:rPr>
          <w:rFonts w:eastAsiaTheme="minorEastAsia" w:cstheme="minorBidi"/>
          <w:noProof/>
          <w:sz w:val="22"/>
          <w:szCs w:val="22"/>
          <w:lang w:eastAsia="zh-CN"/>
        </w:rPr>
      </w:pPr>
      <w:r>
        <w:rPr>
          <w:noProof/>
        </w:rPr>
        <w:t>7.6</w:t>
      </w:r>
      <w:r>
        <w:rPr>
          <w:rFonts w:eastAsiaTheme="minorEastAsia" w:cstheme="minorBidi"/>
          <w:noProof/>
          <w:sz w:val="22"/>
          <w:szCs w:val="22"/>
          <w:lang w:eastAsia="zh-CN"/>
        </w:rPr>
        <w:tab/>
      </w:r>
      <w:r>
        <w:rPr>
          <w:noProof/>
        </w:rPr>
        <w:t>Questions for stakeholders</w:t>
      </w:r>
      <w:r>
        <w:rPr>
          <w:noProof/>
        </w:rPr>
        <w:tab/>
      </w:r>
      <w:r>
        <w:rPr>
          <w:noProof/>
        </w:rPr>
        <w:fldChar w:fldCharType="begin"/>
      </w:r>
      <w:r>
        <w:rPr>
          <w:noProof/>
        </w:rPr>
        <w:instrText xml:space="preserve"> PAGEREF _Toc45654190 \h </w:instrText>
      </w:r>
      <w:r>
        <w:rPr>
          <w:noProof/>
        </w:rPr>
      </w:r>
      <w:r>
        <w:rPr>
          <w:noProof/>
        </w:rPr>
        <w:fldChar w:fldCharType="separate"/>
      </w:r>
      <w:r>
        <w:rPr>
          <w:noProof/>
        </w:rPr>
        <w:t>114</w:t>
      </w:r>
      <w:r>
        <w:rPr>
          <w:noProof/>
        </w:rPr>
        <w:fldChar w:fldCharType="end"/>
      </w:r>
    </w:p>
    <w:p w:rsidR="009F1D80" w:rsidRDefault="009F1D80">
      <w:pPr>
        <w:pStyle w:val="TableofFigures"/>
        <w:rPr>
          <w:rFonts w:eastAsiaTheme="minorEastAsia" w:cstheme="minorBidi"/>
          <w:noProof/>
          <w:sz w:val="22"/>
          <w:szCs w:val="22"/>
          <w:lang w:eastAsia="zh-CN"/>
        </w:rPr>
      </w:pPr>
      <w:r>
        <w:rPr>
          <w:noProof/>
        </w:rPr>
        <w:t>7.7</w:t>
      </w:r>
      <w:r>
        <w:rPr>
          <w:rFonts w:eastAsiaTheme="minorEastAsia" w:cstheme="minorBidi"/>
          <w:noProof/>
          <w:sz w:val="22"/>
          <w:szCs w:val="22"/>
          <w:lang w:eastAsia="zh-CN"/>
        </w:rPr>
        <w:tab/>
      </w:r>
      <w:r>
        <w:rPr>
          <w:noProof/>
        </w:rPr>
        <w:t>Sensitivity analysis — benefit-cost ratio under alternative assumptions</w:t>
      </w:r>
      <w:r>
        <w:rPr>
          <w:noProof/>
        </w:rPr>
        <w:tab/>
      </w:r>
      <w:r>
        <w:rPr>
          <w:noProof/>
        </w:rPr>
        <w:fldChar w:fldCharType="begin"/>
      </w:r>
      <w:r>
        <w:rPr>
          <w:noProof/>
        </w:rPr>
        <w:instrText xml:space="preserve"> PAGEREF _Toc45654191 \h </w:instrText>
      </w:r>
      <w:r>
        <w:rPr>
          <w:noProof/>
        </w:rPr>
      </w:r>
      <w:r>
        <w:rPr>
          <w:noProof/>
        </w:rPr>
        <w:fldChar w:fldCharType="separate"/>
      </w:r>
      <w:r>
        <w:rPr>
          <w:noProof/>
        </w:rPr>
        <w:t>115</w:t>
      </w:r>
      <w:r>
        <w:rPr>
          <w:noProof/>
        </w:rPr>
        <w:fldChar w:fldCharType="end"/>
      </w:r>
    </w:p>
    <w:p w:rsidR="009F1D80" w:rsidRDefault="009F1D80">
      <w:pPr>
        <w:pStyle w:val="TableofFigures"/>
        <w:rPr>
          <w:rFonts w:eastAsiaTheme="minorEastAsia" w:cstheme="minorBidi"/>
          <w:noProof/>
          <w:sz w:val="22"/>
          <w:szCs w:val="22"/>
          <w:lang w:eastAsia="zh-CN"/>
        </w:rPr>
      </w:pPr>
      <w:r>
        <w:rPr>
          <w:noProof/>
        </w:rPr>
        <w:t>A.1</w:t>
      </w:r>
      <w:r>
        <w:rPr>
          <w:rFonts w:eastAsiaTheme="minorEastAsia" w:cstheme="minorBidi"/>
          <w:noProof/>
          <w:sz w:val="22"/>
          <w:szCs w:val="22"/>
          <w:lang w:eastAsia="zh-CN"/>
        </w:rPr>
        <w:tab/>
      </w:r>
      <w:r>
        <w:rPr>
          <w:noProof/>
        </w:rPr>
        <w:t>Assistance required moving around residence</w:t>
      </w:r>
      <w:r>
        <w:rPr>
          <w:noProof/>
        </w:rPr>
        <w:tab/>
      </w:r>
      <w:r>
        <w:rPr>
          <w:noProof/>
        </w:rPr>
        <w:fldChar w:fldCharType="begin"/>
      </w:r>
      <w:r>
        <w:rPr>
          <w:noProof/>
        </w:rPr>
        <w:instrText xml:space="preserve"> PAGEREF _Toc45654192 \h </w:instrText>
      </w:r>
      <w:r>
        <w:rPr>
          <w:noProof/>
        </w:rPr>
      </w:r>
      <w:r>
        <w:rPr>
          <w:noProof/>
        </w:rPr>
        <w:fldChar w:fldCharType="separate"/>
      </w:r>
      <w:r>
        <w:rPr>
          <w:noProof/>
        </w:rPr>
        <w:t>121</w:t>
      </w:r>
      <w:r>
        <w:rPr>
          <w:noProof/>
        </w:rPr>
        <w:fldChar w:fldCharType="end"/>
      </w:r>
    </w:p>
    <w:p w:rsidR="009F1D80" w:rsidRDefault="009F1D80">
      <w:pPr>
        <w:pStyle w:val="TableofFigures"/>
        <w:rPr>
          <w:rFonts w:eastAsiaTheme="minorEastAsia" w:cstheme="minorBidi"/>
          <w:noProof/>
          <w:sz w:val="22"/>
          <w:szCs w:val="22"/>
          <w:lang w:eastAsia="zh-CN"/>
        </w:rPr>
      </w:pPr>
      <w:r>
        <w:rPr>
          <w:noProof/>
        </w:rPr>
        <w:t>A.2</w:t>
      </w:r>
      <w:r>
        <w:rPr>
          <w:rFonts w:eastAsiaTheme="minorEastAsia" w:cstheme="minorBidi"/>
          <w:noProof/>
          <w:sz w:val="22"/>
          <w:szCs w:val="22"/>
          <w:lang w:eastAsia="zh-CN"/>
        </w:rPr>
        <w:tab/>
      </w:r>
      <w:r>
        <w:rPr>
          <w:noProof/>
        </w:rPr>
        <w:t>Key results of randomised controlled trials that establish that home modifications and other factors reduce falls</w:t>
      </w:r>
      <w:r>
        <w:rPr>
          <w:noProof/>
        </w:rPr>
        <w:tab/>
      </w:r>
      <w:r>
        <w:rPr>
          <w:noProof/>
        </w:rPr>
        <w:fldChar w:fldCharType="begin"/>
      </w:r>
      <w:r>
        <w:rPr>
          <w:noProof/>
        </w:rPr>
        <w:instrText xml:space="preserve"> PAGEREF _Toc45654193 \h </w:instrText>
      </w:r>
      <w:r>
        <w:rPr>
          <w:noProof/>
        </w:rPr>
      </w:r>
      <w:r>
        <w:rPr>
          <w:noProof/>
        </w:rPr>
        <w:fldChar w:fldCharType="separate"/>
      </w:r>
      <w:r>
        <w:rPr>
          <w:noProof/>
        </w:rPr>
        <w:t>122</w:t>
      </w:r>
      <w:r>
        <w:rPr>
          <w:noProof/>
        </w:rPr>
        <w:fldChar w:fldCharType="end"/>
      </w:r>
    </w:p>
    <w:p w:rsidR="009F1D80" w:rsidRDefault="009F1D80">
      <w:pPr>
        <w:pStyle w:val="TableofFigures"/>
        <w:rPr>
          <w:rFonts w:eastAsiaTheme="minorEastAsia" w:cstheme="minorBidi"/>
          <w:noProof/>
          <w:sz w:val="22"/>
          <w:szCs w:val="22"/>
          <w:lang w:eastAsia="zh-CN"/>
        </w:rPr>
      </w:pPr>
      <w:r>
        <w:rPr>
          <w:noProof/>
        </w:rPr>
        <w:t>A.3</w:t>
      </w:r>
      <w:r>
        <w:rPr>
          <w:rFonts w:eastAsiaTheme="minorEastAsia" w:cstheme="minorBidi"/>
          <w:noProof/>
          <w:sz w:val="22"/>
          <w:szCs w:val="22"/>
          <w:lang w:eastAsia="zh-CN"/>
        </w:rPr>
        <w:tab/>
      </w:r>
      <w:r>
        <w:rPr>
          <w:noProof/>
        </w:rPr>
        <w:t>Hospitalisation rates from falls for older Australians</w:t>
      </w:r>
      <w:r>
        <w:rPr>
          <w:noProof/>
        </w:rPr>
        <w:tab/>
      </w:r>
      <w:r>
        <w:rPr>
          <w:noProof/>
        </w:rPr>
        <w:fldChar w:fldCharType="begin"/>
      </w:r>
      <w:r>
        <w:rPr>
          <w:noProof/>
        </w:rPr>
        <w:instrText xml:space="preserve"> PAGEREF _Toc45654194 \h </w:instrText>
      </w:r>
      <w:r>
        <w:rPr>
          <w:noProof/>
        </w:rPr>
      </w:r>
      <w:r>
        <w:rPr>
          <w:noProof/>
        </w:rPr>
        <w:fldChar w:fldCharType="separate"/>
      </w:r>
      <w:r>
        <w:rPr>
          <w:noProof/>
        </w:rPr>
        <w:t>124</w:t>
      </w:r>
      <w:r>
        <w:rPr>
          <w:noProof/>
        </w:rPr>
        <w:fldChar w:fldCharType="end"/>
      </w:r>
    </w:p>
    <w:p w:rsidR="009F1D80" w:rsidRDefault="009F1D80">
      <w:pPr>
        <w:pStyle w:val="TableofFigures"/>
        <w:rPr>
          <w:rFonts w:eastAsiaTheme="minorEastAsia" w:cstheme="minorBidi"/>
          <w:noProof/>
          <w:sz w:val="22"/>
          <w:szCs w:val="22"/>
          <w:lang w:eastAsia="zh-CN"/>
        </w:rPr>
      </w:pPr>
      <w:r>
        <w:rPr>
          <w:noProof/>
        </w:rPr>
        <w:t>A.4</w:t>
      </w:r>
      <w:r>
        <w:rPr>
          <w:rFonts w:eastAsiaTheme="minorEastAsia" w:cstheme="minorBidi"/>
          <w:noProof/>
          <w:sz w:val="22"/>
          <w:szCs w:val="22"/>
          <w:lang w:eastAsia="zh-CN"/>
        </w:rPr>
        <w:tab/>
      </w:r>
      <w:r>
        <w:rPr>
          <w:noProof/>
        </w:rPr>
        <w:t>Additional deaths from falls due to inaccessible housing</w:t>
      </w:r>
      <w:r>
        <w:rPr>
          <w:noProof/>
        </w:rPr>
        <w:tab/>
      </w:r>
      <w:r>
        <w:rPr>
          <w:noProof/>
        </w:rPr>
        <w:fldChar w:fldCharType="begin"/>
      </w:r>
      <w:r>
        <w:rPr>
          <w:noProof/>
        </w:rPr>
        <w:instrText xml:space="preserve"> PAGEREF _Toc45654195 \h </w:instrText>
      </w:r>
      <w:r>
        <w:rPr>
          <w:noProof/>
        </w:rPr>
      </w:r>
      <w:r>
        <w:rPr>
          <w:noProof/>
        </w:rPr>
        <w:fldChar w:fldCharType="separate"/>
      </w:r>
      <w:r>
        <w:rPr>
          <w:noProof/>
        </w:rPr>
        <w:t>125</w:t>
      </w:r>
      <w:r>
        <w:rPr>
          <w:noProof/>
        </w:rPr>
        <w:fldChar w:fldCharType="end"/>
      </w:r>
    </w:p>
    <w:p w:rsidR="009F1D80" w:rsidRDefault="009F1D80">
      <w:pPr>
        <w:pStyle w:val="TableofFigures"/>
        <w:rPr>
          <w:rFonts w:eastAsiaTheme="minorEastAsia" w:cstheme="minorBidi"/>
          <w:noProof/>
          <w:sz w:val="22"/>
          <w:szCs w:val="22"/>
          <w:lang w:eastAsia="zh-CN"/>
        </w:rPr>
      </w:pPr>
      <w:r>
        <w:rPr>
          <w:noProof/>
        </w:rPr>
        <w:t>A.5</w:t>
      </w:r>
      <w:r>
        <w:rPr>
          <w:rFonts w:eastAsiaTheme="minorEastAsia" w:cstheme="minorBidi"/>
          <w:noProof/>
          <w:sz w:val="22"/>
          <w:szCs w:val="22"/>
          <w:lang w:eastAsia="zh-CN"/>
        </w:rPr>
        <w:tab/>
      </w:r>
      <w:r>
        <w:rPr>
          <w:noProof/>
        </w:rPr>
        <w:t>Valuing human health outcomes</w:t>
      </w:r>
      <w:r>
        <w:rPr>
          <w:noProof/>
        </w:rPr>
        <w:tab/>
      </w:r>
      <w:r>
        <w:rPr>
          <w:noProof/>
        </w:rPr>
        <w:fldChar w:fldCharType="begin"/>
      </w:r>
      <w:r>
        <w:rPr>
          <w:noProof/>
        </w:rPr>
        <w:instrText xml:space="preserve"> PAGEREF _Toc45654196 \h </w:instrText>
      </w:r>
      <w:r>
        <w:rPr>
          <w:noProof/>
        </w:rPr>
      </w:r>
      <w:r>
        <w:rPr>
          <w:noProof/>
        </w:rPr>
        <w:fldChar w:fldCharType="separate"/>
      </w:r>
      <w:r>
        <w:rPr>
          <w:noProof/>
        </w:rPr>
        <w:t>126</w:t>
      </w:r>
      <w:r>
        <w:rPr>
          <w:noProof/>
        </w:rPr>
        <w:fldChar w:fldCharType="end"/>
      </w:r>
    </w:p>
    <w:p w:rsidR="009F1D80" w:rsidRDefault="009F1D80">
      <w:pPr>
        <w:pStyle w:val="TableofFigures"/>
        <w:rPr>
          <w:rFonts w:eastAsiaTheme="minorEastAsia" w:cstheme="minorBidi"/>
          <w:noProof/>
          <w:sz w:val="22"/>
          <w:szCs w:val="22"/>
          <w:lang w:eastAsia="zh-CN"/>
        </w:rPr>
      </w:pPr>
      <w:r>
        <w:rPr>
          <w:noProof/>
        </w:rPr>
        <w:t>A.6</w:t>
      </w:r>
      <w:r>
        <w:rPr>
          <w:rFonts w:eastAsiaTheme="minorEastAsia" w:cstheme="minorBidi"/>
          <w:noProof/>
          <w:sz w:val="22"/>
          <w:szCs w:val="22"/>
          <w:lang w:eastAsia="zh-CN"/>
        </w:rPr>
        <w:tab/>
      </w:r>
      <w:r>
        <w:rPr>
          <w:noProof/>
        </w:rPr>
        <w:t>Estimated value of a statistical life for Australians by age group</w:t>
      </w:r>
      <w:r>
        <w:rPr>
          <w:noProof/>
        </w:rPr>
        <w:tab/>
      </w:r>
      <w:r>
        <w:rPr>
          <w:noProof/>
        </w:rPr>
        <w:fldChar w:fldCharType="begin"/>
      </w:r>
      <w:r>
        <w:rPr>
          <w:noProof/>
        </w:rPr>
        <w:instrText xml:space="preserve"> PAGEREF _Toc45654197 \h </w:instrText>
      </w:r>
      <w:r>
        <w:rPr>
          <w:noProof/>
        </w:rPr>
      </w:r>
      <w:r>
        <w:rPr>
          <w:noProof/>
        </w:rPr>
        <w:fldChar w:fldCharType="separate"/>
      </w:r>
      <w:r>
        <w:rPr>
          <w:noProof/>
        </w:rPr>
        <w:t>127</w:t>
      </w:r>
      <w:r>
        <w:rPr>
          <w:noProof/>
        </w:rPr>
        <w:fldChar w:fldCharType="end"/>
      </w:r>
    </w:p>
    <w:p w:rsidR="009F1D80" w:rsidRDefault="009F1D80">
      <w:pPr>
        <w:pStyle w:val="TableofFigures"/>
        <w:rPr>
          <w:rFonts w:eastAsiaTheme="minorEastAsia" w:cstheme="minorBidi"/>
          <w:noProof/>
          <w:sz w:val="22"/>
          <w:szCs w:val="22"/>
          <w:lang w:eastAsia="zh-CN"/>
        </w:rPr>
      </w:pPr>
      <w:r>
        <w:rPr>
          <w:noProof/>
        </w:rPr>
        <w:t>A.7</w:t>
      </w:r>
      <w:r>
        <w:rPr>
          <w:rFonts w:eastAsiaTheme="minorEastAsia" w:cstheme="minorBidi"/>
          <w:noProof/>
          <w:sz w:val="22"/>
          <w:szCs w:val="22"/>
          <w:lang w:eastAsia="zh-CN"/>
        </w:rPr>
        <w:tab/>
      </w:r>
      <w:r>
        <w:rPr>
          <w:noProof/>
        </w:rPr>
        <w:t>Estimate cost to the community from additional fall</w:t>
      </w:r>
      <w:r>
        <w:rPr>
          <w:noProof/>
        </w:rPr>
        <w:noBreakHyphen/>
        <w:t>related deaths</w:t>
      </w:r>
      <w:r>
        <w:rPr>
          <w:noProof/>
        </w:rPr>
        <w:tab/>
      </w:r>
      <w:r>
        <w:rPr>
          <w:noProof/>
        </w:rPr>
        <w:fldChar w:fldCharType="begin"/>
      </w:r>
      <w:r>
        <w:rPr>
          <w:noProof/>
        </w:rPr>
        <w:instrText xml:space="preserve"> PAGEREF _Toc45654198 \h </w:instrText>
      </w:r>
      <w:r>
        <w:rPr>
          <w:noProof/>
        </w:rPr>
      </w:r>
      <w:r>
        <w:rPr>
          <w:noProof/>
        </w:rPr>
        <w:fldChar w:fldCharType="separate"/>
      </w:r>
      <w:r>
        <w:rPr>
          <w:noProof/>
        </w:rPr>
        <w:t>127</w:t>
      </w:r>
      <w:r>
        <w:rPr>
          <w:noProof/>
        </w:rPr>
        <w:fldChar w:fldCharType="end"/>
      </w:r>
    </w:p>
    <w:p w:rsidR="009F1D80" w:rsidRDefault="009F1D80">
      <w:pPr>
        <w:pStyle w:val="TableofFigures"/>
        <w:rPr>
          <w:rFonts w:eastAsiaTheme="minorEastAsia" w:cstheme="minorBidi"/>
          <w:noProof/>
          <w:sz w:val="22"/>
          <w:szCs w:val="22"/>
          <w:lang w:eastAsia="zh-CN"/>
        </w:rPr>
      </w:pPr>
      <w:r>
        <w:rPr>
          <w:noProof/>
        </w:rPr>
        <w:t>A.8</w:t>
      </w:r>
      <w:r>
        <w:rPr>
          <w:rFonts w:eastAsiaTheme="minorEastAsia" w:cstheme="minorBidi"/>
          <w:noProof/>
          <w:sz w:val="22"/>
          <w:szCs w:val="22"/>
          <w:lang w:eastAsia="zh-CN"/>
        </w:rPr>
        <w:tab/>
      </w:r>
      <w:r>
        <w:rPr>
          <w:noProof/>
        </w:rPr>
        <w:t>Estimated number of additional hospital admissions due to inaccessible housing</w:t>
      </w:r>
      <w:r>
        <w:rPr>
          <w:noProof/>
        </w:rPr>
        <w:tab/>
      </w:r>
      <w:r>
        <w:rPr>
          <w:noProof/>
        </w:rPr>
        <w:fldChar w:fldCharType="begin"/>
      </w:r>
      <w:r>
        <w:rPr>
          <w:noProof/>
        </w:rPr>
        <w:instrText xml:space="preserve"> PAGEREF _Toc45654199 \h </w:instrText>
      </w:r>
      <w:r>
        <w:rPr>
          <w:noProof/>
        </w:rPr>
      </w:r>
      <w:r>
        <w:rPr>
          <w:noProof/>
        </w:rPr>
        <w:fldChar w:fldCharType="separate"/>
      </w:r>
      <w:r>
        <w:rPr>
          <w:noProof/>
        </w:rPr>
        <w:t>128</w:t>
      </w:r>
      <w:r>
        <w:rPr>
          <w:noProof/>
        </w:rPr>
        <w:fldChar w:fldCharType="end"/>
      </w:r>
    </w:p>
    <w:p w:rsidR="009F1D80" w:rsidRDefault="009F1D80">
      <w:pPr>
        <w:pStyle w:val="TableofFigures"/>
        <w:rPr>
          <w:rFonts w:eastAsiaTheme="minorEastAsia" w:cstheme="minorBidi"/>
          <w:noProof/>
          <w:sz w:val="22"/>
          <w:szCs w:val="22"/>
          <w:lang w:eastAsia="zh-CN"/>
        </w:rPr>
      </w:pPr>
      <w:r>
        <w:rPr>
          <w:noProof/>
        </w:rPr>
        <w:t>A.9</w:t>
      </w:r>
      <w:r>
        <w:rPr>
          <w:rFonts w:eastAsiaTheme="minorEastAsia" w:cstheme="minorBidi"/>
          <w:noProof/>
          <w:sz w:val="22"/>
          <w:szCs w:val="22"/>
          <w:lang w:eastAsia="zh-CN"/>
        </w:rPr>
        <w:tab/>
      </w:r>
      <w:r>
        <w:rPr>
          <w:noProof/>
        </w:rPr>
        <w:t>Estimated cost of additional hospital admissions due to inaccessible housing</w:t>
      </w:r>
      <w:r>
        <w:rPr>
          <w:noProof/>
        </w:rPr>
        <w:tab/>
      </w:r>
      <w:r>
        <w:rPr>
          <w:noProof/>
        </w:rPr>
        <w:fldChar w:fldCharType="begin"/>
      </w:r>
      <w:r>
        <w:rPr>
          <w:noProof/>
        </w:rPr>
        <w:instrText xml:space="preserve"> PAGEREF _Toc45654200 \h </w:instrText>
      </w:r>
      <w:r>
        <w:rPr>
          <w:noProof/>
        </w:rPr>
      </w:r>
      <w:r>
        <w:rPr>
          <w:noProof/>
        </w:rPr>
        <w:fldChar w:fldCharType="separate"/>
      </w:r>
      <w:r>
        <w:rPr>
          <w:noProof/>
        </w:rPr>
        <w:t>130</w:t>
      </w:r>
      <w:r>
        <w:rPr>
          <w:noProof/>
        </w:rPr>
        <w:fldChar w:fldCharType="end"/>
      </w:r>
    </w:p>
    <w:p w:rsidR="009F1D80" w:rsidRDefault="009F1D80">
      <w:pPr>
        <w:pStyle w:val="TableofFigures"/>
        <w:rPr>
          <w:rFonts w:eastAsiaTheme="minorEastAsia" w:cstheme="minorBidi"/>
          <w:noProof/>
          <w:sz w:val="22"/>
          <w:szCs w:val="22"/>
          <w:lang w:eastAsia="zh-CN"/>
        </w:rPr>
      </w:pPr>
      <w:r>
        <w:rPr>
          <w:noProof/>
        </w:rPr>
        <w:t>A.10</w:t>
      </w:r>
      <w:r>
        <w:rPr>
          <w:rFonts w:eastAsiaTheme="minorEastAsia" w:cstheme="minorBidi"/>
          <w:noProof/>
          <w:sz w:val="22"/>
          <w:szCs w:val="22"/>
          <w:lang w:eastAsia="zh-CN"/>
        </w:rPr>
        <w:tab/>
      </w:r>
      <w:r>
        <w:rPr>
          <w:noProof/>
        </w:rPr>
        <w:t>Estimated number of additional emergency department attendances due to inaccessible housing</w:t>
      </w:r>
      <w:r>
        <w:rPr>
          <w:noProof/>
        </w:rPr>
        <w:tab/>
      </w:r>
      <w:r>
        <w:rPr>
          <w:noProof/>
        </w:rPr>
        <w:fldChar w:fldCharType="begin"/>
      </w:r>
      <w:r>
        <w:rPr>
          <w:noProof/>
        </w:rPr>
        <w:instrText xml:space="preserve"> PAGEREF _Toc45654201 \h </w:instrText>
      </w:r>
      <w:r>
        <w:rPr>
          <w:noProof/>
        </w:rPr>
      </w:r>
      <w:r>
        <w:rPr>
          <w:noProof/>
        </w:rPr>
        <w:fldChar w:fldCharType="separate"/>
      </w:r>
      <w:r>
        <w:rPr>
          <w:noProof/>
        </w:rPr>
        <w:t>131</w:t>
      </w:r>
      <w:r>
        <w:rPr>
          <w:noProof/>
        </w:rPr>
        <w:fldChar w:fldCharType="end"/>
      </w:r>
    </w:p>
    <w:p w:rsidR="009F1D80" w:rsidRDefault="009F1D80">
      <w:pPr>
        <w:pStyle w:val="TableofFigures"/>
        <w:rPr>
          <w:rFonts w:eastAsiaTheme="minorEastAsia" w:cstheme="minorBidi"/>
          <w:noProof/>
          <w:sz w:val="22"/>
          <w:szCs w:val="22"/>
          <w:lang w:eastAsia="zh-CN"/>
        </w:rPr>
      </w:pPr>
      <w:r>
        <w:rPr>
          <w:noProof/>
        </w:rPr>
        <w:t>A.11</w:t>
      </w:r>
      <w:r>
        <w:rPr>
          <w:rFonts w:eastAsiaTheme="minorEastAsia" w:cstheme="minorBidi"/>
          <w:noProof/>
          <w:sz w:val="22"/>
          <w:szCs w:val="22"/>
          <w:lang w:eastAsia="zh-CN"/>
        </w:rPr>
        <w:tab/>
      </w:r>
      <w:r>
        <w:rPr>
          <w:noProof/>
        </w:rPr>
        <w:t>Estimated cost of additional emergency department attendances due to inaccessible housing</w:t>
      </w:r>
      <w:r>
        <w:rPr>
          <w:noProof/>
        </w:rPr>
        <w:tab/>
      </w:r>
      <w:r>
        <w:rPr>
          <w:noProof/>
        </w:rPr>
        <w:fldChar w:fldCharType="begin"/>
      </w:r>
      <w:r>
        <w:rPr>
          <w:noProof/>
        </w:rPr>
        <w:instrText xml:space="preserve"> PAGEREF _Toc45654202 \h </w:instrText>
      </w:r>
      <w:r>
        <w:rPr>
          <w:noProof/>
        </w:rPr>
      </w:r>
      <w:r>
        <w:rPr>
          <w:noProof/>
        </w:rPr>
        <w:fldChar w:fldCharType="separate"/>
      </w:r>
      <w:r>
        <w:rPr>
          <w:noProof/>
        </w:rPr>
        <w:t>132</w:t>
      </w:r>
      <w:r>
        <w:rPr>
          <w:noProof/>
        </w:rPr>
        <w:fldChar w:fldCharType="end"/>
      </w:r>
    </w:p>
    <w:p w:rsidR="009F1D80" w:rsidRDefault="009F1D80">
      <w:pPr>
        <w:pStyle w:val="TableofFigures"/>
        <w:rPr>
          <w:rFonts w:eastAsiaTheme="minorEastAsia" w:cstheme="minorBidi"/>
          <w:noProof/>
          <w:sz w:val="22"/>
          <w:szCs w:val="22"/>
          <w:lang w:eastAsia="zh-CN"/>
        </w:rPr>
      </w:pPr>
      <w:r>
        <w:rPr>
          <w:noProof/>
        </w:rPr>
        <w:t>A.12</w:t>
      </w:r>
      <w:r>
        <w:rPr>
          <w:rFonts w:eastAsiaTheme="minorEastAsia" w:cstheme="minorBidi"/>
          <w:noProof/>
          <w:sz w:val="22"/>
          <w:szCs w:val="22"/>
          <w:lang w:eastAsia="zh-CN"/>
        </w:rPr>
        <w:tab/>
      </w:r>
      <w:r>
        <w:rPr>
          <w:noProof/>
        </w:rPr>
        <w:t>Estimated number of additional non-hospital treatments due to inaccessible housing</w:t>
      </w:r>
      <w:r>
        <w:rPr>
          <w:noProof/>
        </w:rPr>
        <w:tab/>
      </w:r>
      <w:r>
        <w:rPr>
          <w:noProof/>
        </w:rPr>
        <w:fldChar w:fldCharType="begin"/>
      </w:r>
      <w:r>
        <w:rPr>
          <w:noProof/>
        </w:rPr>
        <w:instrText xml:space="preserve"> PAGEREF _Toc45654203 \h </w:instrText>
      </w:r>
      <w:r>
        <w:rPr>
          <w:noProof/>
        </w:rPr>
      </w:r>
      <w:r>
        <w:rPr>
          <w:noProof/>
        </w:rPr>
        <w:fldChar w:fldCharType="separate"/>
      </w:r>
      <w:r>
        <w:rPr>
          <w:noProof/>
        </w:rPr>
        <w:t>134</w:t>
      </w:r>
      <w:r>
        <w:rPr>
          <w:noProof/>
        </w:rPr>
        <w:fldChar w:fldCharType="end"/>
      </w:r>
    </w:p>
    <w:p w:rsidR="009F1D80" w:rsidRDefault="009F1D80">
      <w:pPr>
        <w:pStyle w:val="TableofFigures"/>
        <w:rPr>
          <w:rFonts w:eastAsiaTheme="minorEastAsia" w:cstheme="minorBidi"/>
          <w:noProof/>
          <w:sz w:val="22"/>
          <w:szCs w:val="22"/>
          <w:lang w:eastAsia="zh-CN"/>
        </w:rPr>
      </w:pPr>
      <w:r>
        <w:rPr>
          <w:noProof/>
        </w:rPr>
        <w:t>A.13</w:t>
      </w:r>
      <w:r>
        <w:rPr>
          <w:rFonts w:eastAsiaTheme="minorEastAsia" w:cstheme="minorBidi"/>
          <w:noProof/>
          <w:sz w:val="22"/>
          <w:szCs w:val="22"/>
          <w:lang w:eastAsia="zh-CN"/>
        </w:rPr>
        <w:tab/>
      </w:r>
      <w:r>
        <w:rPr>
          <w:noProof/>
        </w:rPr>
        <w:t>Estimated cost of additional non</w:t>
      </w:r>
      <w:r>
        <w:rPr>
          <w:noProof/>
        </w:rPr>
        <w:noBreakHyphen/>
        <w:t>hospital treatments due to inaccessible housing</w:t>
      </w:r>
      <w:r>
        <w:rPr>
          <w:noProof/>
        </w:rPr>
        <w:tab/>
      </w:r>
      <w:r>
        <w:rPr>
          <w:noProof/>
        </w:rPr>
        <w:fldChar w:fldCharType="begin"/>
      </w:r>
      <w:r>
        <w:rPr>
          <w:noProof/>
        </w:rPr>
        <w:instrText xml:space="preserve"> PAGEREF _Toc45654204 \h </w:instrText>
      </w:r>
      <w:r>
        <w:rPr>
          <w:noProof/>
        </w:rPr>
      </w:r>
      <w:r>
        <w:rPr>
          <w:noProof/>
        </w:rPr>
        <w:fldChar w:fldCharType="separate"/>
      </w:r>
      <w:r>
        <w:rPr>
          <w:noProof/>
        </w:rPr>
        <w:t>135</w:t>
      </w:r>
      <w:r>
        <w:rPr>
          <w:noProof/>
        </w:rPr>
        <w:fldChar w:fldCharType="end"/>
      </w:r>
    </w:p>
    <w:p w:rsidR="009F1D80" w:rsidRDefault="009F1D80">
      <w:pPr>
        <w:pStyle w:val="TableofFigures"/>
        <w:rPr>
          <w:rFonts w:eastAsiaTheme="minorEastAsia" w:cstheme="minorBidi"/>
          <w:noProof/>
          <w:sz w:val="22"/>
          <w:szCs w:val="22"/>
          <w:lang w:eastAsia="zh-CN"/>
        </w:rPr>
      </w:pPr>
      <w:r>
        <w:rPr>
          <w:noProof/>
        </w:rPr>
        <w:t>B.1</w:t>
      </w:r>
      <w:r>
        <w:rPr>
          <w:rFonts w:eastAsiaTheme="minorEastAsia" w:cstheme="minorBidi"/>
          <w:noProof/>
          <w:sz w:val="22"/>
          <w:szCs w:val="22"/>
          <w:lang w:eastAsia="zh-CN"/>
        </w:rPr>
        <w:tab/>
      </w:r>
      <w:r>
        <w:rPr>
          <w:noProof/>
        </w:rPr>
        <w:t>Type of modifications</w:t>
      </w:r>
      <w:r>
        <w:rPr>
          <w:noProof/>
        </w:rPr>
        <w:tab/>
      </w:r>
      <w:r>
        <w:rPr>
          <w:noProof/>
        </w:rPr>
        <w:fldChar w:fldCharType="begin"/>
      </w:r>
      <w:r>
        <w:rPr>
          <w:noProof/>
        </w:rPr>
        <w:instrText xml:space="preserve"> PAGEREF _Toc45654205 \h </w:instrText>
      </w:r>
      <w:r>
        <w:rPr>
          <w:noProof/>
        </w:rPr>
      </w:r>
      <w:r>
        <w:rPr>
          <w:noProof/>
        </w:rPr>
        <w:fldChar w:fldCharType="separate"/>
      </w:r>
      <w:r>
        <w:rPr>
          <w:noProof/>
        </w:rPr>
        <w:t>137</w:t>
      </w:r>
      <w:r>
        <w:rPr>
          <w:noProof/>
        </w:rPr>
        <w:fldChar w:fldCharType="end"/>
      </w:r>
    </w:p>
    <w:p w:rsidR="009F1D80" w:rsidRDefault="009F1D80">
      <w:pPr>
        <w:pStyle w:val="TableofFigures"/>
        <w:rPr>
          <w:rFonts w:eastAsiaTheme="minorEastAsia" w:cstheme="minorBidi"/>
          <w:noProof/>
          <w:sz w:val="22"/>
          <w:szCs w:val="22"/>
          <w:lang w:eastAsia="zh-CN"/>
        </w:rPr>
      </w:pPr>
      <w:r>
        <w:rPr>
          <w:noProof/>
        </w:rPr>
        <w:t>B.2</w:t>
      </w:r>
      <w:r>
        <w:rPr>
          <w:rFonts w:eastAsiaTheme="minorEastAsia" w:cstheme="minorBidi"/>
          <w:noProof/>
          <w:sz w:val="22"/>
          <w:szCs w:val="22"/>
          <w:lang w:eastAsia="zh-CN"/>
        </w:rPr>
        <w:tab/>
      </w:r>
      <w:r>
        <w:rPr>
          <w:noProof/>
        </w:rPr>
        <w:t>Average reduction in hours of care received following home modifications</w:t>
      </w:r>
      <w:r>
        <w:rPr>
          <w:noProof/>
        </w:rPr>
        <w:tab/>
      </w:r>
      <w:r>
        <w:rPr>
          <w:noProof/>
        </w:rPr>
        <w:fldChar w:fldCharType="begin"/>
      </w:r>
      <w:r>
        <w:rPr>
          <w:noProof/>
        </w:rPr>
        <w:instrText xml:space="preserve"> PAGEREF _Toc45654206 \h </w:instrText>
      </w:r>
      <w:r>
        <w:rPr>
          <w:noProof/>
        </w:rPr>
      </w:r>
      <w:r>
        <w:rPr>
          <w:noProof/>
        </w:rPr>
        <w:fldChar w:fldCharType="separate"/>
      </w:r>
      <w:r>
        <w:rPr>
          <w:noProof/>
        </w:rPr>
        <w:t>138</w:t>
      </w:r>
      <w:r>
        <w:rPr>
          <w:noProof/>
        </w:rPr>
        <w:fldChar w:fldCharType="end"/>
      </w:r>
    </w:p>
    <w:p w:rsidR="009F1D80" w:rsidRDefault="009F1D80">
      <w:pPr>
        <w:pStyle w:val="TableofFigures"/>
        <w:rPr>
          <w:rFonts w:eastAsiaTheme="minorEastAsia" w:cstheme="minorBidi"/>
          <w:noProof/>
          <w:sz w:val="22"/>
          <w:szCs w:val="22"/>
          <w:lang w:eastAsia="zh-CN"/>
        </w:rPr>
      </w:pPr>
      <w:r>
        <w:rPr>
          <w:noProof/>
        </w:rPr>
        <w:t>B.3</w:t>
      </w:r>
      <w:r>
        <w:rPr>
          <w:rFonts w:eastAsiaTheme="minorEastAsia" w:cstheme="minorBidi"/>
          <w:noProof/>
          <w:sz w:val="22"/>
          <w:szCs w:val="22"/>
          <w:lang w:eastAsia="zh-CN"/>
        </w:rPr>
        <w:tab/>
      </w:r>
      <w:r>
        <w:rPr>
          <w:noProof/>
        </w:rPr>
        <w:t>Annual cost of additional care</w:t>
      </w:r>
      <w:r>
        <w:rPr>
          <w:noProof/>
        </w:rPr>
        <w:tab/>
      </w:r>
      <w:r>
        <w:rPr>
          <w:noProof/>
        </w:rPr>
        <w:fldChar w:fldCharType="begin"/>
      </w:r>
      <w:r>
        <w:rPr>
          <w:noProof/>
        </w:rPr>
        <w:instrText xml:space="preserve"> PAGEREF _Toc45654207 \h </w:instrText>
      </w:r>
      <w:r>
        <w:rPr>
          <w:noProof/>
        </w:rPr>
      </w:r>
      <w:r>
        <w:rPr>
          <w:noProof/>
        </w:rPr>
        <w:fldChar w:fldCharType="separate"/>
      </w:r>
      <w:r>
        <w:rPr>
          <w:noProof/>
        </w:rPr>
        <w:t>139</w:t>
      </w:r>
      <w:r>
        <w:rPr>
          <w:noProof/>
        </w:rPr>
        <w:fldChar w:fldCharType="end"/>
      </w:r>
    </w:p>
    <w:p w:rsidR="009F1D80" w:rsidRDefault="009F1D80">
      <w:pPr>
        <w:pStyle w:val="TableofFigures"/>
        <w:rPr>
          <w:rFonts w:eastAsiaTheme="minorEastAsia" w:cstheme="minorBidi"/>
          <w:noProof/>
          <w:sz w:val="22"/>
          <w:szCs w:val="22"/>
          <w:lang w:eastAsia="zh-CN"/>
        </w:rPr>
      </w:pPr>
      <w:r>
        <w:rPr>
          <w:noProof/>
        </w:rPr>
        <w:t>B.4</w:t>
      </w:r>
      <w:r>
        <w:rPr>
          <w:rFonts w:eastAsiaTheme="minorEastAsia" w:cstheme="minorBidi"/>
          <w:noProof/>
          <w:sz w:val="22"/>
          <w:szCs w:val="22"/>
          <w:lang w:eastAsia="zh-CN"/>
        </w:rPr>
        <w:tab/>
      </w:r>
      <w:r>
        <w:rPr>
          <w:noProof/>
        </w:rPr>
        <w:t>Number of people receiving additional informal care due to inaccessible housing</w:t>
      </w:r>
      <w:r>
        <w:rPr>
          <w:noProof/>
        </w:rPr>
        <w:tab/>
      </w:r>
      <w:r>
        <w:rPr>
          <w:noProof/>
        </w:rPr>
        <w:fldChar w:fldCharType="begin"/>
      </w:r>
      <w:r>
        <w:rPr>
          <w:noProof/>
        </w:rPr>
        <w:instrText xml:space="preserve"> PAGEREF _Toc45654208 \h </w:instrText>
      </w:r>
      <w:r>
        <w:rPr>
          <w:noProof/>
        </w:rPr>
      </w:r>
      <w:r>
        <w:rPr>
          <w:noProof/>
        </w:rPr>
        <w:fldChar w:fldCharType="separate"/>
      </w:r>
      <w:r>
        <w:rPr>
          <w:noProof/>
        </w:rPr>
        <w:t>140</w:t>
      </w:r>
      <w:r>
        <w:rPr>
          <w:noProof/>
        </w:rPr>
        <w:fldChar w:fldCharType="end"/>
      </w:r>
    </w:p>
    <w:p w:rsidR="009F1D80" w:rsidRDefault="009F1D80">
      <w:pPr>
        <w:pStyle w:val="TableofFigures"/>
        <w:rPr>
          <w:rFonts w:eastAsiaTheme="minorEastAsia" w:cstheme="minorBidi"/>
          <w:noProof/>
          <w:sz w:val="22"/>
          <w:szCs w:val="22"/>
          <w:lang w:eastAsia="zh-CN"/>
        </w:rPr>
      </w:pPr>
      <w:r>
        <w:rPr>
          <w:noProof/>
        </w:rPr>
        <w:t>B.5</w:t>
      </w:r>
      <w:r>
        <w:rPr>
          <w:rFonts w:eastAsiaTheme="minorEastAsia" w:cstheme="minorBidi"/>
          <w:noProof/>
          <w:sz w:val="22"/>
          <w:szCs w:val="22"/>
          <w:lang w:eastAsia="zh-CN"/>
        </w:rPr>
        <w:tab/>
      </w:r>
      <w:r>
        <w:rPr>
          <w:noProof/>
        </w:rPr>
        <w:t>Number of people receiving additional formal care due to inaccessible housing</w:t>
      </w:r>
      <w:r>
        <w:rPr>
          <w:noProof/>
        </w:rPr>
        <w:tab/>
      </w:r>
      <w:r>
        <w:rPr>
          <w:noProof/>
        </w:rPr>
        <w:fldChar w:fldCharType="begin"/>
      </w:r>
      <w:r>
        <w:rPr>
          <w:noProof/>
        </w:rPr>
        <w:instrText xml:space="preserve"> PAGEREF _Toc45654209 \h </w:instrText>
      </w:r>
      <w:r>
        <w:rPr>
          <w:noProof/>
        </w:rPr>
      </w:r>
      <w:r>
        <w:rPr>
          <w:noProof/>
        </w:rPr>
        <w:fldChar w:fldCharType="separate"/>
      </w:r>
      <w:r>
        <w:rPr>
          <w:noProof/>
        </w:rPr>
        <w:t>141</w:t>
      </w:r>
      <w:r>
        <w:rPr>
          <w:noProof/>
        </w:rPr>
        <w:fldChar w:fldCharType="end"/>
      </w:r>
    </w:p>
    <w:p w:rsidR="009F1D80" w:rsidRDefault="009F1D80">
      <w:pPr>
        <w:pStyle w:val="TableofFigures"/>
        <w:rPr>
          <w:rFonts w:eastAsiaTheme="minorEastAsia" w:cstheme="minorBidi"/>
          <w:noProof/>
          <w:sz w:val="22"/>
          <w:szCs w:val="22"/>
          <w:lang w:eastAsia="zh-CN"/>
        </w:rPr>
      </w:pPr>
      <w:r>
        <w:rPr>
          <w:noProof/>
        </w:rPr>
        <w:t>C.1</w:t>
      </w:r>
      <w:r>
        <w:rPr>
          <w:rFonts w:eastAsiaTheme="minorEastAsia" w:cstheme="minorBidi"/>
          <w:noProof/>
          <w:sz w:val="22"/>
          <w:szCs w:val="22"/>
          <w:lang w:eastAsia="zh-CN"/>
        </w:rPr>
        <w:tab/>
      </w:r>
      <w:r>
        <w:rPr>
          <w:noProof/>
        </w:rPr>
        <w:t>Avoidable modifications</w:t>
      </w:r>
      <w:r>
        <w:rPr>
          <w:noProof/>
        </w:rPr>
        <w:tab/>
      </w:r>
      <w:r>
        <w:rPr>
          <w:noProof/>
        </w:rPr>
        <w:fldChar w:fldCharType="begin"/>
      </w:r>
      <w:r>
        <w:rPr>
          <w:noProof/>
        </w:rPr>
        <w:instrText xml:space="preserve"> PAGEREF _Toc45654210 \h </w:instrText>
      </w:r>
      <w:r>
        <w:rPr>
          <w:noProof/>
        </w:rPr>
      </w:r>
      <w:r>
        <w:rPr>
          <w:noProof/>
        </w:rPr>
        <w:fldChar w:fldCharType="separate"/>
      </w:r>
      <w:r>
        <w:rPr>
          <w:noProof/>
        </w:rPr>
        <w:t>142</w:t>
      </w:r>
      <w:r>
        <w:rPr>
          <w:noProof/>
        </w:rPr>
        <w:fldChar w:fldCharType="end"/>
      </w:r>
    </w:p>
    <w:p w:rsidR="009F1D80" w:rsidRDefault="009F1D80">
      <w:pPr>
        <w:pStyle w:val="TableofFigures"/>
        <w:rPr>
          <w:rFonts w:eastAsiaTheme="minorEastAsia" w:cstheme="minorBidi"/>
          <w:noProof/>
          <w:sz w:val="22"/>
          <w:szCs w:val="22"/>
          <w:lang w:eastAsia="zh-CN"/>
        </w:rPr>
      </w:pPr>
      <w:r>
        <w:rPr>
          <w:noProof/>
        </w:rPr>
        <w:t>C.2</w:t>
      </w:r>
      <w:r>
        <w:rPr>
          <w:rFonts w:eastAsiaTheme="minorEastAsia" w:cstheme="minorBidi"/>
          <w:noProof/>
          <w:sz w:val="22"/>
          <w:szCs w:val="22"/>
          <w:lang w:eastAsia="zh-CN"/>
        </w:rPr>
        <w:tab/>
      </w:r>
      <w:r>
        <w:rPr>
          <w:noProof/>
        </w:rPr>
        <w:t>Number of dwellings modified</w:t>
      </w:r>
      <w:r>
        <w:rPr>
          <w:noProof/>
        </w:rPr>
        <w:tab/>
      </w:r>
      <w:r>
        <w:rPr>
          <w:noProof/>
        </w:rPr>
        <w:fldChar w:fldCharType="begin"/>
      </w:r>
      <w:r>
        <w:rPr>
          <w:noProof/>
        </w:rPr>
        <w:instrText xml:space="preserve"> PAGEREF _Toc45654211 \h </w:instrText>
      </w:r>
      <w:r>
        <w:rPr>
          <w:noProof/>
        </w:rPr>
      </w:r>
      <w:r>
        <w:rPr>
          <w:noProof/>
        </w:rPr>
        <w:fldChar w:fldCharType="separate"/>
      </w:r>
      <w:r>
        <w:rPr>
          <w:noProof/>
        </w:rPr>
        <w:t>143</w:t>
      </w:r>
      <w:r>
        <w:rPr>
          <w:noProof/>
        </w:rPr>
        <w:fldChar w:fldCharType="end"/>
      </w:r>
    </w:p>
    <w:p w:rsidR="009F1D80" w:rsidRDefault="009F1D80">
      <w:pPr>
        <w:pStyle w:val="TableofFigures"/>
        <w:rPr>
          <w:rFonts w:eastAsiaTheme="minorEastAsia" w:cstheme="minorBidi"/>
          <w:noProof/>
          <w:sz w:val="22"/>
          <w:szCs w:val="22"/>
          <w:lang w:eastAsia="zh-CN"/>
        </w:rPr>
      </w:pPr>
      <w:r>
        <w:rPr>
          <w:noProof/>
        </w:rPr>
        <w:t>C.3</w:t>
      </w:r>
      <w:r>
        <w:rPr>
          <w:rFonts w:eastAsiaTheme="minorEastAsia" w:cstheme="minorBidi"/>
          <w:noProof/>
          <w:sz w:val="22"/>
          <w:szCs w:val="22"/>
          <w:lang w:eastAsia="zh-CN"/>
        </w:rPr>
        <w:tab/>
      </w:r>
      <w:r>
        <w:rPr>
          <w:noProof/>
        </w:rPr>
        <w:t>Weighted average cost of modifications for Class 1a dwellings</w:t>
      </w:r>
      <w:r>
        <w:rPr>
          <w:noProof/>
        </w:rPr>
        <w:tab/>
      </w:r>
      <w:r>
        <w:rPr>
          <w:noProof/>
        </w:rPr>
        <w:fldChar w:fldCharType="begin"/>
      </w:r>
      <w:r>
        <w:rPr>
          <w:noProof/>
        </w:rPr>
        <w:instrText xml:space="preserve"> PAGEREF _Toc45654212 \h </w:instrText>
      </w:r>
      <w:r>
        <w:rPr>
          <w:noProof/>
        </w:rPr>
      </w:r>
      <w:r>
        <w:rPr>
          <w:noProof/>
        </w:rPr>
        <w:fldChar w:fldCharType="separate"/>
      </w:r>
      <w:r>
        <w:rPr>
          <w:noProof/>
        </w:rPr>
        <w:t>144</w:t>
      </w:r>
      <w:r>
        <w:rPr>
          <w:noProof/>
        </w:rPr>
        <w:fldChar w:fldCharType="end"/>
      </w:r>
    </w:p>
    <w:p w:rsidR="009F1D80" w:rsidRDefault="009F1D80">
      <w:pPr>
        <w:pStyle w:val="TableofFigures"/>
        <w:rPr>
          <w:rFonts w:eastAsiaTheme="minorEastAsia" w:cstheme="minorBidi"/>
          <w:noProof/>
          <w:sz w:val="22"/>
          <w:szCs w:val="22"/>
          <w:lang w:eastAsia="zh-CN"/>
        </w:rPr>
      </w:pPr>
      <w:r>
        <w:rPr>
          <w:noProof/>
        </w:rPr>
        <w:t>C.4</w:t>
      </w:r>
      <w:r>
        <w:rPr>
          <w:rFonts w:eastAsiaTheme="minorEastAsia" w:cstheme="minorBidi"/>
          <w:noProof/>
          <w:sz w:val="22"/>
          <w:szCs w:val="22"/>
          <w:lang w:eastAsia="zh-CN"/>
        </w:rPr>
        <w:tab/>
      </w:r>
      <w:r>
        <w:rPr>
          <w:noProof/>
        </w:rPr>
        <w:t>Weighted average cost of modifications for Class 2 dwellings</w:t>
      </w:r>
      <w:r>
        <w:rPr>
          <w:noProof/>
        </w:rPr>
        <w:tab/>
      </w:r>
      <w:r>
        <w:rPr>
          <w:noProof/>
        </w:rPr>
        <w:fldChar w:fldCharType="begin"/>
      </w:r>
      <w:r>
        <w:rPr>
          <w:noProof/>
        </w:rPr>
        <w:instrText xml:space="preserve"> PAGEREF _Toc45654213 \h </w:instrText>
      </w:r>
      <w:r>
        <w:rPr>
          <w:noProof/>
        </w:rPr>
      </w:r>
      <w:r>
        <w:rPr>
          <w:noProof/>
        </w:rPr>
        <w:fldChar w:fldCharType="separate"/>
      </w:r>
      <w:r>
        <w:rPr>
          <w:noProof/>
        </w:rPr>
        <w:t>145</w:t>
      </w:r>
      <w:r>
        <w:rPr>
          <w:noProof/>
        </w:rPr>
        <w:fldChar w:fldCharType="end"/>
      </w:r>
    </w:p>
    <w:p w:rsidR="009F1D80" w:rsidRDefault="009F1D80">
      <w:pPr>
        <w:pStyle w:val="TableofFigures"/>
        <w:rPr>
          <w:rFonts w:eastAsiaTheme="minorEastAsia" w:cstheme="minorBidi"/>
          <w:noProof/>
          <w:sz w:val="22"/>
          <w:szCs w:val="22"/>
          <w:lang w:eastAsia="zh-CN"/>
        </w:rPr>
      </w:pPr>
      <w:r>
        <w:rPr>
          <w:noProof/>
        </w:rPr>
        <w:t>D.1</w:t>
      </w:r>
      <w:r>
        <w:rPr>
          <w:rFonts w:eastAsiaTheme="minorEastAsia" w:cstheme="minorBidi"/>
          <w:noProof/>
          <w:sz w:val="22"/>
          <w:szCs w:val="22"/>
          <w:lang w:eastAsia="zh-CN"/>
        </w:rPr>
        <w:tab/>
      </w:r>
      <w:r>
        <w:rPr>
          <w:noProof/>
        </w:rPr>
        <w:t>Main reasons for moving</w:t>
      </w:r>
      <w:r>
        <w:rPr>
          <w:noProof/>
        </w:rPr>
        <w:tab/>
      </w:r>
      <w:r>
        <w:rPr>
          <w:noProof/>
        </w:rPr>
        <w:fldChar w:fldCharType="begin"/>
      </w:r>
      <w:r>
        <w:rPr>
          <w:noProof/>
        </w:rPr>
        <w:instrText xml:space="preserve"> PAGEREF _Toc45654214 \h </w:instrText>
      </w:r>
      <w:r>
        <w:rPr>
          <w:noProof/>
        </w:rPr>
      </w:r>
      <w:r>
        <w:rPr>
          <w:noProof/>
        </w:rPr>
        <w:fldChar w:fldCharType="separate"/>
      </w:r>
      <w:r>
        <w:rPr>
          <w:noProof/>
        </w:rPr>
        <w:t>146</w:t>
      </w:r>
      <w:r>
        <w:rPr>
          <w:noProof/>
        </w:rPr>
        <w:fldChar w:fldCharType="end"/>
      </w:r>
    </w:p>
    <w:p w:rsidR="009F1D80" w:rsidRDefault="009F1D80">
      <w:pPr>
        <w:pStyle w:val="TableofFigures"/>
        <w:rPr>
          <w:rFonts w:eastAsiaTheme="minorEastAsia" w:cstheme="minorBidi"/>
          <w:noProof/>
          <w:sz w:val="22"/>
          <w:szCs w:val="22"/>
          <w:lang w:eastAsia="zh-CN"/>
        </w:rPr>
      </w:pPr>
      <w:r>
        <w:rPr>
          <w:noProof/>
        </w:rPr>
        <w:t>D.2</w:t>
      </w:r>
      <w:r>
        <w:rPr>
          <w:rFonts w:eastAsiaTheme="minorEastAsia" w:cstheme="minorBidi"/>
          <w:noProof/>
          <w:sz w:val="22"/>
          <w:szCs w:val="22"/>
          <w:lang w:eastAsia="zh-CN"/>
        </w:rPr>
        <w:tab/>
      </w:r>
      <w:r>
        <w:rPr>
          <w:noProof/>
        </w:rPr>
        <w:t>Number of year since accident happened/main condition occurred</w:t>
      </w:r>
      <w:r>
        <w:rPr>
          <w:noProof/>
        </w:rPr>
        <w:tab/>
      </w:r>
      <w:r>
        <w:rPr>
          <w:noProof/>
        </w:rPr>
        <w:fldChar w:fldCharType="begin"/>
      </w:r>
      <w:r>
        <w:rPr>
          <w:noProof/>
        </w:rPr>
        <w:instrText xml:space="preserve"> PAGEREF _Toc45654215 \h </w:instrText>
      </w:r>
      <w:r>
        <w:rPr>
          <w:noProof/>
        </w:rPr>
      </w:r>
      <w:r>
        <w:rPr>
          <w:noProof/>
        </w:rPr>
        <w:fldChar w:fldCharType="separate"/>
      </w:r>
      <w:r>
        <w:rPr>
          <w:noProof/>
        </w:rPr>
        <w:t>148</w:t>
      </w:r>
      <w:r>
        <w:rPr>
          <w:noProof/>
        </w:rPr>
        <w:fldChar w:fldCharType="end"/>
      </w:r>
    </w:p>
    <w:p w:rsidR="009F1D80" w:rsidRDefault="009F1D80">
      <w:pPr>
        <w:pStyle w:val="TableofFigures"/>
        <w:rPr>
          <w:rFonts w:eastAsiaTheme="minorEastAsia" w:cstheme="minorBidi"/>
          <w:noProof/>
          <w:sz w:val="22"/>
          <w:szCs w:val="22"/>
          <w:lang w:eastAsia="zh-CN"/>
        </w:rPr>
      </w:pPr>
      <w:r>
        <w:rPr>
          <w:noProof/>
        </w:rPr>
        <w:t>D.3</w:t>
      </w:r>
      <w:r>
        <w:rPr>
          <w:rFonts w:eastAsiaTheme="minorEastAsia" w:cstheme="minorBidi"/>
          <w:noProof/>
          <w:sz w:val="22"/>
          <w:szCs w:val="22"/>
          <w:lang w:eastAsia="zh-CN"/>
        </w:rPr>
        <w:tab/>
      </w:r>
      <w:r>
        <w:rPr>
          <w:noProof/>
        </w:rPr>
        <w:t>Mobility rates for people that require assistance</w:t>
      </w:r>
      <w:r>
        <w:rPr>
          <w:noProof/>
        </w:rPr>
        <w:tab/>
      </w:r>
      <w:r>
        <w:rPr>
          <w:noProof/>
        </w:rPr>
        <w:fldChar w:fldCharType="begin"/>
      </w:r>
      <w:r>
        <w:rPr>
          <w:noProof/>
        </w:rPr>
        <w:instrText xml:space="preserve"> PAGEREF _Toc45654216 \h </w:instrText>
      </w:r>
      <w:r>
        <w:rPr>
          <w:noProof/>
        </w:rPr>
      </w:r>
      <w:r>
        <w:rPr>
          <w:noProof/>
        </w:rPr>
        <w:fldChar w:fldCharType="separate"/>
      </w:r>
      <w:r>
        <w:rPr>
          <w:noProof/>
        </w:rPr>
        <w:t>148</w:t>
      </w:r>
      <w:r>
        <w:rPr>
          <w:noProof/>
        </w:rPr>
        <w:fldChar w:fldCharType="end"/>
      </w:r>
    </w:p>
    <w:p w:rsidR="009F1D80" w:rsidRDefault="009F1D80">
      <w:pPr>
        <w:pStyle w:val="TableofFigures"/>
        <w:rPr>
          <w:rFonts w:eastAsiaTheme="minorEastAsia" w:cstheme="minorBidi"/>
          <w:noProof/>
          <w:sz w:val="22"/>
          <w:szCs w:val="22"/>
          <w:lang w:eastAsia="zh-CN"/>
        </w:rPr>
      </w:pPr>
      <w:r>
        <w:rPr>
          <w:noProof/>
        </w:rPr>
        <w:t>E.1</w:t>
      </w:r>
      <w:r>
        <w:rPr>
          <w:rFonts w:eastAsiaTheme="minorEastAsia" w:cstheme="minorBidi"/>
          <w:noProof/>
          <w:sz w:val="22"/>
          <w:szCs w:val="22"/>
          <w:lang w:eastAsia="zh-CN"/>
        </w:rPr>
        <w:tab/>
      </w:r>
      <w:r>
        <w:rPr>
          <w:noProof/>
        </w:rPr>
        <w:t>Summary of Australian literature on the causes of delayed discharge</w:t>
      </w:r>
      <w:r>
        <w:rPr>
          <w:noProof/>
        </w:rPr>
        <w:tab/>
      </w:r>
      <w:r>
        <w:rPr>
          <w:noProof/>
        </w:rPr>
        <w:fldChar w:fldCharType="begin"/>
      </w:r>
      <w:r>
        <w:rPr>
          <w:noProof/>
        </w:rPr>
        <w:instrText xml:space="preserve"> PAGEREF _Toc45654217 \h </w:instrText>
      </w:r>
      <w:r>
        <w:rPr>
          <w:noProof/>
        </w:rPr>
      </w:r>
      <w:r>
        <w:rPr>
          <w:noProof/>
        </w:rPr>
        <w:fldChar w:fldCharType="separate"/>
      </w:r>
      <w:r>
        <w:rPr>
          <w:noProof/>
        </w:rPr>
        <w:t>150</w:t>
      </w:r>
      <w:r>
        <w:rPr>
          <w:noProof/>
        </w:rPr>
        <w:fldChar w:fldCharType="end"/>
      </w:r>
    </w:p>
    <w:p w:rsidR="009F1D80" w:rsidRDefault="009F1D80">
      <w:pPr>
        <w:pStyle w:val="TableofFigures"/>
        <w:rPr>
          <w:rFonts w:eastAsiaTheme="minorEastAsia" w:cstheme="minorBidi"/>
          <w:noProof/>
          <w:sz w:val="22"/>
          <w:szCs w:val="22"/>
          <w:lang w:eastAsia="zh-CN"/>
        </w:rPr>
      </w:pPr>
      <w:r>
        <w:rPr>
          <w:noProof/>
        </w:rPr>
        <w:t>E.2</w:t>
      </w:r>
      <w:r>
        <w:rPr>
          <w:rFonts w:eastAsiaTheme="minorEastAsia" w:cstheme="minorBidi"/>
          <w:noProof/>
          <w:sz w:val="22"/>
          <w:szCs w:val="22"/>
          <w:lang w:eastAsia="zh-CN"/>
        </w:rPr>
        <w:tab/>
      </w:r>
      <w:r>
        <w:rPr>
          <w:noProof/>
        </w:rPr>
        <w:t>Relevant types of care</w:t>
      </w:r>
      <w:r>
        <w:rPr>
          <w:noProof/>
        </w:rPr>
        <w:tab/>
      </w:r>
      <w:r>
        <w:rPr>
          <w:noProof/>
        </w:rPr>
        <w:fldChar w:fldCharType="begin"/>
      </w:r>
      <w:r>
        <w:rPr>
          <w:noProof/>
        </w:rPr>
        <w:instrText xml:space="preserve"> PAGEREF _Toc45654218 \h </w:instrText>
      </w:r>
      <w:r>
        <w:rPr>
          <w:noProof/>
        </w:rPr>
      </w:r>
      <w:r>
        <w:rPr>
          <w:noProof/>
        </w:rPr>
        <w:fldChar w:fldCharType="separate"/>
      </w:r>
      <w:r>
        <w:rPr>
          <w:noProof/>
        </w:rPr>
        <w:t>152</w:t>
      </w:r>
      <w:r>
        <w:rPr>
          <w:noProof/>
        </w:rPr>
        <w:fldChar w:fldCharType="end"/>
      </w:r>
    </w:p>
    <w:p w:rsidR="009F1D80" w:rsidRDefault="009F1D80">
      <w:pPr>
        <w:pStyle w:val="TableofFigures"/>
        <w:rPr>
          <w:rFonts w:eastAsiaTheme="minorEastAsia" w:cstheme="minorBidi"/>
          <w:noProof/>
          <w:sz w:val="22"/>
          <w:szCs w:val="22"/>
          <w:lang w:eastAsia="zh-CN"/>
        </w:rPr>
      </w:pPr>
      <w:r>
        <w:rPr>
          <w:noProof/>
        </w:rPr>
        <w:lastRenderedPageBreak/>
        <w:t>F.1</w:t>
      </w:r>
      <w:r>
        <w:rPr>
          <w:rFonts w:eastAsiaTheme="minorEastAsia" w:cstheme="minorBidi"/>
          <w:noProof/>
          <w:sz w:val="22"/>
          <w:szCs w:val="22"/>
          <w:lang w:eastAsia="zh-CN"/>
        </w:rPr>
        <w:tab/>
      </w:r>
      <w:r>
        <w:rPr>
          <w:noProof/>
        </w:rPr>
        <w:t>Leaving residence</w:t>
      </w:r>
      <w:r>
        <w:rPr>
          <w:noProof/>
        </w:rPr>
        <w:tab/>
      </w:r>
      <w:r>
        <w:rPr>
          <w:noProof/>
        </w:rPr>
        <w:fldChar w:fldCharType="begin"/>
      </w:r>
      <w:r>
        <w:rPr>
          <w:noProof/>
        </w:rPr>
        <w:instrText xml:space="preserve"> PAGEREF _Toc45654219 \h </w:instrText>
      </w:r>
      <w:r>
        <w:rPr>
          <w:noProof/>
        </w:rPr>
      </w:r>
      <w:r>
        <w:rPr>
          <w:noProof/>
        </w:rPr>
        <w:fldChar w:fldCharType="separate"/>
      </w:r>
      <w:r>
        <w:rPr>
          <w:noProof/>
        </w:rPr>
        <w:t>154</w:t>
      </w:r>
      <w:r>
        <w:rPr>
          <w:noProof/>
        </w:rPr>
        <w:fldChar w:fldCharType="end"/>
      </w:r>
    </w:p>
    <w:p w:rsidR="009F1D80" w:rsidRDefault="009F1D80">
      <w:pPr>
        <w:pStyle w:val="TableofFigures"/>
        <w:rPr>
          <w:rFonts w:eastAsiaTheme="minorEastAsia" w:cstheme="minorBidi"/>
          <w:noProof/>
          <w:sz w:val="22"/>
          <w:szCs w:val="22"/>
          <w:lang w:eastAsia="zh-CN"/>
        </w:rPr>
      </w:pPr>
      <w:r>
        <w:rPr>
          <w:noProof/>
        </w:rPr>
        <w:t>F.2</w:t>
      </w:r>
      <w:r>
        <w:rPr>
          <w:rFonts w:eastAsiaTheme="minorEastAsia" w:cstheme="minorBidi"/>
          <w:noProof/>
          <w:sz w:val="22"/>
          <w:szCs w:val="22"/>
          <w:lang w:eastAsia="zh-CN"/>
        </w:rPr>
        <w:tab/>
      </w:r>
      <w:r>
        <w:rPr>
          <w:noProof/>
        </w:rPr>
        <w:t>Reason given for not leaving home as often as one would like</w:t>
      </w:r>
      <w:r>
        <w:rPr>
          <w:noProof/>
        </w:rPr>
        <w:tab/>
      </w:r>
      <w:r>
        <w:rPr>
          <w:noProof/>
        </w:rPr>
        <w:fldChar w:fldCharType="begin"/>
      </w:r>
      <w:r>
        <w:rPr>
          <w:noProof/>
        </w:rPr>
        <w:instrText xml:space="preserve"> PAGEREF _Toc45654220 \h </w:instrText>
      </w:r>
      <w:r>
        <w:rPr>
          <w:noProof/>
        </w:rPr>
      </w:r>
      <w:r>
        <w:rPr>
          <w:noProof/>
        </w:rPr>
        <w:fldChar w:fldCharType="separate"/>
      </w:r>
      <w:r>
        <w:rPr>
          <w:noProof/>
        </w:rPr>
        <w:t>155</w:t>
      </w:r>
      <w:r>
        <w:rPr>
          <w:noProof/>
        </w:rPr>
        <w:fldChar w:fldCharType="end"/>
      </w:r>
    </w:p>
    <w:p w:rsidR="009F1D80" w:rsidRDefault="009F1D80">
      <w:pPr>
        <w:pStyle w:val="TableofFigures"/>
        <w:rPr>
          <w:rFonts w:eastAsiaTheme="minorEastAsia" w:cstheme="minorBidi"/>
          <w:noProof/>
          <w:sz w:val="22"/>
          <w:szCs w:val="22"/>
          <w:lang w:eastAsia="zh-CN"/>
        </w:rPr>
      </w:pPr>
      <w:r>
        <w:rPr>
          <w:noProof/>
        </w:rPr>
        <w:t>F.3</w:t>
      </w:r>
      <w:r>
        <w:rPr>
          <w:rFonts w:eastAsiaTheme="minorEastAsia" w:cstheme="minorBidi"/>
          <w:noProof/>
          <w:sz w:val="22"/>
          <w:szCs w:val="22"/>
          <w:lang w:eastAsia="zh-CN"/>
        </w:rPr>
        <w:tab/>
      </w:r>
      <w:r>
        <w:rPr>
          <w:noProof/>
        </w:rPr>
        <w:t>Frequency of contact with family/friends not living in same household</w:t>
      </w:r>
      <w:r>
        <w:rPr>
          <w:noProof/>
        </w:rPr>
        <w:tab/>
      </w:r>
      <w:r>
        <w:rPr>
          <w:noProof/>
        </w:rPr>
        <w:fldChar w:fldCharType="begin"/>
      </w:r>
      <w:r>
        <w:rPr>
          <w:noProof/>
        </w:rPr>
        <w:instrText xml:space="preserve"> PAGEREF _Toc45654221 \h </w:instrText>
      </w:r>
      <w:r>
        <w:rPr>
          <w:noProof/>
        </w:rPr>
      </w:r>
      <w:r>
        <w:rPr>
          <w:noProof/>
        </w:rPr>
        <w:fldChar w:fldCharType="separate"/>
      </w:r>
      <w:r>
        <w:rPr>
          <w:noProof/>
        </w:rPr>
        <w:t>156</w:t>
      </w:r>
      <w:r>
        <w:rPr>
          <w:noProof/>
        </w:rPr>
        <w:fldChar w:fldCharType="end"/>
      </w:r>
    </w:p>
    <w:p w:rsidR="009F1D80" w:rsidRDefault="009F1D80">
      <w:pPr>
        <w:pStyle w:val="TableofFigures"/>
        <w:rPr>
          <w:rFonts w:eastAsiaTheme="minorEastAsia" w:cstheme="minorBidi"/>
          <w:noProof/>
          <w:sz w:val="22"/>
          <w:szCs w:val="22"/>
          <w:lang w:eastAsia="zh-CN"/>
        </w:rPr>
      </w:pPr>
      <w:r>
        <w:rPr>
          <w:noProof/>
        </w:rPr>
        <w:t>F.4</w:t>
      </w:r>
      <w:r>
        <w:rPr>
          <w:rFonts w:eastAsiaTheme="minorEastAsia" w:cstheme="minorBidi"/>
          <w:noProof/>
          <w:sz w:val="22"/>
          <w:szCs w:val="22"/>
          <w:lang w:eastAsia="zh-CN"/>
        </w:rPr>
        <w:tab/>
      </w:r>
      <w:r>
        <w:rPr>
          <w:noProof/>
        </w:rPr>
        <w:t>Share of identified population who want more contact with family and friends</w:t>
      </w:r>
      <w:r>
        <w:rPr>
          <w:noProof/>
        </w:rPr>
        <w:tab/>
      </w:r>
      <w:r>
        <w:rPr>
          <w:noProof/>
        </w:rPr>
        <w:fldChar w:fldCharType="begin"/>
      </w:r>
      <w:r>
        <w:rPr>
          <w:noProof/>
        </w:rPr>
        <w:instrText xml:space="preserve"> PAGEREF _Toc45654222 \h </w:instrText>
      </w:r>
      <w:r>
        <w:rPr>
          <w:noProof/>
        </w:rPr>
      </w:r>
      <w:r>
        <w:rPr>
          <w:noProof/>
        </w:rPr>
        <w:fldChar w:fldCharType="separate"/>
      </w:r>
      <w:r>
        <w:rPr>
          <w:noProof/>
        </w:rPr>
        <w:t>156</w:t>
      </w:r>
      <w:r>
        <w:rPr>
          <w:noProof/>
        </w:rPr>
        <w:fldChar w:fldCharType="end"/>
      </w:r>
    </w:p>
    <w:p w:rsidR="009F1D80" w:rsidRDefault="009F1D80">
      <w:pPr>
        <w:pStyle w:val="TableofFigures"/>
        <w:rPr>
          <w:rFonts w:eastAsiaTheme="minorEastAsia" w:cstheme="minorBidi"/>
          <w:noProof/>
          <w:sz w:val="22"/>
          <w:szCs w:val="22"/>
          <w:lang w:eastAsia="zh-CN"/>
        </w:rPr>
      </w:pPr>
      <w:r>
        <w:rPr>
          <w:noProof/>
        </w:rPr>
        <w:t>F.5</w:t>
      </w:r>
      <w:r>
        <w:rPr>
          <w:rFonts w:eastAsiaTheme="minorEastAsia" w:cstheme="minorBidi"/>
          <w:noProof/>
          <w:sz w:val="22"/>
          <w:szCs w:val="22"/>
          <w:lang w:eastAsia="zh-CN"/>
        </w:rPr>
        <w:tab/>
      </w:r>
      <w:r>
        <w:rPr>
          <w:noProof/>
        </w:rPr>
        <w:t>Frequency of contact with family or friends</w:t>
      </w:r>
      <w:r>
        <w:rPr>
          <w:noProof/>
        </w:rPr>
        <w:tab/>
      </w:r>
      <w:r>
        <w:rPr>
          <w:noProof/>
        </w:rPr>
        <w:fldChar w:fldCharType="begin"/>
      </w:r>
      <w:r>
        <w:rPr>
          <w:noProof/>
        </w:rPr>
        <w:instrText xml:space="preserve"> PAGEREF _Toc45654223 \h </w:instrText>
      </w:r>
      <w:r>
        <w:rPr>
          <w:noProof/>
        </w:rPr>
      </w:r>
      <w:r>
        <w:rPr>
          <w:noProof/>
        </w:rPr>
        <w:fldChar w:fldCharType="separate"/>
      </w:r>
      <w:r>
        <w:rPr>
          <w:noProof/>
        </w:rPr>
        <w:t>157</w:t>
      </w:r>
      <w:r>
        <w:rPr>
          <w:noProof/>
        </w:rPr>
        <w:fldChar w:fldCharType="end"/>
      </w:r>
    </w:p>
    <w:p w:rsidR="009F1D80" w:rsidRDefault="009F1D80">
      <w:pPr>
        <w:pStyle w:val="TableofFigures"/>
        <w:rPr>
          <w:rFonts w:eastAsiaTheme="minorEastAsia" w:cstheme="minorBidi"/>
          <w:noProof/>
          <w:sz w:val="22"/>
          <w:szCs w:val="22"/>
          <w:lang w:eastAsia="zh-CN"/>
        </w:rPr>
      </w:pPr>
      <w:r>
        <w:rPr>
          <w:noProof/>
        </w:rPr>
        <w:t>F.6</w:t>
      </w:r>
      <w:r>
        <w:rPr>
          <w:rFonts w:eastAsiaTheme="minorEastAsia" w:cstheme="minorBidi"/>
          <w:noProof/>
          <w:sz w:val="22"/>
          <w:szCs w:val="22"/>
          <w:lang w:eastAsia="zh-CN"/>
        </w:rPr>
        <w:tab/>
      </w:r>
      <w:r>
        <w:rPr>
          <w:noProof/>
        </w:rPr>
        <w:t>Share of identified population who would like to see family and friends more often</w:t>
      </w:r>
      <w:r>
        <w:rPr>
          <w:noProof/>
        </w:rPr>
        <w:tab/>
      </w:r>
      <w:r>
        <w:rPr>
          <w:noProof/>
        </w:rPr>
        <w:fldChar w:fldCharType="begin"/>
      </w:r>
      <w:r>
        <w:rPr>
          <w:noProof/>
        </w:rPr>
        <w:instrText xml:space="preserve"> PAGEREF _Toc45654224 \h </w:instrText>
      </w:r>
      <w:r>
        <w:rPr>
          <w:noProof/>
        </w:rPr>
      </w:r>
      <w:r>
        <w:rPr>
          <w:noProof/>
        </w:rPr>
        <w:fldChar w:fldCharType="separate"/>
      </w:r>
      <w:r>
        <w:rPr>
          <w:noProof/>
        </w:rPr>
        <w:t>158</w:t>
      </w:r>
      <w:r>
        <w:rPr>
          <w:noProof/>
        </w:rPr>
        <w:fldChar w:fldCharType="end"/>
      </w:r>
    </w:p>
    <w:p w:rsidR="009F1D80" w:rsidRDefault="009F1D80">
      <w:pPr>
        <w:pStyle w:val="TableofFigures"/>
        <w:rPr>
          <w:rFonts w:eastAsiaTheme="minorEastAsia" w:cstheme="minorBidi"/>
          <w:noProof/>
          <w:sz w:val="22"/>
          <w:szCs w:val="22"/>
          <w:lang w:eastAsia="zh-CN"/>
        </w:rPr>
      </w:pPr>
      <w:r>
        <w:rPr>
          <w:noProof/>
        </w:rPr>
        <w:t>F.7</w:t>
      </w:r>
      <w:r>
        <w:rPr>
          <w:rFonts w:eastAsiaTheme="minorEastAsia" w:cstheme="minorBidi"/>
          <w:noProof/>
          <w:sz w:val="22"/>
          <w:szCs w:val="22"/>
          <w:lang w:eastAsia="zh-CN"/>
        </w:rPr>
        <w:tab/>
      </w:r>
      <w:r>
        <w:rPr>
          <w:noProof/>
        </w:rPr>
        <w:t>Share of people with a mobility limitation that want more contact with family/friends</w:t>
      </w:r>
      <w:r>
        <w:rPr>
          <w:noProof/>
        </w:rPr>
        <w:tab/>
      </w:r>
      <w:r>
        <w:rPr>
          <w:noProof/>
        </w:rPr>
        <w:fldChar w:fldCharType="begin"/>
      </w:r>
      <w:r>
        <w:rPr>
          <w:noProof/>
        </w:rPr>
        <w:instrText xml:space="preserve"> PAGEREF _Toc45654225 \h </w:instrText>
      </w:r>
      <w:r>
        <w:rPr>
          <w:noProof/>
        </w:rPr>
      </w:r>
      <w:r>
        <w:rPr>
          <w:noProof/>
        </w:rPr>
        <w:fldChar w:fldCharType="separate"/>
      </w:r>
      <w:r>
        <w:rPr>
          <w:noProof/>
        </w:rPr>
        <w:t>158</w:t>
      </w:r>
      <w:r>
        <w:rPr>
          <w:noProof/>
        </w:rPr>
        <w:fldChar w:fldCharType="end"/>
      </w:r>
    </w:p>
    <w:p w:rsidR="009F1D80" w:rsidRDefault="009F1D80">
      <w:pPr>
        <w:pStyle w:val="TableofFigures"/>
        <w:rPr>
          <w:rFonts w:eastAsiaTheme="minorEastAsia" w:cstheme="minorBidi"/>
          <w:noProof/>
          <w:sz w:val="22"/>
          <w:szCs w:val="22"/>
          <w:lang w:eastAsia="zh-CN"/>
        </w:rPr>
      </w:pPr>
      <w:r>
        <w:rPr>
          <w:noProof/>
        </w:rPr>
        <w:t>G.1</w:t>
      </w:r>
      <w:r>
        <w:rPr>
          <w:rFonts w:eastAsiaTheme="minorEastAsia" w:cstheme="minorBidi"/>
          <w:noProof/>
          <w:sz w:val="22"/>
          <w:szCs w:val="22"/>
          <w:lang w:eastAsia="zh-CN"/>
        </w:rPr>
        <w:tab/>
      </w:r>
      <w:r>
        <w:rPr>
          <w:noProof/>
        </w:rPr>
        <w:t>Additional people in residential aged care due to a lack of accessible housing</w:t>
      </w:r>
      <w:r>
        <w:rPr>
          <w:noProof/>
        </w:rPr>
        <w:tab/>
      </w:r>
      <w:r>
        <w:rPr>
          <w:noProof/>
        </w:rPr>
        <w:fldChar w:fldCharType="begin"/>
      </w:r>
      <w:r>
        <w:rPr>
          <w:noProof/>
        </w:rPr>
        <w:instrText xml:space="preserve"> PAGEREF _Toc45654226 \h </w:instrText>
      </w:r>
      <w:r>
        <w:rPr>
          <w:noProof/>
        </w:rPr>
      </w:r>
      <w:r>
        <w:rPr>
          <w:noProof/>
        </w:rPr>
        <w:fldChar w:fldCharType="separate"/>
      </w:r>
      <w:r>
        <w:rPr>
          <w:noProof/>
        </w:rPr>
        <w:t>160</w:t>
      </w:r>
      <w:r>
        <w:rPr>
          <w:noProof/>
        </w:rPr>
        <w:fldChar w:fldCharType="end"/>
      </w:r>
    </w:p>
    <w:p w:rsidR="009F1D80" w:rsidRDefault="009F1D80">
      <w:pPr>
        <w:pStyle w:val="TableofFigures"/>
        <w:rPr>
          <w:rFonts w:eastAsiaTheme="minorEastAsia" w:cstheme="minorBidi"/>
          <w:noProof/>
          <w:sz w:val="22"/>
          <w:szCs w:val="22"/>
          <w:lang w:eastAsia="zh-CN"/>
        </w:rPr>
      </w:pPr>
      <w:r>
        <w:rPr>
          <w:noProof/>
        </w:rPr>
        <w:t>G.2</w:t>
      </w:r>
      <w:r>
        <w:rPr>
          <w:rFonts w:eastAsiaTheme="minorEastAsia" w:cstheme="minorBidi"/>
          <w:noProof/>
          <w:sz w:val="22"/>
          <w:szCs w:val="22"/>
          <w:lang w:eastAsia="zh-CN"/>
        </w:rPr>
        <w:tab/>
      </w:r>
      <w:r>
        <w:rPr>
          <w:noProof/>
        </w:rPr>
        <w:t>Recommended long-term living arrangement from aged care assessments</w:t>
      </w:r>
      <w:r>
        <w:rPr>
          <w:noProof/>
        </w:rPr>
        <w:tab/>
      </w:r>
      <w:r>
        <w:rPr>
          <w:noProof/>
        </w:rPr>
        <w:fldChar w:fldCharType="begin"/>
      </w:r>
      <w:r>
        <w:rPr>
          <w:noProof/>
        </w:rPr>
        <w:instrText xml:space="preserve"> PAGEREF _Toc45654227 \h </w:instrText>
      </w:r>
      <w:r>
        <w:rPr>
          <w:noProof/>
        </w:rPr>
      </w:r>
      <w:r>
        <w:rPr>
          <w:noProof/>
        </w:rPr>
        <w:fldChar w:fldCharType="separate"/>
      </w:r>
      <w:r>
        <w:rPr>
          <w:noProof/>
        </w:rPr>
        <w:t>162</w:t>
      </w:r>
      <w:r>
        <w:rPr>
          <w:noProof/>
        </w:rPr>
        <w:fldChar w:fldCharType="end"/>
      </w:r>
    </w:p>
    <w:p w:rsidR="009F1D80" w:rsidRDefault="009F1D80">
      <w:pPr>
        <w:pStyle w:val="TableofFigures"/>
        <w:rPr>
          <w:rFonts w:eastAsiaTheme="minorEastAsia" w:cstheme="minorBidi"/>
          <w:noProof/>
          <w:sz w:val="22"/>
          <w:szCs w:val="22"/>
          <w:lang w:eastAsia="zh-CN"/>
        </w:rPr>
      </w:pPr>
      <w:r>
        <w:rPr>
          <w:noProof/>
        </w:rPr>
        <w:t>G.3</w:t>
      </w:r>
      <w:r>
        <w:rPr>
          <w:rFonts w:eastAsiaTheme="minorEastAsia" w:cstheme="minorBidi"/>
          <w:noProof/>
          <w:sz w:val="22"/>
          <w:szCs w:val="22"/>
          <w:lang w:eastAsia="zh-CN"/>
        </w:rPr>
        <w:tab/>
      </w:r>
      <w:r>
        <w:rPr>
          <w:noProof/>
        </w:rPr>
        <w:t>Operational number of residential aged care places, Australia-wide</w:t>
      </w:r>
      <w:r>
        <w:rPr>
          <w:noProof/>
        </w:rPr>
        <w:tab/>
      </w:r>
      <w:r>
        <w:rPr>
          <w:noProof/>
        </w:rPr>
        <w:fldChar w:fldCharType="begin"/>
      </w:r>
      <w:r>
        <w:rPr>
          <w:noProof/>
        </w:rPr>
        <w:instrText xml:space="preserve"> PAGEREF _Toc45654228 \h </w:instrText>
      </w:r>
      <w:r>
        <w:rPr>
          <w:noProof/>
        </w:rPr>
      </w:r>
      <w:r>
        <w:rPr>
          <w:noProof/>
        </w:rPr>
        <w:fldChar w:fldCharType="separate"/>
      </w:r>
      <w:r>
        <w:rPr>
          <w:noProof/>
        </w:rPr>
        <w:t>162</w:t>
      </w:r>
      <w:r>
        <w:rPr>
          <w:noProof/>
        </w:rPr>
        <w:fldChar w:fldCharType="end"/>
      </w:r>
    </w:p>
    <w:p w:rsidR="009F1D80" w:rsidRDefault="009F1D80">
      <w:pPr>
        <w:pStyle w:val="TableofFigures"/>
        <w:rPr>
          <w:rFonts w:eastAsiaTheme="minorEastAsia" w:cstheme="minorBidi"/>
          <w:noProof/>
          <w:sz w:val="22"/>
          <w:szCs w:val="22"/>
          <w:lang w:eastAsia="zh-CN"/>
        </w:rPr>
      </w:pPr>
      <w:r>
        <w:rPr>
          <w:noProof/>
        </w:rPr>
        <w:t>G.4</w:t>
      </w:r>
      <w:r>
        <w:rPr>
          <w:rFonts w:eastAsiaTheme="minorEastAsia" w:cstheme="minorBidi"/>
          <w:noProof/>
          <w:sz w:val="22"/>
          <w:szCs w:val="22"/>
          <w:lang w:eastAsia="zh-CN"/>
        </w:rPr>
        <w:tab/>
      </w:r>
      <w:r>
        <w:rPr>
          <w:noProof/>
        </w:rPr>
        <w:t>Logistic model of probability of being in aged care — 2012</w:t>
      </w:r>
      <w:r>
        <w:rPr>
          <w:noProof/>
        </w:rPr>
        <w:tab/>
      </w:r>
      <w:r>
        <w:rPr>
          <w:noProof/>
        </w:rPr>
        <w:fldChar w:fldCharType="begin"/>
      </w:r>
      <w:r>
        <w:rPr>
          <w:noProof/>
        </w:rPr>
        <w:instrText xml:space="preserve"> PAGEREF _Toc45654229 \h </w:instrText>
      </w:r>
      <w:r>
        <w:rPr>
          <w:noProof/>
        </w:rPr>
      </w:r>
      <w:r>
        <w:rPr>
          <w:noProof/>
        </w:rPr>
        <w:fldChar w:fldCharType="separate"/>
      </w:r>
      <w:r>
        <w:rPr>
          <w:noProof/>
        </w:rPr>
        <w:t>163</w:t>
      </w:r>
      <w:r>
        <w:rPr>
          <w:noProof/>
        </w:rPr>
        <w:fldChar w:fldCharType="end"/>
      </w:r>
    </w:p>
    <w:p w:rsidR="009F1D80" w:rsidRDefault="009F1D80">
      <w:pPr>
        <w:pStyle w:val="TableofFigures"/>
        <w:rPr>
          <w:rFonts w:eastAsiaTheme="minorEastAsia" w:cstheme="minorBidi"/>
          <w:noProof/>
          <w:sz w:val="22"/>
          <w:szCs w:val="22"/>
          <w:lang w:eastAsia="zh-CN"/>
        </w:rPr>
      </w:pPr>
      <w:r>
        <w:rPr>
          <w:noProof/>
        </w:rPr>
        <w:t>G.5</w:t>
      </w:r>
      <w:r>
        <w:rPr>
          <w:rFonts w:eastAsiaTheme="minorEastAsia" w:cstheme="minorBidi"/>
          <w:noProof/>
          <w:sz w:val="22"/>
          <w:szCs w:val="22"/>
          <w:lang w:eastAsia="zh-CN"/>
        </w:rPr>
        <w:tab/>
      </w:r>
      <w:r>
        <w:rPr>
          <w:noProof/>
        </w:rPr>
        <w:t>Probability/odds of being in residential aged care — 2018</w:t>
      </w:r>
      <w:r>
        <w:rPr>
          <w:noProof/>
        </w:rPr>
        <w:tab/>
      </w:r>
      <w:r>
        <w:rPr>
          <w:noProof/>
        </w:rPr>
        <w:fldChar w:fldCharType="begin"/>
      </w:r>
      <w:r>
        <w:rPr>
          <w:noProof/>
        </w:rPr>
        <w:instrText xml:space="preserve"> PAGEREF _Toc45654230 \h </w:instrText>
      </w:r>
      <w:r>
        <w:rPr>
          <w:noProof/>
        </w:rPr>
      </w:r>
      <w:r>
        <w:rPr>
          <w:noProof/>
        </w:rPr>
        <w:fldChar w:fldCharType="separate"/>
      </w:r>
      <w:r>
        <w:rPr>
          <w:noProof/>
        </w:rPr>
        <w:t>164</w:t>
      </w:r>
      <w:r>
        <w:rPr>
          <w:noProof/>
        </w:rPr>
        <w:fldChar w:fldCharType="end"/>
      </w:r>
    </w:p>
    <w:p w:rsidR="009F1D80" w:rsidRDefault="009F1D80">
      <w:pPr>
        <w:pStyle w:val="TableofFigures"/>
        <w:rPr>
          <w:rFonts w:eastAsiaTheme="minorEastAsia" w:cstheme="minorBidi"/>
          <w:noProof/>
          <w:sz w:val="22"/>
          <w:szCs w:val="22"/>
          <w:lang w:eastAsia="zh-CN"/>
        </w:rPr>
      </w:pPr>
      <w:r>
        <w:rPr>
          <w:noProof/>
        </w:rPr>
        <w:t>G.6</w:t>
      </w:r>
      <w:r>
        <w:rPr>
          <w:rFonts w:eastAsiaTheme="minorEastAsia" w:cstheme="minorBidi"/>
          <w:noProof/>
          <w:sz w:val="22"/>
          <w:szCs w:val="22"/>
          <w:lang w:eastAsia="zh-CN"/>
        </w:rPr>
        <w:tab/>
      </w:r>
      <w:r>
        <w:rPr>
          <w:noProof/>
        </w:rPr>
        <w:t>Estimated number of people in residential aged care due to needing help with mobility</w:t>
      </w:r>
      <w:r>
        <w:rPr>
          <w:noProof/>
        </w:rPr>
        <w:tab/>
      </w:r>
      <w:r>
        <w:rPr>
          <w:noProof/>
        </w:rPr>
        <w:fldChar w:fldCharType="begin"/>
      </w:r>
      <w:r>
        <w:rPr>
          <w:noProof/>
        </w:rPr>
        <w:instrText xml:space="preserve"> PAGEREF _Toc45654231 \h </w:instrText>
      </w:r>
      <w:r>
        <w:rPr>
          <w:noProof/>
        </w:rPr>
      </w:r>
      <w:r>
        <w:rPr>
          <w:noProof/>
        </w:rPr>
        <w:fldChar w:fldCharType="separate"/>
      </w:r>
      <w:r>
        <w:rPr>
          <w:noProof/>
        </w:rPr>
        <w:t>165</w:t>
      </w:r>
      <w:r>
        <w:rPr>
          <w:noProof/>
        </w:rPr>
        <w:fldChar w:fldCharType="end"/>
      </w:r>
    </w:p>
    <w:p w:rsidR="009F1D80" w:rsidRDefault="009F1D80">
      <w:pPr>
        <w:pStyle w:val="TableofFigures"/>
        <w:rPr>
          <w:rFonts w:eastAsiaTheme="minorEastAsia" w:cstheme="minorBidi"/>
          <w:noProof/>
          <w:sz w:val="22"/>
          <w:szCs w:val="22"/>
          <w:lang w:eastAsia="zh-CN"/>
        </w:rPr>
      </w:pPr>
      <w:r>
        <w:rPr>
          <w:noProof/>
        </w:rPr>
        <w:t>G.7</w:t>
      </w:r>
      <w:r>
        <w:rPr>
          <w:rFonts w:eastAsiaTheme="minorEastAsia" w:cstheme="minorBidi"/>
          <w:noProof/>
          <w:sz w:val="22"/>
          <w:szCs w:val="22"/>
          <w:lang w:eastAsia="zh-CN"/>
        </w:rPr>
        <w:tab/>
      </w:r>
      <w:r>
        <w:rPr>
          <w:noProof/>
        </w:rPr>
        <w:t>Number of people under the age of 65 in residential aged care</w:t>
      </w:r>
      <w:r>
        <w:rPr>
          <w:noProof/>
        </w:rPr>
        <w:tab/>
      </w:r>
      <w:r>
        <w:rPr>
          <w:noProof/>
        </w:rPr>
        <w:fldChar w:fldCharType="begin"/>
      </w:r>
      <w:r>
        <w:rPr>
          <w:noProof/>
        </w:rPr>
        <w:instrText xml:space="preserve"> PAGEREF _Toc45654232 \h </w:instrText>
      </w:r>
      <w:r>
        <w:rPr>
          <w:noProof/>
        </w:rPr>
      </w:r>
      <w:r>
        <w:rPr>
          <w:noProof/>
        </w:rPr>
        <w:fldChar w:fldCharType="separate"/>
      </w:r>
      <w:r>
        <w:rPr>
          <w:noProof/>
        </w:rPr>
        <w:t>166</w:t>
      </w:r>
      <w:r>
        <w:rPr>
          <w:noProof/>
        </w:rPr>
        <w:fldChar w:fldCharType="end"/>
      </w:r>
    </w:p>
    <w:p w:rsidR="009F1D80" w:rsidRDefault="009F1D80">
      <w:pPr>
        <w:pStyle w:val="TableofFigures"/>
        <w:rPr>
          <w:rFonts w:eastAsiaTheme="minorEastAsia" w:cstheme="minorBidi"/>
          <w:noProof/>
          <w:sz w:val="22"/>
          <w:szCs w:val="22"/>
          <w:lang w:eastAsia="zh-CN"/>
        </w:rPr>
      </w:pPr>
      <w:r>
        <w:rPr>
          <w:noProof/>
        </w:rPr>
        <w:t>G.8</w:t>
      </w:r>
      <w:r>
        <w:rPr>
          <w:rFonts w:eastAsiaTheme="minorEastAsia" w:cstheme="minorBidi"/>
          <w:noProof/>
          <w:sz w:val="22"/>
          <w:szCs w:val="22"/>
          <w:lang w:eastAsia="zh-CN"/>
        </w:rPr>
        <w:tab/>
      </w:r>
      <w:r>
        <w:rPr>
          <w:noProof/>
        </w:rPr>
        <w:t>Royal Commission into Aged Care Quality and Safety</w:t>
      </w:r>
      <w:r>
        <w:rPr>
          <w:noProof/>
        </w:rPr>
        <w:tab/>
      </w:r>
      <w:r>
        <w:rPr>
          <w:noProof/>
        </w:rPr>
        <w:fldChar w:fldCharType="begin"/>
      </w:r>
      <w:r>
        <w:rPr>
          <w:noProof/>
        </w:rPr>
        <w:instrText xml:space="preserve"> PAGEREF _Toc45654233 \h </w:instrText>
      </w:r>
      <w:r>
        <w:rPr>
          <w:noProof/>
        </w:rPr>
      </w:r>
      <w:r>
        <w:rPr>
          <w:noProof/>
        </w:rPr>
        <w:fldChar w:fldCharType="separate"/>
      </w:r>
      <w:r>
        <w:rPr>
          <w:noProof/>
        </w:rPr>
        <w:t>168</w:t>
      </w:r>
      <w:r>
        <w:rPr>
          <w:noProof/>
        </w:rPr>
        <w:fldChar w:fldCharType="end"/>
      </w:r>
    </w:p>
    <w:p w:rsidR="009F1D80" w:rsidRDefault="009F1D80">
      <w:pPr>
        <w:pStyle w:val="TableofFigures"/>
        <w:rPr>
          <w:rFonts w:eastAsiaTheme="minorEastAsia" w:cstheme="minorBidi"/>
          <w:noProof/>
          <w:sz w:val="22"/>
          <w:szCs w:val="22"/>
          <w:lang w:eastAsia="zh-CN"/>
        </w:rPr>
      </w:pPr>
      <w:r>
        <w:rPr>
          <w:noProof/>
        </w:rPr>
        <w:t>G.9</w:t>
      </w:r>
      <w:r>
        <w:rPr>
          <w:rFonts w:eastAsiaTheme="minorEastAsia" w:cstheme="minorBidi"/>
          <w:noProof/>
          <w:sz w:val="22"/>
          <w:szCs w:val="22"/>
          <w:lang w:eastAsia="zh-CN"/>
        </w:rPr>
        <w:tab/>
      </w:r>
      <w:r>
        <w:rPr>
          <w:noProof/>
        </w:rPr>
        <w:t>Incidence of depression</w:t>
      </w:r>
      <w:r>
        <w:rPr>
          <w:noProof/>
        </w:rPr>
        <w:tab/>
      </w:r>
      <w:r>
        <w:rPr>
          <w:noProof/>
        </w:rPr>
        <w:fldChar w:fldCharType="begin"/>
      </w:r>
      <w:r>
        <w:rPr>
          <w:noProof/>
        </w:rPr>
        <w:instrText xml:space="preserve"> PAGEREF _Toc45654234 \h </w:instrText>
      </w:r>
      <w:r>
        <w:rPr>
          <w:noProof/>
        </w:rPr>
      </w:r>
      <w:r>
        <w:rPr>
          <w:noProof/>
        </w:rPr>
        <w:fldChar w:fldCharType="separate"/>
      </w:r>
      <w:r>
        <w:rPr>
          <w:noProof/>
        </w:rPr>
        <w:t>170</w:t>
      </w:r>
      <w:r>
        <w:rPr>
          <w:noProof/>
        </w:rPr>
        <w:fldChar w:fldCharType="end"/>
      </w:r>
    </w:p>
    <w:p w:rsidR="009F1D80" w:rsidRDefault="009F1D80">
      <w:pPr>
        <w:pStyle w:val="TableofFigures"/>
        <w:rPr>
          <w:rFonts w:eastAsiaTheme="minorEastAsia" w:cstheme="minorBidi"/>
          <w:noProof/>
          <w:sz w:val="22"/>
          <w:szCs w:val="22"/>
          <w:lang w:eastAsia="zh-CN"/>
        </w:rPr>
      </w:pPr>
      <w:r>
        <w:rPr>
          <w:noProof/>
        </w:rPr>
        <w:t>G.10</w:t>
      </w:r>
      <w:r>
        <w:rPr>
          <w:rFonts w:eastAsiaTheme="minorEastAsia" w:cstheme="minorBidi"/>
          <w:noProof/>
          <w:sz w:val="22"/>
          <w:szCs w:val="22"/>
          <w:lang w:eastAsia="zh-CN"/>
        </w:rPr>
        <w:tab/>
      </w:r>
      <w:r>
        <w:rPr>
          <w:noProof/>
        </w:rPr>
        <w:t>Morbidity cost of depression</w:t>
      </w:r>
      <w:r>
        <w:rPr>
          <w:noProof/>
        </w:rPr>
        <w:tab/>
      </w:r>
      <w:r>
        <w:rPr>
          <w:noProof/>
        </w:rPr>
        <w:fldChar w:fldCharType="begin"/>
      </w:r>
      <w:r>
        <w:rPr>
          <w:noProof/>
        </w:rPr>
        <w:instrText xml:space="preserve"> PAGEREF _Toc45654235 \h </w:instrText>
      </w:r>
      <w:r>
        <w:rPr>
          <w:noProof/>
        </w:rPr>
      </w:r>
      <w:r>
        <w:rPr>
          <w:noProof/>
        </w:rPr>
        <w:fldChar w:fldCharType="separate"/>
      </w:r>
      <w:r>
        <w:rPr>
          <w:noProof/>
        </w:rPr>
        <w:t>170</w:t>
      </w:r>
      <w:r>
        <w:rPr>
          <w:noProof/>
        </w:rPr>
        <w:fldChar w:fldCharType="end"/>
      </w:r>
    </w:p>
    <w:p w:rsidR="009F1D80" w:rsidRDefault="009F1D80">
      <w:pPr>
        <w:pStyle w:val="TableofFigures"/>
        <w:rPr>
          <w:rFonts w:eastAsiaTheme="minorEastAsia" w:cstheme="minorBidi"/>
          <w:noProof/>
          <w:sz w:val="22"/>
          <w:szCs w:val="22"/>
          <w:lang w:eastAsia="zh-CN"/>
        </w:rPr>
      </w:pPr>
      <w:r>
        <w:rPr>
          <w:noProof/>
        </w:rPr>
        <w:t>G.11</w:t>
      </w:r>
      <w:r>
        <w:rPr>
          <w:rFonts w:eastAsiaTheme="minorEastAsia" w:cstheme="minorBidi"/>
          <w:noProof/>
          <w:sz w:val="22"/>
          <w:szCs w:val="22"/>
          <w:lang w:eastAsia="zh-CN"/>
        </w:rPr>
        <w:tab/>
      </w:r>
      <w:r>
        <w:rPr>
          <w:noProof/>
        </w:rPr>
        <w:t>Estimated morbidity cost of depression from inappropriate or premature entry into residential aged care</w:t>
      </w:r>
      <w:r>
        <w:rPr>
          <w:noProof/>
        </w:rPr>
        <w:tab/>
      </w:r>
      <w:r>
        <w:rPr>
          <w:noProof/>
        </w:rPr>
        <w:fldChar w:fldCharType="begin"/>
      </w:r>
      <w:r>
        <w:rPr>
          <w:noProof/>
        </w:rPr>
        <w:instrText xml:space="preserve"> PAGEREF _Toc45654236 \h </w:instrText>
      </w:r>
      <w:r>
        <w:rPr>
          <w:noProof/>
        </w:rPr>
      </w:r>
      <w:r>
        <w:rPr>
          <w:noProof/>
        </w:rPr>
        <w:fldChar w:fldCharType="separate"/>
      </w:r>
      <w:r>
        <w:rPr>
          <w:noProof/>
        </w:rPr>
        <w:t>170</w:t>
      </w:r>
      <w:r>
        <w:rPr>
          <w:noProof/>
        </w:rPr>
        <w:fldChar w:fldCharType="end"/>
      </w:r>
    </w:p>
    <w:p w:rsidR="009F1D80" w:rsidRDefault="009F1D80">
      <w:pPr>
        <w:pStyle w:val="TableofFigures"/>
        <w:rPr>
          <w:rFonts w:eastAsiaTheme="minorEastAsia" w:cstheme="minorBidi"/>
          <w:noProof/>
          <w:sz w:val="22"/>
          <w:szCs w:val="22"/>
          <w:lang w:eastAsia="zh-CN"/>
        </w:rPr>
      </w:pPr>
      <w:r>
        <w:rPr>
          <w:noProof/>
        </w:rPr>
        <w:t>G.12</w:t>
      </w:r>
      <w:r>
        <w:rPr>
          <w:rFonts w:eastAsiaTheme="minorEastAsia" w:cstheme="minorBidi"/>
          <w:noProof/>
          <w:sz w:val="22"/>
          <w:szCs w:val="22"/>
          <w:lang w:eastAsia="zh-CN"/>
        </w:rPr>
        <w:tab/>
      </w:r>
      <w:r>
        <w:rPr>
          <w:noProof/>
        </w:rPr>
        <w:t>Estimated additional financial cost of residential aged care per person</w:t>
      </w:r>
      <w:r>
        <w:rPr>
          <w:noProof/>
        </w:rPr>
        <w:tab/>
      </w:r>
      <w:r>
        <w:rPr>
          <w:noProof/>
        </w:rPr>
        <w:fldChar w:fldCharType="begin"/>
      </w:r>
      <w:r>
        <w:rPr>
          <w:noProof/>
        </w:rPr>
        <w:instrText xml:space="preserve"> PAGEREF _Toc45654237 \h </w:instrText>
      </w:r>
      <w:r>
        <w:rPr>
          <w:noProof/>
        </w:rPr>
      </w:r>
      <w:r>
        <w:rPr>
          <w:noProof/>
        </w:rPr>
        <w:fldChar w:fldCharType="separate"/>
      </w:r>
      <w:r>
        <w:rPr>
          <w:noProof/>
        </w:rPr>
        <w:t>172</w:t>
      </w:r>
      <w:r>
        <w:rPr>
          <w:noProof/>
        </w:rPr>
        <w:fldChar w:fldCharType="end"/>
      </w:r>
    </w:p>
    <w:p w:rsidR="009F1D80" w:rsidRDefault="009F1D80">
      <w:pPr>
        <w:pStyle w:val="TableofFigures"/>
        <w:rPr>
          <w:rFonts w:eastAsiaTheme="minorEastAsia" w:cstheme="minorBidi"/>
          <w:noProof/>
          <w:sz w:val="22"/>
          <w:szCs w:val="22"/>
          <w:lang w:eastAsia="zh-CN"/>
        </w:rPr>
      </w:pPr>
      <w:r>
        <w:rPr>
          <w:noProof/>
        </w:rPr>
        <w:t>H.1</w:t>
      </w:r>
      <w:r>
        <w:rPr>
          <w:rFonts w:eastAsiaTheme="minorEastAsia" w:cstheme="minorBidi"/>
          <w:noProof/>
          <w:sz w:val="22"/>
          <w:szCs w:val="22"/>
          <w:lang w:eastAsia="zh-CN"/>
        </w:rPr>
        <w:tab/>
      </w:r>
      <w:r>
        <w:rPr>
          <w:noProof/>
        </w:rPr>
        <w:t>Key labour force indicators</w:t>
      </w:r>
      <w:r>
        <w:rPr>
          <w:noProof/>
        </w:rPr>
        <w:tab/>
      </w:r>
      <w:r>
        <w:rPr>
          <w:noProof/>
        </w:rPr>
        <w:fldChar w:fldCharType="begin"/>
      </w:r>
      <w:r>
        <w:rPr>
          <w:noProof/>
        </w:rPr>
        <w:instrText xml:space="preserve"> PAGEREF _Toc45654238 \h </w:instrText>
      </w:r>
      <w:r>
        <w:rPr>
          <w:noProof/>
        </w:rPr>
      </w:r>
      <w:r>
        <w:rPr>
          <w:noProof/>
        </w:rPr>
        <w:fldChar w:fldCharType="separate"/>
      </w:r>
      <w:r>
        <w:rPr>
          <w:noProof/>
        </w:rPr>
        <w:t>173</w:t>
      </w:r>
      <w:r>
        <w:rPr>
          <w:noProof/>
        </w:rPr>
        <w:fldChar w:fldCharType="end"/>
      </w:r>
    </w:p>
    <w:p w:rsidR="009F1D80" w:rsidRDefault="009F1D80">
      <w:pPr>
        <w:pStyle w:val="TableofFigures"/>
        <w:rPr>
          <w:rFonts w:eastAsiaTheme="minorEastAsia" w:cstheme="minorBidi"/>
          <w:noProof/>
          <w:sz w:val="22"/>
          <w:szCs w:val="22"/>
          <w:lang w:eastAsia="zh-CN"/>
        </w:rPr>
      </w:pPr>
      <w:r>
        <w:rPr>
          <w:noProof/>
        </w:rPr>
        <w:t>I.1</w:t>
      </w:r>
      <w:r>
        <w:rPr>
          <w:rFonts w:eastAsiaTheme="minorEastAsia" w:cstheme="minorBidi"/>
          <w:noProof/>
          <w:sz w:val="22"/>
          <w:szCs w:val="22"/>
          <w:lang w:eastAsia="zh-CN"/>
        </w:rPr>
        <w:tab/>
      </w:r>
      <w:r>
        <w:rPr>
          <w:noProof/>
        </w:rPr>
        <w:t>Estimated cost to comply with LHGD Silver: townhouse</w:t>
      </w:r>
      <w:r>
        <w:rPr>
          <w:noProof/>
        </w:rPr>
        <w:tab/>
      </w:r>
      <w:r>
        <w:rPr>
          <w:noProof/>
        </w:rPr>
        <w:fldChar w:fldCharType="begin"/>
      </w:r>
      <w:r>
        <w:rPr>
          <w:noProof/>
        </w:rPr>
        <w:instrText xml:space="preserve"> PAGEREF _Toc45654239 \h </w:instrText>
      </w:r>
      <w:r>
        <w:rPr>
          <w:noProof/>
        </w:rPr>
      </w:r>
      <w:r>
        <w:rPr>
          <w:noProof/>
        </w:rPr>
        <w:fldChar w:fldCharType="separate"/>
      </w:r>
      <w:r>
        <w:rPr>
          <w:noProof/>
        </w:rPr>
        <w:t>181</w:t>
      </w:r>
      <w:r>
        <w:rPr>
          <w:noProof/>
        </w:rPr>
        <w:fldChar w:fldCharType="end"/>
      </w:r>
    </w:p>
    <w:p w:rsidR="009F1D80" w:rsidRDefault="009F1D80">
      <w:pPr>
        <w:pStyle w:val="TableofFigures"/>
        <w:rPr>
          <w:rFonts w:eastAsiaTheme="minorEastAsia" w:cstheme="minorBidi"/>
          <w:noProof/>
          <w:sz w:val="22"/>
          <w:szCs w:val="22"/>
          <w:lang w:eastAsia="zh-CN"/>
        </w:rPr>
      </w:pPr>
      <w:r>
        <w:rPr>
          <w:noProof/>
        </w:rPr>
        <w:t>I.2</w:t>
      </w:r>
      <w:r>
        <w:rPr>
          <w:rFonts w:eastAsiaTheme="minorEastAsia" w:cstheme="minorBidi"/>
          <w:noProof/>
          <w:sz w:val="22"/>
          <w:szCs w:val="22"/>
          <w:lang w:eastAsia="zh-CN"/>
        </w:rPr>
        <w:tab/>
      </w:r>
      <w:r>
        <w:rPr>
          <w:noProof/>
        </w:rPr>
        <w:t>Estimated cost to comply with LHDG Gold: Townhouse</w:t>
      </w:r>
      <w:r>
        <w:rPr>
          <w:noProof/>
        </w:rPr>
        <w:tab/>
      </w:r>
      <w:r>
        <w:rPr>
          <w:noProof/>
        </w:rPr>
        <w:fldChar w:fldCharType="begin"/>
      </w:r>
      <w:r>
        <w:rPr>
          <w:noProof/>
        </w:rPr>
        <w:instrText xml:space="preserve"> PAGEREF _Toc45654240 \h </w:instrText>
      </w:r>
      <w:r>
        <w:rPr>
          <w:noProof/>
        </w:rPr>
      </w:r>
      <w:r>
        <w:rPr>
          <w:noProof/>
        </w:rPr>
        <w:fldChar w:fldCharType="separate"/>
      </w:r>
      <w:r>
        <w:rPr>
          <w:noProof/>
        </w:rPr>
        <w:t>181</w:t>
      </w:r>
      <w:r>
        <w:rPr>
          <w:noProof/>
        </w:rPr>
        <w:fldChar w:fldCharType="end"/>
      </w:r>
    </w:p>
    <w:p w:rsidR="009F1D80" w:rsidRDefault="009F1D80">
      <w:pPr>
        <w:pStyle w:val="TableofFigures"/>
        <w:rPr>
          <w:rFonts w:eastAsiaTheme="minorEastAsia" w:cstheme="minorBidi"/>
          <w:noProof/>
          <w:sz w:val="22"/>
          <w:szCs w:val="22"/>
          <w:lang w:eastAsia="zh-CN"/>
        </w:rPr>
      </w:pPr>
      <w:r>
        <w:rPr>
          <w:noProof/>
        </w:rPr>
        <w:t>I.3</w:t>
      </w:r>
      <w:r>
        <w:rPr>
          <w:rFonts w:eastAsiaTheme="minorEastAsia" w:cstheme="minorBidi"/>
          <w:noProof/>
          <w:sz w:val="22"/>
          <w:szCs w:val="22"/>
          <w:lang w:eastAsia="zh-CN"/>
        </w:rPr>
        <w:tab/>
      </w:r>
      <w:r>
        <w:rPr>
          <w:noProof/>
        </w:rPr>
        <w:t>Estimated cost to comply with LHDG standards: Townhouse</w:t>
      </w:r>
      <w:r>
        <w:rPr>
          <w:noProof/>
        </w:rPr>
        <w:tab/>
      </w:r>
      <w:r>
        <w:rPr>
          <w:noProof/>
        </w:rPr>
        <w:fldChar w:fldCharType="begin"/>
      </w:r>
      <w:r>
        <w:rPr>
          <w:noProof/>
        </w:rPr>
        <w:instrText xml:space="preserve"> PAGEREF _Toc45654241 \h </w:instrText>
      </w:r>
      <w:r>
        <w:rPr>
          <w:noProof/>
        </w:rPr>
      </w:r>
      <w:r>
        <w:rPr>
          <w:noProof/>
        </w:rPr>
        <w:fldChar w:fldCharType="separate"/>
      </w:r>
      <w:r>
        <w:rPr>
          <w:noProof/>
        </w:rPr>
        <w:t>183</w:t>
      </w:r>
      <w:r>
        <w:rPr>
          <w:noProof/>
        </w:rPr>
        <w:fldChar w:fldCharType="end"/>
      </w:r>
    </w:p>
    <w:p w:rsidR="009F1D80" w:rsidRDefault="009F1D80">
      <w:pPr>
        <w:pStyle w:val="TableofFigures"/>
        <w:rPr>
          <w:rFonts w:eastAsiaTheme="minorEastAsia" w:cstheme="minorBidi"/>
          <w:noProof/>
          <w:sz w:val="22"/>
          <w:szCs w:val="22"/>
          <w:lang w:eastAsia="zh-CN"/>
        </w:rPr>
      </w:pPr>
      <w:r>
        <w:rPr>
          <w:noProof/>
        </w:rPr>
        <w:t>I.4</w:t>
      </w:r>
      <w:r>
        <w:rPr>
          <w:rFonts w:eastAsiaTheme="minorEastAsia" w:cstheme="minorBidi"/>
          <w:noProof/>
          <w:sz w:val="22"/>
          <w:szCs w:val="22"/>
          <w:lang w:eastAsia="zh-CN"/>
        </w:rPr>
        <w:tab/>
      </w:r>
      <w:r>
        <w:rPr>
          <w:noProof/>
        </w:rPr>
        <w:t>Estimated cost to comply with LHDG standards: Volume home</w:t>
      </w:r>
      <w:r>
        <w:rPr>
          <w:noProof/>
        </w:rPr>
        <w:tab/>
      </w:r>
      <w:r>
        <w:rPr>
          <w:noProof/>
        </w:rPr>
        <w:fldChar w:fldCharType="begin"/>
      </w:r>
      <w:r>
        <w:rPr>
          <w:noProof/>
        </w:rPr>
        <w:instrText xml:space="preserve"> PAGEREF _Toc45654242 \h </w:instrText>
      </w:r>
      <w:r>
        <w:rPr>
          <w:noProof/>
        </w:rPr>
      </w:r>
      <w:r>
        <w:rPr>
          <w:noProof/>
        </w:rPr>
        <w:fldChar w:fldCharType="separate"/>
      </w:r>
      <w:r>
        <w:rPr>
          <w:noProof/>
        </w:rPr>
        <w:t>183</w:t>
      </w:r>
      <w:r>
        <w:rPr>
          <w:noProof/>
        </w:rPr>
        <w:fldChar w:fldCharType="end"/>
      </w:r>
    </w:p>
    <w:p w:rsidR="009F1D80" w:rsidRDefault="009F1D80">
      <w:pPr>
        <w:pStyle w:val="TableofFigures"/>
        <w:rPr>
          <w:rFonts w:eastAsiaTheme="minorEastAsia" w:cstheme="minorBidi"/>
          <w:noProof/>
          <w:sz w:val="22"/>
          <w:szCs w:val="22"/>
          <w:lang w:eastAsia="zh-CN"/>
        </w:rPr>
      </w:pPr>
      <w:r>
        <w:rPr>
          <w:noProof/>
        </w:rPr>
        <w:t>I.5</w:t>
      </w:r>
      <w:r>
        <w:rPr>
          <w:rFonts w:eastAsiaTheme="minorEastAsia" w:cstheme="minorBidi"/>
          <w:noProof/>
          <w:sz w:val="22"/>
          <w:szCs w:val="22"/>
          <w:lang w:eastAsia="zh-CN"/>
        </w:rPr>
        <w:tab/>
      </w:r>
      <w:r>
        <w:rPr>
          <w:noProof/>
        </w:rPr>
        <w:t>Estimated cost to comply with LHDG standards: Custom home</w:t>
      </w:r>
      <w:r>
        <w:rPr>
          <w:noProof/>
        </w:rPr>
        <w:tab/>
      </w:r>
      <w:r>
        <w:rPr>
          <w:noProof/>
        </w:rPr>
        <w:fldChar w:fldCharType="begin"/>
      </w:r>
      <w:r>
        <w:rPr>
          <w:noProof/>
        </w:rPr>
        <w:instrText xml:space="preserve"> PAGEREF _Toc45654243 \h </w:instrText>
      </w:r>
      <w:r>
        <w:rPr>
          <w:noProof/>
        </w:rPr>
      </w:r>
      <w:r>
        <w:rPr>
          <w:noProof/>
        </w:rPr>
        <w:fldChar w:fldCharType="separate"/>
      </w:r>
      <w:r>
        <w:rPr>
          <w:noProof/>
        </w:rPr>
        <w:t>184</w:t>
      </w:r>
      <w:r>
        <w:rPr>
          <w:noProof/>
        </w:rPr>
        <w:fldChar w:fldCharType="end"/>
      </w:r>
    </w:p>
    <w:p w:rsidR="009F1D80" w:rsidRDefault="009F1D80">
      <w:pPr>
        <w:pStyle w:val="TableofFigures"/>
        <w:rPr>
          <w:rFonts w:eastAsiaTheme="minorEastAsia" w:cstheme="minorBidi"/>
          <w:noProof/>
          <w:sz w:val="22"/>
          <w:szCs w:val="22"/>
          <w:lang w:eastAsia="zh-CN"/>
        </w:rPr>
      </w:pPr>
      <w:r>
        <w:rPr>
          <w:noProof/>
        </w:rPr>
        <w:t>I.6</w:t>
      </w:r>
      <w:r>
        <w:rPr>
          <w:rFonts w:eastAsiaTheme="minorEastAsia" w:cstheme="minorBidi"/>
          <w:noProof/>
          <w:sz w:val="22"/>
          <w:szCs w:val="22"/>
          <w:lang w:eastAsia="zh-CN"/>
        </w:rPr>
        <w:tab/>
      </w:r>
      <w:r>
        <w:rPr>
          <w:noProof/>
        </w:rPr>
        <w:t>Estimated cost to comply with LHDG standards: Walk-up apartment</w:t>
      </w:r>
      <w:r>
        <w:rPr>
          <w:noProof/>
        </w:rPr>
        <w:tab/>
      </w:r>
      <w:r>
        <w:rPr>
          <w:noProof/>
        </w:rPr>
        <w:fldChar w:fldCharType="begin"/>
      </w:r>
      <w:r>
        <w:rPr>
          <w:noProof/>
        </w:rPr>
        <w:instrText xml:space="preserve"> PAGEREF _Toc45654244 \h </w:instrText>
      </w:r>
      <w:r>
        <w:rPr>
          <w:noProof/>
        </w:rPr>
      </w:r>
      <w:r>
        <w:rPr>
          <w:noProof/>
        </w:rPr>
        <w:fldChar w:fldCharType="separate"/>
      </w:r>
      <w:r>
        <w:rPr>
          <w:noProof/>
        </w:rPr>
        <w:t>184</w:t>
      </w:r>
      <w:r>
        <w:rPr>
          <w:noProof/>
        </w:rPr>
        <w:fldChar w:fldCharType="end"/>
      </w:r>
    </w:p>
    <w:p w:rsidR="009F1D80" w:rsidRDefault="009F1D80">
      <w:pPr>
        <w:pStyle w:val="TableofFigures"/>
        <w:rPr>
          <w:rFonts w:eastAsiaTheme="minorEastAsia" w:cstheme="minorBidi"/>
          <w:noProof/>
          <w:sz w:val="22"/>
          <w:szCs w:val="22"/>
          <w:lang w:eastAsia="zh-CN"/>
        </w:rPr>
      </w:pPr>
      <w:r>
        <w:rPr>
          <w:noProof/>
        </w:rPr>
        <w:t>I.7</w:t>
      </w:r>
      <w:r>
        <w:rPr>
          <w:rFonts w:eastAsiaTheme="minorEastAsia" w:cstheme="minorBidi"/>
          <w:noProof/>
          <w:sz w:val="22"/>
          <w:szCs w:val="22"/>
          <w:lang w:eastAsia="zh-CN"/>
        </w:rPr>
        <w:tab/>
      </w:r>
      <w:r>
        <w:rPr>
          <w:noProof/>
        </w:rPr>
        <w:t>Estimated cost to comply with LHDG standards: Apartment building with 4 or more storeys</w:t>
      </w:r>
      <w:r>
        <w:rPr>
          <w:noProof/>
        </w:rPr>
        <w:tab/>
      </w:r>
      <w:r>
        <w:rPr>
          <w:noProof/>
        </w:rPr>
        <w:fldChar w:fldCharType="begin"/>
      </w:r>
      <w:r>
        <w:rPr>
          <w:noProof/>
        </w:rPr>
        <w:instrText xml:space="preserve"> PAGEREF _Toc45654245 \h </w:instrText>
      </w:r>
      <w:r>
        <w:rPr>
          <w:noProof/>
        </w:rPr>
      </w:r>
      <w:r>
        <w:rPr>
          <w:noProof/>
        </w:rPr>
        <w:fldChar w:fldCharType="separate"/>
      </w:r>
      <w:r>
        <w:rPr>
          <w:noProof/>
        </w:rPr>
        <w:t>185</w:t>
      </w:r>
      <w:r>
        <w:rPr>
          <w:noProof/>
        </w:rPr>
        <w:fldChar w:fldCharType="end"/>
      </w:r>
    </w:p>
    <w:p w:rsidR="009F1D80" w:rsidRDefault="009F1D80">
      <w:pPr>
        <w:pStyle w:val="TableofFigures"/>
        <w:rPr>
          <w:rFonts w:eastAsiaTheme="minorEastAsia" w:cstheme="minorBidi"/>
          <w:noProof/>
          <w:sz w:val="22"/>
          <w:szCs w:val="22"/>
          <w:lang w:eastAsia="zh-CN"/>
        </w:rPr>
      </w:pPr>
      <w:r>
        <w:rPr>
          <w:noProof/>
        </w:rPr>
        <w:t>J.1</w:t>
      </w:r>
      <w:r>
        <w:rPr>
          <w:rFonts w:eastAsiaTheme="minorEastAsia" w:cstheme="minorBidi"/>
          <w:noProof/>
          <w:sz w:val="22"/>
          <w:szCs w:val="22"/>
          <w:lang w:eastAsia="zh-CN"/>
        </w:rPr>
        <w:tab/>
      </w:r>
      <w:r>
        <w:rPr>
          <w:noProof/>
        </w:rPr>
        <w:t xml:space="preserve"> Potential impact of LHDG standards on the space of new dwellings</w:t>
      </w:r>
      <w:r>
        <w:rPr>
          <w:noProof/>
        </w:rPr>
        <w:tab/>
      </w:r>
      <w:r>
        <w:rPr>
          <w:noProof/>
        </w:rPr>
        <w:fldChar w:fldCharType="begin"/>
      </w:r>
      <w:r>
        <w:rPr>
          <w:noProof/>
        </w:rPr>
        <w:instrText xml:space="preserve"> PAGEREF _Toc45654246 \h </w:instrText>
      </w:r>
      <w:r>
        <w:rPr>
          <w:noProof/>
        </w:rPr>
      </w:r>
      <w:r>
        <w:rPr>
          <w:noProof/>
        </w:rPr>
        <w:fldChar w:fldCharType="separate"/>
      </w:r>
      <w:r>
        <w:rPr>
          <w:noProof/>
        </w:rPr>
        <w:t>187</w:t>
      </w:r>
      <w:r>
        <w:rPr>
          <w:noProof/>
        </w:rPr>
        <w:fldChar w:fldCharType="end"/>
      </w:r>
    </w:p>
    <w:p w:rsidR="009F1D80" w:rsidRDefault="009F1D80">
      <w:pPr>
        <w:pStyle w:val="TableofFigures"/>
        <w:rPr>
          <w:rFonts w:eastAsiaTheme="minorEastAsia" w:cstheme="minorBidi"/>
          <w:noProof/>
          <w:sz w:val="22"/>
          <w:szCs w:val="22"/>
          <w:lang w:eastAsia="zh-CN"/>
        </w:rPr>
      </w:pPr>
      <w:r>
        <w:rPr>
          <w:noProof/>
        </w:rPr>
        <w:t>J.2</w:t>
      </w:r>
      <w:r>
        <w:rPr>
          <w:rFonts w:eastAsiaTheme="minorEastAsia" w:cstheme="minorBidi"/>
          <w:noProof/>
          <w:sz w:val="22"/>
          <w:szCs w:val="22"/>
          <w:lang w:eastAsia="zh-CN"/>
        </w:rPr>
        <w:tab/>
      </w:r>
      <w:r>
        <w:rPr>
          <w:noProof/>
        </w:rPr>
        <w:t>Total impact of Silver standard on space of volume build detached houses</w:t>
      </w:r>
      <w:r>
        <w:rPr>
          <w:noProof/>
        </w:rPr>
        <w:tab/>
      </w:r>
      <w:r>
        <w:rPr>
          <w:noProof/>
        </w:rPr>
        <w:fldChar w:fldCharType="begin"/>
      </w:r>
      <w:r>
        <w:rPr>
          <w:noProof/>
        </w:rPr>
        <w:instrText xml:space="preserve"> PAGEREF _Toc45654247 \h </w:instrText>
      </w:r>
      <w:r>
        <w:rPr>
          <w:noProof/>
        </w:rPr>
      </w:r>
      <w:r>
        <w:rPr>
          <w:noProof/>
        </w:rPr>
        <w:fldChar w:fldCharType="separate"/>
      </w:r>
      <w:r>
        <w:rPr>
          <w:noProof/>
        </w:rPr>
        <w:t>188</w:t>
      </w:r>
      <w:r>
        <w:rPr>
          <w:noProof/>
        </w:rPr>
        <w:fldChar w:fldCharType="end"/>
      </w:r>
    </w:p>
    <w:p w:rsidR="009F1D80" w:rsidRDefault="009F1D80">
      <w:pPr>
        <w:pStyle w:val="TableofFigures"/>
        <w:rPr>
          <w:rFonts w:eastAsiaTheme="minorEastAsia" w:cstheme="minorBidi"/>
          <w:noProof/>
          <w:sz w:val="22"/>
          <w:szCs w:val="22"/>
          <w:lang w:eastAsia="zh-CN"/>
        </w:rPr>
      </w:pPr>
      <w:r>
        <w:rPr>
          <w:noProof/>
        </w:rPr>
        <w:t>J.3</w:t>
      </w:r>
      <w:r>
        <w:rPr>
          <w:rFonts w:eastAsiaTheme="minorEastAsia" w:cstheme="minorBidi"/>
          <w:noProof/>
          <w:sz w:val="22"/>
          <w:szCs w:val="22"/>
          <w:lang w:eastAsia="zh-CN"/>
        </w:rPr>
        <w:tab/>
      </w:r>
      <w:r>
        <w:rPr>
          <w:noProof/>
        </w:rPr>
        <w:t>Total impact of Gold standard on space of volume build detached houses</w:t>
      </w:r>
      <w:r>
        <w:rPr>
          <w:noProof/>
        </w:rPr>
        <w:tab/>
      </w:r>
      <w:r>
        <w:rPr>
          <w:noProof/>
        </w:rPr>
        <w:fldChar w:fldCharType="begin"/>
      </w:r>
      <w:r>
        <w:rPr>
          <w:noProof/>
        </w:rPr>
        <w:instrText xml:space="preserve"> PAGEREF _Toc45654248 \h </w:instrText>
      </w:r>
      <w:r>
        <w:rPr>
          <w:noProof/>
        </w:rPr>
      </w:r>
      <w:r>
        <w:rPr>
          <w:noProof/>
        </w:rPr>
        <w:fldChar w:fldCharType="separate"/>
      </w:r>
      <w:r>
        <w:rPr>
          <w:noProof/>
        </w:rPr>
        <w:t>188</w:t>
      </w:r>
      <w:r>
        <w:rPr>
          <w:noProof/>
        </w:rPr>
        <w:fldChar w:fldCharType="end"/>
      </w:r>
    </w:p>
    <w:p w:rsidR="009F1D80" w:rsidRDefault="009F1D80">
      <w:pPr>
        <w:pStyle w:val="TableofFigures"/>
        <w:rPr>
          <w:rFonts w:eastAsiaTheme="minorEastAsia" w:cstheme="minorBidi"/>
          <w:noProof/>
          <w:sz w:val="22"/>
          <w:szCs w:val="22"/>
          <w:lang w:eastAsia="zh-CN"/>
        </w:rPr>
      </w:pPr>
      <w:r>
        <w:rPr>
          <w:noProof/>
        </w:rPr>
        <w:t>J.4</w:t>
      </w:r>
      <w:r>
        <w:rPr>
          <w:rFonts w:eastAsiaTheme="minorEastAsia" w:cstheme="minorBidi"/>
          <w:noProof/>
          <w:sz w:val="22"/>
          <w:szCs w:val="22"/>
          <w:lang w:eastAsia="zh-CN"/>
        </w:rPr>
        <w:tab/>
      </w:r>
      <w:r>
        <w:rPr>
          <w:noProof/>
        </w:rPr>
        <w:t>Total impact of Gold+ standard on space of volume build detached houses</w:t>
      </w:r>
      <w:r>
        <w:rPr>
          <w:noProof/>
        </w:rPr>
        <w:tab/>
      </w:r>
      <w:r>
        <w:rPr>
          <w:noProof/>
        </w:rPr>
        <w:fldChar w:fldCharType="begin"/>
      </w:r>
      <w:r>
        <w:rPr>
          <w:noProof/>
        </w:rPr>
        <w:instrText xml:space="preserve"> PAGEREF _Toc45654249 \h </w:instrText>
      </w:r>
      <w:r>
        <w:rPr>
          <w:noProof/>
        </w:rPr>
      </w:r>
      <w:r>
        <w:rPr>
          <w:noProof/>
        </w:rPr>
        <w:fldChar w:fldCharType="separate"/>
      </w:r>
      <w:r>
        <w:rPr>
          <w:noProof/>
        </w:rPr>
        <w:t>189</w:t>
      </w:r>
      <w:r>
        <w:rPr>
          <w:noProof/>
        </w:rPr>
        <w:fldChar w:fldCharType="end"/>
      </w:r>
    </w:p>
    <w:p w:rsidR="009F1D80" w:rsidRDefault="009F1D80">
      <w:pPr>
        <w:pStyle w:val="TableofFigures"/>
        <w:rPr>
          <w:rFonts w:eastAsiaTheme="minorEastAsia" w:cstheme="minorBidi"/>
          <w:noProof/>
          <w:sz w:val="22"/>
          <w:szCs w:val="22"/>
          <w:lang w:eastAsia="zh-CN"/>
        </w:rPr>
      </w:pPr>
      <w:r>
        <w:rPr>
          <w:noProof/>
        </w:rPr>
        <w:t>J.5</w:t>
      </w:r>
      <w:r>
        <w:rPr>
          <w:rFonts w:eastAsiaTheme="minorEastAsia" w:cstheme="minorBidi"/>
          <w:noProof/>
          <w:sz w:val="22"/>
          <w:szCs w:val="22"/>
          <w:lang w:eastAsia="zh-CN"/>
        </w:rPr>
        <w:tab/>
      </w:r>
      <w:r>
        <w:rPr>
          <w:noProof/>
        </w:rPr>
        <w:t>Total impact of Silver standard on space of custom build detached houses</w:t>
      </w:r>
      <w:r>
        <w:rPr>
          <w:noProof/>
        </w:rPr>
        <w:tab/>
      </w:r>
      <w:r>
        <w:rPr>
          <w:noProof/>
        </w:rPr>
        <w:fldChar w:fldCharType="begin"/>
      </w:r>
      <w:r>
        <w:rPr>
          <w:noProof/>
        </w:rPr>
        <w:instrText xml:space="preserve"> PAGEREF _Toc45654250 \h </w:instrText>
      </w:r>
      <w:r>
        <w:rPr>
          <w:noProof/>
        </w:rPr>
      </w:r>
      <w:r>
        <w:rPr>
          <w:noProof/>
        </w:rPr>
        <w:fldChar w:fldCharType="separate"/>
      </w:r>
      <w:r>
        <w:rPr>
          <w:noProof/>
        </w:rPr>
        <w:t>190</w:t>
      </w:r>
      <w:r>
        <w:rPr>
          <w:noProof/>
        </w:rPr>
        <w:fldChar w:fldCharType="end"/>
      </w:r>
    </w:p>
    <w:p w:rsidR="009F1D80" w:rsidRDefault="009F1D80">
      <w:pPr>
        <w:pStyle w:val="TableofFigures"/>
        <w:rPr>
          <w:rFonts w:eastAsiaTheme="minorEastAsia" w:cstheme="minorBidi"/>
          <w:noProof/>
          <w:sz w:val="22"/>
          <w:szCs w:val="22"/>
          <w:lang w:eastAsia="zh-CN"/>
        </w:rPr>
      </w:pPr>
      <w:r>
        <w:rPr>
          <w:noProof/>
        </w:rPr>
        <w:t>J.6</w:t>
      </w:r>
      <w:r>
        <w:rPr>
          <w:rFonts w:eastAsiaTheme="minorEastAsia" w:cstheme="minorBidi"/>
          <w:noProof/>
          <w:sz w:val="22"/>
          <w:szCs w:val="22"/>
          <w:lang w:eastAsia="zh-CN"/>
        </w:rPr>
        <w:tab/>
      </w:r>
      <w:r>
        <w:rPr>
          <w:noProof/>
        </w:rPr>
        <w:t>Total impact of Gold standard on space of custom build detached houses</w:t>
      </w:r>
      <w:r>
        <w:rPr>
          <w:noProof/>
        </w:rPr>
        <w:tab/>
      </w:r>
      <w:r>
        <w:rPr>
          <w:noProof/>
        </w:rPr>
        <w:fldChar w:fldCharType="begin"/>
      </w:r>
      <w:r>
        <w:rPr>
          <w:noProof/>
        </w:rPr>
        <w:instrText xml:space="preserve"> PAGEREF _Toc45654251 \h </w:instrText>
      </w:r>
      <w:r>
        <w:rPr>
          <w:noProof/>
        </w:rPr>
      </w:r>
      <w:r>
        <w:rPr>
          <w:noProof/>
        </w:rPr>
        <w:fldChar w:fldCharType="separate"/>
      </w:r>
      <w:r>
        <w:rPr>
          <w:noProof/>
        </w:rPr>
        <w:t>190</w:t>
      </w:r>
      <w:r>
        <w:rPr>
          <w:noProof/>
        </w:rPr>
        <w:fldChar w:fldCharType="end"/>
      </w:r>
    </w:p>
    <w:p w:rsidR="009F1D80" w:rsidRDefault="009F1D80">
      <w:pPr>
        <w:pStyle w:val="TableofFigures"/>
        <w:rPr>
          <w:rFonts w:eastAsiaTheme="minorEastAsia" w:cstheme="minorBidi"/>
          <w:noProof/>
          <w:sz w:val="22"/>
          <w:szCs w:val="22"/>
          <w:lang w:eastAsia="zh-CN"/>
        </w:rPr>
      </w:pPr>
      <w:r>
        <w:rPr>
          <w:noProof/>
        </w:rPr>
        <w:lastRenderedPageBreak/>
        <w:t>J.7</w:t>
      </w:r>
      <w:r>
        <w:rPr>
          <w:rFonts w:eastAsiaTheme="minorEastAsia" w:cstheme="minorBidi"/>
          <w:noProof/>
          <w:sz w:val="22"/>
          <w:szCs w:val="22"/>
          <w:lang w:eastAsia="zh-CN"/>
        </w:rPr>
        <w:tab/>
      </w:r>
      <w:r>
        <w:rPr>
          <w:noProof/>
        </w:rPr>
        <w:t>Total impact of Gold+ standard on space of custom build detached houses</w:t>
      </w:r>
      <w:r>
        <w:rPr>
          <w:noProof/>
        </w:rPr>
        <w:tab/>
      </w:r>
      <w:r>
        <w:rPr>
          <w:noProof/>
        </w:rPr>
        <w:fldChar w:fldCharType="begin"/>
      </w:r>
      <w:r>
        <w:rPr>
          <w:noProof/>
        </w:rPr>
        <w:instrText xml:space="preserve"> PAGEREF _Toc45654252 \h </w:instrText>
      </w:r>
      <w:r>
        <w:rPr>
          <w:noProof/>
        </w:rPr>
      </w:r>
      <w:r>
        <w:rPr>
          <w:noProof/>
        </w:rPr>
        <w:fldChar w:fldCharType="separate"/>
      </w:r>
      <w:r>
        <w:rPr>
          <w:noProof/>
        </w:rPr>
        <w:t>191</w:t>
      </w:r>
      <w:r>
        <w:rPr>
          <w:noProof/>
        </w:rPr>
        <w:fldChar w:fldCharType="end"/>
      </w:r>
    </w:p>
    <w:p w:rsidR="009F1D80" w:rsidRDefault="009F1D80">
      <w:pPr>
        <w:pStyle w:val="TableofFigures"/>
        <w:rPr>
          <w:rFonts w:eastAsiaTheme="minorEastAsia" w:cstheme="minorBidi"/>
          <w:noProof/>
          <w:sz w:val="22"/>
          <w:szCs w:val="22"/>
          <w:lang w:eastAsia="zh-CN"/>
        </w:rPr>
      </w:pPr>
      <w:r>
        <w:rPr>
          <w:noProof/>
        </w:rPr>
        <w:t>J.8</w:t>
      </w:r>
      <w:r>
        <w:rPr>
          <w:rFonts w:eastAsiaTheme="minorEastAsia" w:cstheme="minorBidi"/>
          <w:noProof/>
          <w:sz w:val="22"/>
          <w:szCs w:val="22"/>
          <w:lang w:eastAsia="zh-CN"/>
        </w:rPr>
        <w:tab/>
      </w:r>
      <w:r>
        <w:rPr>
          <w:noProof/>
        </w:rPr>
        <w:t>Total impact of Silver standard on space of townhouses</w:t>
      </w:r>
      <w:r>
        <w:rPr>
          <w:noProof/>
        </w:rPr>
        <w:tab/>
      </w:r>
      <w:r>
        <w:rPr>
          <w:noProof/>
        </w:rPr>
        <w:fldChar w:fldCharType="begin"/>
      </w:r>
      <w:r>
        <w:rPr>
          <w:noProof/>
        </w:rPr>
        <w:instrText xml:space="preserve"> PAGEREF _Toc45654253 \h </w:instrText>
      </w:r>
      <w:r>
        <w:rPr>
          <w:noProof/>
        </w:rPr>
      </w:r>
      <w:r>
        <w:rPr>
          <w:noProof/>
        </w:rPr>
        <w:fldChar w:fldCharType="separate"/>
      </w:r>
      <w:r>
        <w:rPr>
          <w:noProof/>
        </w:rPr>
        <w:t>191</w:t>
      </w:r>
      <w:r>
        <w:rPr>
          <w:noProof/>
        </w:rPr>
        <w:fldChar w:fldCharType="end"/>
      </w:r>
    </w:p>
    <w:p w:rsidR="009F1D80" w:rsidRDefault="009F1D80">
      <w:pPr>
        <w:pStyle w:val="TableofFigures"/>
        <w:rPr>
          <w:rFonts w:eastAsiaTheme="minorEastAsia" w:cstheme="minorBidi"/>
          <w:noProof/>
          <w:sz w:val="22"/>
          <w:szCs w:val="22"/>
          <w:lang w:eastAsia="zh-CN"/>
        </w:rPr>
      </w:pPr>
      <w:r>
        <w:rPr>
          <w:noProof/>
        </w:rPr>
        <w:t>J.9</w:t>
      </w:r>
      <w:r>
        <w:rPr>
          <w:rFonts w:eastAsiaTheme="minorEastAsia" w:cstheme="minorBidi"/>
          <w:noProof/>
          <w:sz w:val="22"/>
          <w:szCs w:val="22"/>
          <w:lang w:eastAsia="zh-CN"/>
        </w:rPr>
        <w:tab/>
      </w:r>
      <w:r>
        <w:rPr>
          <w:noProof/>
        </w:rPr>
        <w:t>Total impact of Gold standard on space of townhouses</w:t>
      </w:r>
      <w:r>
        <w:rPr>
          <w:noProof/>
        </w:rPr>
        <w:tab/>
      </w:r>
      <w:r>
        <w:rPr>
          <w:noProof/>
        </w:rPr>
        <w:fldChar w:fldCharType="begin"/>
      </w:r>
      <w:r>
        <w:rPr>
          <w:noProof/>
        </w:rPr>
        <w:instrText xml:space="preserve"> PAGEREF _Toc45654254 \h </w:instrText>
      </w:r>
      <w:r>
        <w:rPr>
          <w:noProof/>
        </w:rPr>
      </w:r>
      <w:r>
        <w:rPr>
          <w:noProof/>
        </w:rPr>
        <w:fldChar w:fldCharType="separate"/>
      </w:r>
      <w:r>
        <w:rPr>
          <w:noProof/>
        </w:rPr>
        <w:t>192</w:t>
      </w:r>
      <w:r>
        <w:rPr>
          <w:noProof/>
        </w:rPr>
        <w:fldChar w:fldCharType="end"/>
      </w:r>
    </w:p>
    <w:p w:rsidR="009F1D80" w:rsidRDefault="009F1D80">
      <w:pPr>
        <w:pStyle w:val="TableofFigures"/>
        <w:rPr>
          <w:rFonts w:eastAsiaTheme="minorEastAsia" w:cstheme="minorBidi"/>
          <w:noProof/>
          <w:sz w:val="22"/>
          <w:szCs w:val="22"/>
          <w:lang w:eastAsia="zh-CN"/>
        </w:rPr>
      </w:pPr>
      <w:r>
        <w:rPr>
          <w:noProof/>
        </w:rPr>
        <w:t>J.10</w:t>
      </w:r>
      <w:r>
        <w:rPr>
          <w:rFonts w:eastAsiaTheme="minorEastAsia" w:cstheme="minorBidi"/>
          <w:noProof/>
          <w:sz w:val="22"/>
          <w:szCs w:val="22"/>
          <w:lang w:eastAsia="zh-CN"/>
        </w:rPr>
        <w:tab/>
      </w:r>
      <w:r>
        <w:rPr>
          <w:noProof/>
        </w:rPr>
        <w:t>Total impact of Gold+ standard on space of townhouses</w:t>
      </w:r>
      <w:r>
        <w:rPr>
          <w:noProof/>
        </w:rPr>
        <w:tab/>
      </w:r>
      <w:r>
        <w:rPr>
          <w:noProof/>
        </w:rPr>
        <w:fldChar w:fldCharType="begin"/>
      </w:r>
      <w:r>
        <w:rPr>
          <w:noProof/>
        </w:rPr>
        <w:instrText xml:space="preserve"> PAGEREF _Toc45654255 \h </w:instrText>
      </w:r>
      <w:r>
        <w:rPr>
          <w:noProof/>
        </w:rPr>
      </w:r>
      <w:r>
        <w:rPr>
          <w:noProof/>
        </w:rPr>
        <w:fldChar w:fldCharType="separate"/>
      </w:r>
      <w:r>
        <w:rPr>
          <w:noProof/>
        </w:rPr>
        <w:t>193</w:t>
      </w:r>
      <w:r>
        <w:rPr>
          <w:noProof/>
        </w:rPr>
        <w:fldChar w:fldCharType="end"/>
      </w:r>
    </w:p>
    <w:p w:rsidR="009F1D80" w:rsidRDefault="009F1D80">
      <w:pPr>
        <w:pStyle w:val="TableofFigures"/>
        <w:rPr>
          <w:rFonts w:eastAsiaTheme="minorEastAsia" w:cstheme="minorBidi"/>
          <w:noProof/>
          <w:sz w:val="22"/>
          <w:szCs w:val="22"/>
          <w:lang w:eastAsia="zh-CN"/>
        </w:rPr>
      </w:pPr>
      <w:r>
        <w:rPr>
          <w:noProof/>
        </w:rPr>
        <w:t>J.11</w:t>
      </w:r>
      <w:r>
        <w:rPr>
          <w:rFonts w:eastAsiaTheme="minorEastAsia" w:cstheme="minorBidi"/>
          <w:noProof/>
          <w:sz w:val="22"/>
          <w:szCs w:val="22"/>
          <w:lang w:eastAsia="zh-CN"/>
        </w:rPr>
        <w:tab/>
      </w:r>
      <w:r>
        <w:rPr>
          <w:noProof/>
        </w:rPr>
        <w:t>Total impact of Silver standard on space of apartments in walk-up blocks</w:t>
      </w:r>
      <w:r>
        <w:rPr>
          <w:noProof/>
        </w:rPr>
        <w:tab/>
      </w:r>
      <w:r>
        <w:rPr>
          <w:noProof/>
        </w:rPr>
        <w:fldChar w:fldCharType="begin"/>
      </w:r>
      <w:r>
        <w:rPr>
          <w:noProof/>
        </w:rPr>
        <w:instrText xml:space="preserve"> PAGEREF _Toc45654256 \h </w:instrText>
      </w:r>
      <w:r>
        <w:rPr>
          <w:noProof/>
        </w:rPr>
      </w:r>
      <w:r>
        <w:rPr>
          <w:noProof/>
        </w:rPr>
        <w:fldChar w:fldCharType="separate"/>
      </w:r>
      <w:r>
        <w:rPr>
          <w:noProof/>
        </w:rPr>
        <w:t>194</w:t>
      </w:r>
      <w:r>
        <w:rPr>
          <w:noProof/>
        </w:rPr>
        <w:fldChar w:fldCharType="end"/>
      </w:r>
    </w:p>
    <w:p w:rsidR="009F1D80" w:rsidRDefault="009F1D80">
      <w:pPr>
        <w:pStyle w:val="TableofFigures"/>
        <w:rPr>
          <w:rFonts w:eastAsiaTheme="minorEastAsia" w:cstheme="minorBidi"/>
          <w:noProof/>
          <w:sz w:val="22"/>
          <w:szCs w:val="22"/>
          <w:lang w:eastAsia="zh-CN"/>
        </w:rPr>
      </w:pPr>
      <w:r>
        <w:rPr>
          <w:noProof/>
        </w:rPr>
        <w:t>J.12</w:t>
      </w:r>
      <w:r>
        <w:rPr>
          <w:rFonts w:eastAsiaTheme="minorEastAsia" w:cstheme="minorBidi"/>
          <w:noProof/>
          <w:sz w:val="22"/>
          <w:szCs w:val="22"/>
          <w:lang w:eastAsia="zh-CN"/>
        </w:rPr>
        <w:tab/>
      </w:r>
      <w:r>
        <w:rPr>
          <w:noProof/>
        </w:rPr>
        <w:t>Total impact of Gold standard on space of apartments in walk-up blocks</w:t>
      </w:r>
      <w:r>
        <w:rPr>
          <w:noProof/>
        </w:rPr>
        <w:tab/>
      </w:r>
      <w:r>
        <w:rPr>
          <w:noProof/>
        </w:rPr>
        <w:fldChar w:fldCharType="begin"/>
      </w:r>
      <w:r>
        <w:rPr>
          <w:noProof/>
        </w:rPr>
        <w:instrText xml:space="preserve"> PAGEREF _Toc45654257 \h </w:instrText>
      </w:r>
      <w:r>
        <w:rPr>
          <w:noProof/>
        </w:rPr>
      </w:r>
      <w:r>
        <w:rPr>
          <w:noProof/>
        </w:rPr>
        <w:fldChar w:fldCharType="separate"/>
      </w:r>
      <w:r>
        <w:rPr>
          <w:noProof/>
        </w:rPr>
        <w:t>194</w:t>
      </w:r>
      <w:r>
        <w:rPr>
          <w:noProof/>
        </w:rPr>
        <w:fldChar w:fldCharType="end"/>
      </w:r>
    </w:p>
    <w:p w:rsidR="009F1D80" w:rsidRDefault="009F1D80">
      <w:pPr>
        <w:pStyle w:val="TableofFigures"/>
        <w:rPr>
          <w:rFonts w:eastAsiaTheme="minorEastAsia" w:cstheme="minorBidi"/>
          <w:noProof/>
          <w:sz w:val="22"/>
          <w:szCs w:val="22"/>
          <w:lang w:eastAsia="zh-CN"/>
        </w:rPr>
      </w:pPr>
      <w:r>
        <w:rPr>
          <w:noProof/>
        </w:rPr>
        <w:t>J.13</w:t>
      </w:r>
      <w:r>
        <w:rPr>
          <w:rFonts w:eastAsiaTheme="minorEastAsia" w:cstheme="minorBidi"/>
          <w:noProof/>
          <w:sz w:val="22"/>
          <w:szCs w:val="22"/>
          <w:lang w:eastAsia="zh-CN"/>
        </w:rPr>
        <w:tab/>
      </w:r>
      <w:r>
        <w:rPr>
          <w:noProof/>
        </w:rPr>
        <w:t>Total impact of Gold+ standard on space of apartments in walk-up blocks</w:t>
      </w:r>
      <w:r>
        <w:rPr>
          <w:noProof/>
        </w:rPr>
        <w:tab/>
      </w:r>
      <w:r>
        <w:rPr>
          <w:noProof/>
        </w:rPr>
        <w:fldChar w:fldCharType="begin"/>
      </w:r>
      <w:r>
        <w:rPr>
          <w:noProof/>
        </w:rPr>
        <w:instrText xml:space="preserve"> PAGEREF _Toc45654258 \h </w:instrText>
      </w:r>
      <w:r>
        <w:rPr>
          <w:noProof/>
        </w:rPr>
      </w:r>
      <w:r>
        <w:rPr>
          <w:noProof/>
        </w:rPr>
        <w:fldChar w:fldCharType="separate"/>
      </w:r>
      <w:r>
        <w:rPr>
          <w:noProof/>
        </w:rPr>
        <w:t>194</w:t>
      </w:r>
      <w:r>
        <w:rPr>
          <w:noProof/>
        </w:rPr>
        <w:fldChar w:fldCharType="end"/>
      </w:r>
    </w:p>
    <w:p w:rsidR="009F1D80" w:rsidRDefault="009F1D80">
      <w:pPr>
        <w:pStyle w:val="TableofFigures"/>
        <w:rPr>
          <w:rFonts w:eastAsiaTheme="minorEastAsia" w:cstheme="minorBidi"/>
          <w:noProof/>
          <w:sz w:val="22"/>
          <w:szCs w:val="22"/>
          <w:lang w:eastAsia="zh-CN"/>
        </w:rPr>
      </w:pPr>
      <w:r>
        <w:rPr>
          <w:noProof/>
        </w:rPr>
        <w:t>J.14</w:t>
      </w:r>
      <w:r>
        <w:rPr>
          <w:rFonts w:eastAsiaTheme="minorEastAsia" w:cstheme="minorBidi"/>
          <w:noProof/>
          <w:sz w:val="22"/>
          <w:szCs w:val="22"/>
          <w:lang w:eastAsia="zh-CN"/>
        </w:rPr>
        <w:tab/>
      </w:r>
      <w:r>
        <w:rPr>
          <w:noProof/>
        </w:rPr>
        <w:t>Total impact of Silver standard on space of apartments in lift blocks</w:t>
      </w:r>
      <w:r>
        <w:rPr>
          <w:noProof/>
        </w:rPr>
        <w:tab/>
      </w:r>
      <w:r>
        <w:rPr>
          <w:noProof/>
        </w:rPr>
        <w:fldChar w:fldCharType="begin"/>
      </w:r>
      <w:r>
        <w:rPr>
          <w:noProof/>
        </w:rPr>
        <w:instrText xml:space="preserve"> PAGEREF _Toc45654259 \h </w:instrText>
      </w:r>
      <w:r>
        <w:rPr>
          <w:noProof/>
        </w:rPr>
      </w:r>
      <w:r>
        <w:rPr>
          <w:noProof/>
        </w:rPr>
        <w:fldChar w:fldCharType="separate"/>
      </w:r>
      <w:r>
        <w:rPr>
          <w:noProof/>
        </w:rPr>
        <w:t>195</w:t>
      </w:r>
      <w:r>
        <w:rPr>
          <w:noProof/>
        </w:rPr>
        <w:fldChar w:fldCharType="end"/>
      </w:r>
    </w:p>
    <w:p w:rsidR="009F1D80" w:rsidRDefault="009F1D80">
      <w:pPr>
        <w:pStyle w:val="TableofFigures"/>
        <w:rPr>
          <w:rFonts w:eastAsiaTheme="minorEastAsia" w:cstheme="minorBidi"/>
          <w:noProof/>
          <w:sz w:val="22"/>
          <w:szCs w:val="22"/>
          <w:lang w:eastAsia="zh-CN"/>
        </w:rPr>
      </w:pPr>
      <w:r>
        <w:rPr>
          <w:noProof/>
        </w:rPr>
        <w:t>J.15</w:t>
      </w:r>
      <w:r>
        <w:rPr>
          <w:rFonts w:eastAsiaTheme="minorEastAsia" w:cstheme="minorBidi"/>
          <w:noProof/>
          <w:sz w:val="22"/>
          <w:szCs w:val="22"/>
          <w:lang w:eastAsia="zh-CN"/>
        </w:rPr>
        <w:tab/>
      </w:r>
      <w:r>
        <w:rPr>
          <w:noProof/>
        </w:rPr>
        <w:t>Total impact of Gold standard on space of apartments in lift blocks</w:t>
      </w:r>
      <w:r>
        <w:rPr>
          <w:noProof/>
        </w:rPr>
        <w:tab/>
      </w:r>
      <w:r>
        <w:rPr>
          <w:noProof/>
        </w:rPr>
        <w:fldChar w:fldCharType="begin"/>
      </w:r>
      <w:r>
        <w:rPr>
          <w:noProof/>
        </w:rPr>
        <w:instrText xml:space="preserve"> PAGEREF _Toc45654260 \h </w:instrText>
      </w:r>
      <w:r>
        <w:rPr>
          <w:noProof/>
        </w:rPr>
      </w:r>
      <w:r>
        <w:rPr>
          <w:noProof/>
        </w:rPr>
        <w:fldChar w:fldCharType="separate"/>
      </w:r>
      <w:r>
        <w:rPr>
          <w:noProof/>
        </w:rPr>
        <w:t>195</w:t>
      </w:r>
      <w:r>
        <w:rPr>
          <w:noProof/>
        </w:rPr>
        <w:fldChar w:fldCharType="end"/>
      </w:r>
    </w:p>
    <w:p w:rsidR="009F1D80" w:rsidRDefault="009F1D80">
      <w:pPr>
        <w:pStyle w:val="TableofFigures"/>
        <w:rPr>
          <w:rFonts w:eastAsiaTheme="minorEastAsia" w:cstheme="minorBidi"/>
          <w:noProof/>
          <w:sz w:val="22"/>
          <w:szCs w:val="22"/>
          <w:lang w:eastAsia="zh-CN"/>
        </w:rPr>
      </w:pPr>
      <w:r>
        <w:rPr>
          <w:noProof/>
        </w:rPr>
        <w:t>J.16</w:t>
      </w:r>
      <w:r>
        <w:rPr>
          <w:rFonts w:eastAsiaTheme="minorEastAsia" w:cstheme="minorBidi"/>
          <w:noProof/>
          <w:sz w:val="22"/>
          <w:szCs w:val="22"/>
          <w:lang w:eastAsia="zh-CN"/>
        </w:rPr>
        <w:tab/>
      </w:r>
      <w:r>
        <w:rPr>
          <w:noProof/>
        </w:rPr>
        <w:t>Total impact of Gold+ standard on space of apartments in lift blocks</w:t>
      </w:r>
      <w:r>
        <w:rPr>
          <w:noProof/>
        </w:rPr>
        <w:tab/>
      </w:r>
      <w:r>
        <w:rPr>
          <w:noProof/>
        </w:rPr>
        <w:fldChar w:fldCharType="begin"/>
      </w:r>
      <w:r>
        <w:rPr>
          <w:noProof/>
        </w:rPr>
        <w:instrText xml:space="preserve"> PAGEREF _Toc45654261 \h </w:instrText>
      </w:r>
      <w:r>
        <w:rPr>
          <w:noProof/>
        </w:rPr>
      </w:r>
      <w:r>
        <w:rPr>
          <w:noProof/>
        </w:rPr>
        <w:fldChar w:fldCharType="separate"/>
      </w:r>
      <w:r>
        <w:rPr>
          <w:noProof/>
        </w:rPr>
        <w:t>196</w:t>
      </w:r>
      <w:r>
        <w:rPr>
          <w:noProof/>
        </w:rPr>
        <w:fldChar w:fldCharType="end"/>
      </w:r>
    </w:p>
    <w:p w:rsidR="009F1D80" w:rsidRDefault="009F1D80">
      <w:pPr>
        <w:pStyle w:val="TableofFigures"/>
        <w:rPr>
          <w:rFonts w:eastAsiaTheme="minorEastAsia" w:cstheme="minorBidi"/>
          <w:noProof/>
          <w:sz w:val="22"/>
          <w:szCs w:val="22"/>
          <w:lang w:eastAsia="zh-CN"/>
        </w:rPr>
      </w:pPr>
      <w:r>
        <w:rPr>
          <w:noProof/>
        </w:rPr>
        <w:t>K.1</w:t>
      </w:r>
      <w:r>
        <w:rPr>
          <w:rFonts w:eastAsiaTheme="minorEastAsia" w:cstheme="minorBidi"/>
          <w:noProof/>
          <w:sz w:val="22"/>
          <w:szCs w:val="22"/>
          <w:lang w:eastAsia="zh-CN"/>
        </w:rPr>
        <w:tab/>
      </w:r>
      <w:r>
        <w:rPr>
          <w:noProof/>
        </w:rPr>
        <w:t>Attribute levels used in discrete choice experiment</w:t>
      </w:r>
      <w:r>
        <w:rPr>
          <w:noProof/>
        </w:rPr>
        <w:tab/>
      </w:r>
      <w:r>
        <w:rPr>
          <w:noProof/>
        </w:rPr>
        <w:fldChar w:fldCharType="begin"/>
      </w:r>
      <w:r>
        <w:rPr>
          <w:noProof/>
        </w:rPr>
        <w:instrText xml:space="preserve"> PAGEREF _Toc45654262 \h </w:instrText>
      </w:r>
      <w:r>
        <w:rPr>
          <w:noProof/>
        </w:rPr>
      </w:r>
      <w:r>
        <w:rPr>
          <w:noProof/>
        </w:rPr>
        <w:fldChar w:fldCharType="separate"/>
      </w:r>
      <w:r>
        <w:rPr>
          <w:noProof/>
        </w:rPr>
        <w:t>201</w:t>
      </w:r>
      <w:r>
        <w:rPr>
          <w:noProof/>
        </w:rPr>
        <w:fldChar w:fldCharType="end"/>
      </w:r>
    </w:p>
    <w:p w:rsidR="009F1D80" w:rsidRDefault="009F1D80">
      <w:pPr>
        <w:pStyle w:val="TableofFigures"/>
        <w:rPr>
          <w:rFonts w:eastAsiaTheme="minorEastAsia" w:cstheme="minorBidi"/>
          <w:noProof/>
          <w:sz w:val="22"/>
          <w:szCs w:val="22"/>
          <w:lang w:eastAsia="zh-CN"/>
        </w:rPr>
      </w:pPr>
      <w:r>
        <w:rPr>
          <w:noProof/>
        </w:rPr>
        <w:t>K.2</w:t>
      </w:r>
      <w:r>
        <w:rPr>
          <w:rFonts w:eastAsiaTheme="minorEastAsia" w:cstheme="minorBidi"/>
          <w:noProof/>
          <w:sz w:val="22"/>
          <w:szCs w:val="22"/>
          <w:lang w:eastAsia="zh-CN"/>
        </w:rPr>
        <w:tab/>
      </w:r>
      <w:r>
        <w:rPr>
          <w:noProof/>
        </w:rPr>
        <w:t>Example of choice question</w:t>
      </w:r>
      <w:r>
        <w:rPr>
          <w:noProof/>
        </w:rPr>
        <w:tab/>
      </w:r>
      <w:r>
        <w:rPr>
          <w:noProof/>
        </w:rPr>
        <w:fldChar w:fldCharType="begin"/>
      </w:r>
      <w:r>
        <w:rPr>
          <w:noProof/>
        </w:rPr>
        <w:instrText xml:space="preserve"> PAGEREF _Toc45654263 \h </w:instrText>
      </w:r>
      <w:r>
        <w:rPr>
          <w:noProof/>
        </w:rPr>
      </w:r>
      <w:r>
        <w:rPr>
          <w:noProof/>
        </w:rPr>
        <w:fldChar w:fldCharType="separate"/>
      </w:r>
      <w:r>
        <w:rPr>
          <w:noProof/>
        </w:rPr>
        <w:t>203</w:t>
      </w:r>
      <w:r>
        <w:rPr>
          <w:noProof/>
        </w:rPr>
        <w:fldChar w:fldCharType="end"/>
      </w:r>
    </w:p>
    <w:p w:rsidR="009F1D80" w:rsidRDefault="009F1D80">
      <w:pPr>
        <w:pStyle w:val="TableofFigures"/>
        <w:rPr>
          <w:rFonts w:eastAsiaTheme="minorEastAsia" w:cstheme="minorBidi"/>
          <w:noProof/>
          <w:sz w:val="22"/>
          <w:szCs w:val="22"/>
          <w:lang w:eastAsia="zh-CN"/>
        </w:rPr>
      </w:pPr>
      <w:r>
        <w:rPr>
          <w:noProof/>
        </w:rPr>
        <w:t>K.3</w:t>
      </w:r>
      <w:r>
        <w:rPr>
          <w:rFonts w:eastAsiaTheme="minorEastAsia" w:cstheme="minorBidi"/>
          <w:noProof/>
          <w:sz w:val="22"/>
          <w:szCs w:val="22"/>
          <w:lang w:eastAsia="zh-CN"/>
        </w:rPr>
        <w:tab/>
      </w:r>
      <w:r>
        <w:rPr>
          <w:noProof/>
        </w:rPr>
        <w:t>Example of contingent valuation question</w:t>
      </w:r>
      <w:r>
        <w:rPr>
          <w:noProof/>
        </w:rPr>
        <w:tab/>
      </w:r>
      <w:r>
        <w:rPr>
          <w:noProof/>
        </w:rPr>
        <w:fldChar w:fldCharType="begin"/>
      </w:r>
      <w:r>
        <w:rPr>
          <w:noProof/>
        </w:rPr>
        <w:instrText xml:space="preserve"> PAGEREF _Toc45654264 \h </w:instrText>
      </w:r>
      <w:r>
        <w:rPr>
          <w:noProof/>
        </w:rPr>
      </w:r>
      <w:r>
        <w:rPr>
          <w:noProof/>
        </w:rPr>
        <w:fldChar w:fldCharType="separate"/>
      </w:r>
      <w:r>
        <w:rPr>
          <w:noProof/>
        </w:rPr>
        <w:t>204</w:t>
      </w:r>
      <w:r>
        <w:rPr>
          <w:noProof/>
        </w:rPr>
        <w:fldChar w:fldCharType="end"/>
      </w:r>
    </w:p>
    <w:p w:rsidR="009F1D80" w:rsidRDefault="009F1D80">
      <w:pPr>
        <w:pStyle w:val="TableofFigures"/>
        <w:rPr>
          <w:rFonts w:eastAsiaTheme="minorEastAsia" w:cstheme="minorBidi"/>
          <w:noProof/>
          <w:sz w:val="22"/>
          <w:szCs w:val="22"/>
          <w:lang w:eastAsia="zh-CN"/>
        </w:rPr>
      </w:pPr>
      <w:r>
        <w:rPr>
          <w:noProof/>
        </w:rPr>
        <w:t>K.4</w:t>
      </w:r>
      <w:r>
        <w:rPr>
          <w:rFonts w:eastAsiaTheme="minorEastAsia" w:cstheme="minorBidi"/>
          <w:noProof/>
          <w:sz w:val="22"/>
          <w:szCs w:val="22"/>
          <w:lang w:eastAsia="zh-CN"/>
        </w:rPr>
        <w:tab/>
      </w:r>
      <w:r>
        <w:rPr>
          <w:noProof/>
        </w:rPr>
        <w:t>Characteristics of sample, reweighted sample and target population</w:t>
      </w:r>
      <w:r>
        <w:rPr>
          <w:noProof/>
        </w:rPr>
        <w:tab/>
      </w:r>
      <w:r>
        <w:rPr>
          <w:noProof/>
        </w:rPr>
        <w:fldChar w:fldCharType="begin"/>
      </w:r>
      <w:r>
        <w:rPr>
          <w:noProof/>
        </w:rPr>
        <w:instrText xml:space="preserve"> PAGEREF _Toc45654265 \h </w:instrText>
      </w:r>
      <w:r>
        <w:rPr>
          <w:noProof/>
        </w:rPr>
      </w:r>
      <w:r>
        <w:rPr>
          <w:noProof/>
        </w:rPr>
        <w:fldChar w:fldCharType="separate"/>
      </w:r>
      <w:r>
        <w:rPr>
          <w:noProof/>
        </w:rPr>
        <w:t>205</w:t>
      </w:r>
      <w:r>
        <w:rPr>
          <w:noProof/>
        </w:rPr>
        <w:fldChar w:fldCharType="end"/>
      </w:r>
    </w:p>
    <w:p w:rsidR="009F1D80" w:rsidRDefault="009F1D80">
      <w:pPr>
        <w:pStyle w:val="TableofFigures"/>
        <w:rPr>
          <w:rFonts w:eastAsiaTheme="minorEastAsia" w:cstheme="minorBidi"/>
          <w:noProof/>
          <w:sz w:val="22"/>
          <w:szCs w:val="22"/>
          <w:lang w:eastAsia="zh-CN"/>
        </w:rPr>
      </w:pPr>
      <w:r>
        <w:rPr>
          <w:noProof/>
        </w:rPr>
        <w:t>K.5</w:t>
      </w:r>
      <w:r>
        <w:rPr>
          <w:rFonts w:eastAsiaTheme="minorEastAsia" w:cstheme="minorBidi"/>
          <w:noProof/>
          <w:sz w:val="22"/>
          <w:szCs w:val="22"/>
          <w:lang w:eastAsia="zh-CN"/>
        </w:rPr>
        <w:tab/>
      </w:r>
      <w:r>
        <w:rPr>
          <w:noProof/>
        </w:rPr>
        <w:t>Mobility limitation characteristics</w:t>
      </w:r>
      <w:r>
        <w:rPr>
          <w:noProof/>
        </w:rPr>
        <w:tab/>
      </w:r>
      <w:r>
        <w:rPr>
          <w:noProof/>
        </w:rPr>
        <w:fldChar w:fldCharType="begin"/>
      </w:r>
      <w:r>
        <w:rPr>
          <w:noProof/>
        </w:rPr>
        <w:instrText xml:space="preserve"> PAGEREF _Toc45654266 \h </w:instrText>
      </w:r>
      <w:r>
        <w:rPr>
          <w:noProof/>
        </w:rPr>
      </w:r>
      <w:r>
        <w:rPr>
          <w:noProof/>
        </w:rPr>
        <w:fldChar w:fldCharType="separate"/>
      </w:r>
      <w:r>
        <w:rPr>
          <w:noProof/>
        </w:rPr>
        <w:t>207</w:t>
      </w:r>
      <w:r>
        <w:rPr>
          <w:noProof/>
        </w:rPr>
        <w:fldChar w:fldCharType="end"/>
      </w:r>
    </w:p>
    <w:p w:rsidR="009F1D80" w:rsidRDefault="009F1D80">
      <w:pPr>
        <w:pStyle w:val="TableofFigures"/>
        <w:rPr>
          <w:rFonts w:eastAsiaTheme="minorEastAsia" w:cstheme="minorBidi"/>
          <w:noProof/>
          <w:sz w:val="22"/>
          <w:szCs w:val="22"/>
          <w:lang w:eastAsia="zh-CN"/>
        </w:rPr>
      </w:pPr>
      <w:r>
        <w:rPr>
          <w:noProof/>
        </w:rPr>
        <w:t>K.6</w:t>
      </w:r>
      <w:r>
        <w:rPr>
          <w:rFonts w:eastAsiaTheme="minorEastAsia" w:cstheme="minorBidi"/>
          <w:noProof/>
          <w:sz w:val="22"/>
          <w:szCs w:val="22"/>
          <w:lang w:eastAsia="zh-CN"/>
        </w:rPr>
        <w:tab/>
      </w:r>
      <w:r>
        <w:rPr>
          <w:noProof/>
        </w:rPr>
        <w:t>Attitudes towards accessible housing</w:t>
      </w:r>
      <w:r>
        <w:rPr>
          <w:noProof/>
        </w:rPr>
        <w:tab/>
      </w:r>
      <w:r>
        <w:rPr>
          <w:noProof/>
        </w:rPr>
        <w:fldChar w:fldCharType="begin"/>
      </w:r>
      <w:r>
        <w:rPr>
          <w:noProof/>
        </w:rPr>
        <w:instrText xml:space="preserve"> PAGEREF _Toc45654267 \h </w:instrText>
      </w:r>
      <w:r>
        <w:rPr>
          <w:noProof/>
        </w:rPr>
      </w:r>
      <w:r>
        <w:rPr>
          <w:noProof/>
        </w:rPr>
        <w:fldChar w:fldCharType="separate"/>
      </w:r>
      <w:r>
        <w:rPr>
          <w:noProof/>
        </w:rPr>
        <w:t>208</w:t>
      </w:r>
      <w:r>
        <w:rPr>
          <w:noProof/>
        </w:rPr>
        <w:fldChar w:fldCharType="end"/>
      </w:r>
    </w:p>
    <w:p w:rsidR="009F1D80" w:rsidRDefault="009F1D80">
      <w:pPr>
        <w:pStyle w:val="TableofFigures"/>
        <w:rPr>
          <w:rFonts w:eastAsiaTheme="minorEastAsia" w:cstheme="minorBidi"/>
          <w:noProof/>
          <w:sz w:val="22"/>
          <w:szCs w:val="22"/>
          <w:lang w:eastAsia="zh-CN"/>
        </w:rPr>
      </w:pPr>
      <w:r>
        <w:rPr>
          <w:noProof/>
        </w:rPr>
        <w:t>K.7</w:t>
      </w:r>
      <w:r>
        <w:rPr>
          <w:rFonts w:eastAsiaTheme="minorEastAsia" w:cstheme="minorBidi"/>
          <w:noProof/>
          <w:sz w:val="22"/>
          <w:szCs w:val="22"/>
          <w:lang w:eastAsia="zh-CN"/>
        </w:rPr>
        <w:tab/>
      </w:r>
      <w:r>
        <w:rPr>
          <w:noProof/>
        </w:rPr>
        <w:t>Preference for accessibility features by current mobility limitation status</w:t>
      </w:r>
      <w:r>
        <w:rPr>
          <w:noProof/>
        </w:rPr>
        <w:tab/>
      </w:r>
      <w:r>
        <w:rPr>
          <w:noProof/>
        </w:rPr>
        <w:fldChar w:fldCharType="begin"/>
      </w:r>
      <w:r>
        <w:rPr>
          <w:noProof/>
        </w:rPr>
        <w:instrText xml:space="preserve"> PAGEREF _Toc45654268 \h </w:instrText>
      </w:r>
      <w:r>
        <w:rPr>
          <w:noProof/>
        </w:rPr>
      </w:r>
      <w:r>
        <w:rPr>
          <w:noProof/>
        </w:rPr>
        <w:fldChar w:fldCharType="separate"/>
      </w:r>
      <w:r>
        <w:rPr>
          <w:noProof/>
        </w:rPr>
        <w:t>209</w:t>
      </w:r>
      <w:r>
        <w:rPr>
          <w:noProof/>
        </w:rPr>
        <w:fldChar w:fldCharType="end"/>
      </w:r>
    </w:p>
    <w:p w:rsidR="009F1D80" w:rsidRDefault="009F1D80">
      <w:pPr>
        <w:pStyle w:val="TableofFigures"/>
        <w:rPr>
          <w:rFonts w:eastAsiaTheme="minorEastAsia" w:cstheme="minorBidi"/>
          <w:noProof/>
          <w:sz w:val="22"/>
          <w:szCs w:val="22"/>
          <w:lang w:eastAsia="zh-CN"/>
        </w:rPr>
      </w:pPr>
      <w:r>
        <w:rPr>
          <w:noProof/>
        </w:rPr>
        <w:t>K.8</w:t>
      </w:r>
      <w:r>
        <w:rPr>
          <w:rFonts w:eastAsiaTheme="minorEastAsia" w:cstheme="minorBidi"/>
          <w:noProof/>
          <w:sz w:val="22"/>
          <w:szCs w:val="22"/>
          <w:lang w:eastAsia="zh-CN"/>
        </w:rPr>
        <w:tab/>
      </w:r>
      <w:r>
        <w:rPr>
          <w:noProof/>
        </w:rPr>
        <w:t>Accessibility features in the existing housing stock</w:t>
      </w:r>
      <w:r>
        <w:rPr>
          <w:noProof/>
        </w:rPr>
        <w:tab/>
      </w:r>
      <w:r>
        <w:rPr>
          <w:noProof/>
        </w:rPr>
        <w:fldChar w:fldCharType="begin"/>
      </w:r>
      <w:r>
        <w:rPr>
          <w:noProof/>
        </w:rPr>
        <w:instrText xml:space="preserve"> PAGEREF _Toc45654269 \h </w:instrText>
      </w:r>
      <w:r>
        <w:rPr>
          <w:noProof/>
        </w:rPr>
      </w:r>
      <w:r>
        <w:rPr>
          <w:noProof/>
        </w:rPr>
        <w:fldChar w:fldCharType="separate"/>
      </w:r>
      <w:r>
        <w:rPr>
          <w:noProof/>
        </w:rPr>
        <w:t>210</w:t>
      </w:r>
      <w:r>
        <w:rPr>
          <w:noProof/>
        </w:rPr>
        <w:fldChar w:fldCharType="end"/>
      </w:r>
    </w:p>
    <w:p w:rsidR="009F1D80" w:rsidRDefault="009F1D80">
      <w:pPr>
        <w:pStyle w:val="TableofFigures"/>
        <w:rPr>
          <w:rFonts w:eastAsiaTheme="minorEastAsia" w:cstheme="minorBidi"/>
          <w:noProof/>
          <w:sz w:val="22"/>
          <w:szCs w:val="22"/>
          <w:lang w:eastAsia="zh-CN"/>
        </w:rPr>
      </w:pPr>
      <w:r>
        <w:rPr>
          <w:noProof/>
        </w:rPr>
        <w:t>K.9</w:t>
      </w:r>
      <w:r>
        <w:rPr>
          <w:rFonts w:eastAsiaTheme="minorEastAsia" w:cstheme="minorBidi"/>
          <w:noProof/>
          <w:sz w:val="22"/>
          <w:szCs w:val="22"/>
          <w:lang w:eastAsia="zh-CN"/>
        </w:rPr>
        <w:tab/>
      </w:r>
      <w:r>
        <w:rPr>
          <w:noProof/>
        </w:rPr>
        <w:t>Models for predicting respondent reference prices</w:t>
      </w:r>
      <w:r>
        <w:rPr>
          <w:noProof/>
        </w:rPr>
        <w:tab/>
      </w:r>
      <w:r>
        <w:rPr>
          <w:noProof/>
        </w:rPr>
        <w:fldChar w:fldCharType="begin"/>
      </w:r>
      <w:r>
        <w:rPr>
          <w:noProof/>
        </w:rPr>
        <w:instrText xml:space="preserve"> PAGEREF _Toc45654270 \h </w:instrText>
      </w:r>
      <w:r>
        <w:rPr>
          <w:noProof/>
        </w:rPr>
      </w:r>
      <w:r>
        <w:rPr>
          <w:noProof/>
        </w:rPr>
        <w:fldChar w:fldCharType="separate"/>
      </w:r>
      <w:r>
        <w:rPr>
          <w:noProof/>
        </w:rPr>
        <w:t>211</w:t>
      </w:r>
      <w:r>
        <w:rPr>
          <w:noProof/>
        </w:rPr>
        <w:fldChar w:fldCharType="end"/>
      </w:r>
    </w:p>
    <w:p w:rsidR="009F1D80" w:rsidRDefault="009F1D80">
      <w:pPr>
        <w:pStyle w:val="TableofFigures"/>
        <w:rPr>
          <w:rFonts w:eastAsiaTheme="minorEastAsia" w:cstheme="minorBidi"/>
          <w:noProof/>
          <w:sz w:val="22"/>
          <w:szCs w:val="22"/>
          <w:lang w:eastAsia="zh-CN"/>
        </w:rPr>
      </w:pPr>
      <w:r>
        <w:rPr>
          <w:noProof/>
        </w:rPr>
        <w:t>K.10</w:t>
      </w:r>
      <w:r>
        <w:rPr>
          <w:rFonts w:eastAsiaTheme="minorEastAsia" w:cstheme="minorBidi"/>
          <w:noProof/>
          <w:sz w:val="22"/>
          <w:szCs w:val="22"/>
          <w:lang w:eastAsia="zh-CN"/>
        </w:rPr>
        <w:tab/>
      </w:r>
      <w:r>
        <w:rPr>
          <w:noProof/>
        </w:rPr>
        <w:t>Renter model of housing choice</w:t>
      </w:r>
      <w:r>
        <w:rPr>
          <w:noProof/>
        </w:rPr>
        <w:tab/>
      </w:r>
      <w:r>
        <w:rPr>
          <w:noProof/>
        </w:rPr>
        <w:fldChar w:fldCharType="begin"/>
      </w:r>
      <w:r>
        <w:rPr>
          <w:noProof/>
        </w:rPr>
        <w:instrText xml:space="preserve"> PAGEREF _Toc45654271 \h </w:instrText>
      </w:r>
      <w:r>
        <w:rPr>
          <w:noProof/>
        </w:rPr>
      </w:r>
      <w:r>
        <w:rPr>
          <w:noProof/>
        </w:rPr>
        <w:fldChar w:fldCharType="separate"/>
      </w:r>
      <w:r>
        <w:rPr>
          <w:noProof/>
        </w:rPr>
        <w:t>213</w:t>
      </w:r>
      <w:r>
        <w:rPr>
          <w:noProof/>
        </w:rPr>
        <w:fldChar w:fldCharType="end"/>
      </w:r>
    </w:p>
    <w:p w:rsidR="009F1D80" w:rsidRDefault="009F1D80">
      <w:pPr>
        <w:pStyle w:val="TableofFigures"/>
        <w:rPr>
          <w:rFonts w:eastAsiaTheme="minorEastAsia" w:cstheme="minorBidi"/>
          <w:noProof/>
          <w:sz w:val="22"/>
          <w:szCs w:val="22"/>
          <w:lang w:eastAsia="zh-CN"/>
        </w:rPr>
      </w:pPr>
      <w:r>
        <w:rPr>
          <w:noProof/>
        </w:rPr>
        <w:t>K.11</w:t>
      </w:r>
      <w:r>
        <w:rPr>
          <w:rFonts w:eastAsiaTheme="minorEastAsia" w:cstheme="minorBidi"/>
          <w:noProof/>
          <w:sz w:val="22"/>
          <w:szCs w:val="22"/>
          <w:lang w:eastAsia="zh-CN"/>
        </w:rPr>
        <w:tab/>
      </w:r>
      <w:r>
        <w:rPr>
          <w:noProof/>
        </w:rPr>
        <w:t>Buyer model of housing choice</w:t>
      </w:r>
      <w:r>
        <w:rPr>
          <w:noProof/>
        </w:rPr>
        <w:tab/>
      </w:r>
      <w:r>
        <w:rPr>
          <w:noProof/>
        </w:rPr>
        <w:fldChar w:fldCharType="begin"/>
      </w:r>
      <w:r>
        <w:rPr>
          <w:noProof/>
        </w:rPr>
        <w:instrText xml:space="preserve"> PAGEREF _Toc45654272 \h </w:instrText>
      </w:r>
      <w:r>
        <w:rPr>
          <w:noProof/>
        </w:rPr>
      </w:r>
      <w:r>
        <w:rPr>
          <w:noProof/>
        </w:rPr>
        <w:fldChar w:fldCharType="separate"/>
      </w:r>
      <w:r>
        <w:rPr>
          <w:noProof/>
        </w:rPr>
        <w:t>213</w:t>
      </w:r>
      <w:r>
        <w:rPr>
          <w:noProof/>
        </w:rPr>
        <w:fldChar w:fldCharType="end"/>
      </w:r>
    </w:p>
    <w:p w:rsidR="009F1D80" w:rsidRDefault="009F1D80">
      <w:pPr>
        <w:pStyle w:val="TableofFigures"/>
        <w:rPr>
          <w:rFonts w:eastAsiaTheme="minorEastAsia" w:cstheme="minorBidi"/>
          <w:noProof/>
          <w:sz w:val="22"/>
          <w:szCs w:val="22"/>
          <w:lang w:eastAsia="zh-CN"/>
        </w:rPr>
      </w:pPr>
      <w:r>
        <w:rPr>
          <w:noProof/>
        </w:rPr>
        <w:t>K.12</w:t>
      </w:r>
      <w:r>
        <w:rPr>
          <w:rFonts w:eastAsiaTheme="minorEastAsia" w:cstheme="minorBidi"/>
          <w:noProof/>
          <w:sz w:val="22"/>
          <w:szCs w:val="22"/>
          <w:lang w:eastAsia="zh-CN"/>
        </w:rPr>
        <w:tab/>
      </w:r>
      <w:r>
        <w:rPr>
          <w:noProof/>
        </w:rPr>
        <w:t>Average willingness to pay as a proportion of reference price</w:t>
      </w:r>
      <w:r>
        <w:rPr>
          <w:noProof/>
        </w:rPr>
        <w:tab/>
      </w:r>
      <w:r>
        <w:rPr>
          <w:noProof/>
        </w:rPr>
        <w:fldChar w:fldCharType="begin"/>
      </w:r>
      <w:r>
        <w:rPr>
          <w:noProof/>
        </w:rPr>
        <w:instrText xml:space="preserve"> PAGEREF _Toc45654273 \h </w:instrText>
      </w:r>
      <w:r>
        <w:rPr>
          <w:noProof/>
        </w:rPr>
      </w:r>
      <w:r>
        <w:rPr>
          <w:noProof/>
        </w:rPr>
        <w:fldChar w:fldCharType="separate"/>
      </w:r>
      <w:r>
        <w:rPr>
          <w:noProof/>
        </w:rPr>
        <w:t>214</w:t>
      </w:r>
      <w:r>
        <w:rPr>
          <w:noProof/>
        </w:rPr>
        <w:fldChar w:fldCharType="end"/>
      </w:r>
    </w:p>
    <w:p w:rsidR="009F1D80" w:rsidRDefault="009F1D80">
      <w:pPr>
        <w:pStyle w:val="TableofFigures"/>
        <w:rPr>
          <w:rFonts w:eastAsiaTheme="minorEastAsia" w:cstheme="minorBidi"/>
          <w:noProof/>
          <w:sz w:val="22"/>
          <w:szCs w:val="22"/>
          <w:lang w:eastAsia="zh-CN"/>
        </w:rPr>
      </w:pPr>
      <w:r>
        <w:rPr>
          <w:noProof/>
        </w:rPr>
        <w:t>K.13</w:t>
      </w:r>
      <w:r>
        <w:rPr>
          <w:rFonts w:eastAsiaTheme="minorEastAsia" w:cstheme="minorBidi"/>
          <w:noProof/>
          <w:sz w:val="22"/>
          <w:szCs w:val="22"/>
          <w:lang w:eastAsia="zh-CN"/>
        </w:rPr>
        <w:tab/>
      </w:r>
      <w:r>
        <w:rPr>
          <w:noProof/>
        </w:rPr>
        <w:t>Buyer model WTP estimates compared with retrofitting costs</w:t>
      </w:r>
      <w:r>
        <w:rPr>
          <w:noProof/>
        </w:rPr>
        <w:tab/>
      </w:r>
      <w:r>
        <w:rPr>
          <w:noProof/>
        </w:rPr>
        <w:fldChar w:fldCharType="begin"/>
      </w:r>
      <w:r>
        <w:rPr>
          <w:noProof/>
        </w:rPr>
        <w:instrText xml:space="preserve"> PAGEREF _Toc45654274 \h </w:instrText>
      </w:r>
      <w:r>
        <w:rPr>
          <w:noProof/>
        </w:rPr>
      </w:r>
      <w:r>
        <w:rPr>
          <w:noProof/>
        </w:rPr>
        <w:fldChar w:fldCharType="separate"/>
      </w:r>
      <w:r>
        <w:rPr>
          <w:noProof/>
        </w:rPr>
        <w:t>215</w:t>
      </w:r>
      <w:r>
        <w:rPr>
          <w:noProof/>
        </w:rPr>
        <w:fldChar w:fldCharType="end"/>
      </w:r>
    </w:p>
    <w:p w:rsidR="009F1D80" w:rsidRDefault="009F1D80">
      <w:pPr>
        <w:pStyle w:val="TableofFigures"/>
        <w:rPr>
          <w:rFonts w:eastAsiaTheme="minorEastAsia" w:cstheme="minorBidi"/>
          <w:noProof/>
          <w:sz w:val="22"/>
          <w:szCs w:val="22"/>
          <w:lang w:eastAsia="zh-CN"/>
        </w:rPr>
      </w:pPr>
      <w:r>
        <w:rPr>
          <w:noProof/>
        </w:rPr>
        <w:t>K.14</w:t>
      </w:r>
      <w:r>
        <w:rPr>
          <w:rFonts w:eastAsiaTheme="minorEastAsia" w:cstheme="minorBidi"/>
          <w:noProof/>
          <w:sz w:val="22"/>
          <w:szCs w:val="22"/>
          <w:lang w:eastAsia="zh-CN"/>
        </w:rPr>
        <w:tab/>
      </w:r>
      <w:r>
        <w:rPr>
          <w:noProof/>
        </w:rPr>
        <w:t>Estimated relationship between age and willingness to pay</w:t>
      </w:r>
      <w:r>
        <w:rPr>
          <w:noProof/>
        </w:rPr>
        <w:tab/>
      </w:r>
      <w:r>
        <w:rPr>
          <w:noProof/>
        </w:rPr>
        <w:fldChar w:fldCharType="begin"/>
      </w:r>
      <w:r>
        <w:rPr>
          <w:noProof/>
        </w:rPr>
        <w:instrText xml:space="preserve"> PAGEREF _Toc45654275 \h </w:instrText>
      </w:r>
      <w:r>
        <w:rPr>
          <w:noProof/>
        </w:rPr>
      </w:r>
      <w:r>
        <w:rPr>
          <w:noProof/>
        </w:rPr>
        <w:fldChar w:fldCharType="separate"/>
      </w:r>
      <w:r>
        <w:rPr>
          <w:noProof/>
        </w:rPr>
        <w:t>216</w:t>
      </w:r>
      <w:r>
        <w:rPr>
          <w:noProof/>
        </w:rPr>
        <w:fldChar w:fldCharType="end"/>
      </w:r>
    </w:p>
    <w:p w:rsidR="009F1D80" w:rsidRDefault="009F1D80">
      <w:pPr>
        <w:pStyle w:val="TableofFigures"/>
        <w:rPr>
          <w:rFonts w:eastAsiaTheme="minorEastAsia" w:cstheme="minorBidi"/>
          <w:noProof/>
          <w:sz w:val="22"/>
          <w:szCs w:val="22"/>
          <w:lang w:eastAsia="zh-CN"/>
        </w:rPr>
      </w:pPr>
      <w:r>
        <w:rPr>
          <w:noProof/>
        </w:rPr>
        <w:t>K.15</w:t>
      </w:r>
      <w:r>
        <w:rPr>
          <w:rFonts w:eastAsiaTheme="minorEastAsia" w:cstheme="minorBidi"/>
          <w:noProof/>
          <w:sz w:val="22"/>
          <w:szCs w:val="22"/>
          <w:lang w:eastAsia="zh-CN"/>
        </w:rPr>
        <w:tab/>
      </w:r>
      <w:r>
        <w:rPr>
          <w:noProof/>
        </w:rPr>
        <w:t>Estimates of average willingness to pay by tenure type and mobility status</w:t>
      </w:r>
      <w:r>
        <w:rPr>
          <w:noProof/>
        </w:rPr>
        <w:tab/>
      </w:r>
      <w:r>
        <w:rPr>
          <w:noProof/>
        </w:rPr>
        <w:fldChar w:fldCharType="begin"/>
      </w:r>
      <w:r>
        <w:rPr>
          <w:noProof/>
        </w:rPr>
        <w:instrText xml:space="preserve"> PAGEREF _Toc45654276 \h </w:instrText>
      </w:r>
      <w:r>
        <w:rPr>
          <w:noProof/>
        </w:rPr>
      </w:r>
      <w:r>
        <w:rPr>
          <w:noProof/>
        </w:rPr>
        <w:fldChar w:fldCharType="separate"/>
      </w:r>
      <w:r>
        <w:rPr>
          <w:noProof/>
        </w:rPr>
        <w:t>216</w:t>
      </w:r>
      <w:r>
        <w:rPr>
          <w:noProof/>
        </w:rPr>
        <w:fldChar w:fldCharType="end"/>
      </w:r>
    </w:p>
    <w:p w:rsidR="009F1D80" w:rsidRDefault="009F1D80">
      <w:pPr>
        <w:pStyle w:val="TableofFigures"/>
        <w:rPr>
          <w:rFonts w:eastAsiaTheme="minorEastAsia" w:cstheme="minorBidi"/>
          <w:noProof/>
          <w:sz w:val="22"/>
          <w:szCs w:val="22"/>
          <w:lang w:eastAsia="zh-CN"/>
        </w:rPr>
      </w:pPr>
      <w:r>
        <w:rPr>
          <w:noProof/>
        </w:rPr>
        <w:t>K.16</w:t>
      </w:r>
      <w:r>
        <w:rPr>
          <w:rFonts w:eastAsiaTheme="minorEastAsia" w:cstheme="minorBidi"/>
          <w:noProof/>
          <w:sz w:val="22"/>
          <w:szCs w:val="22"/>
          <w:lang w:eastAsia="zh-CN"/>
        </w:rPr>
        <w:tab/>
      </w:r>
      <w:r>
        <w:rPr>
          <w:noProof/>
        </w:rPr>
        <w:t>Distribution of renter WTP to move from ‘regular spaces’ to ‘wide spaces’</w:t>
      </w:r>
      <w:r>
        <w:rPr>
          <w:noProof/>
        </w:rPr>
        <w:tab/>
      </w:r>
      <w:r>
        <w:rPr>
          <w:noProof/>
        </w:rPr>
        <w:fldChar w:fldCharType="begin"/>
      </w:r>
      <w:r>
        <w:rPr>
          <w:noProof/>
        </w:rPr>
        <w:instrText xml:space="preserve"> PAGEREF _Toc45654277 \h </w:instrText>
      </w:r>
      <w:r>
        <w:rPr>
          <w:noProof/>
        </w:rPr>
      </w:r>
      <w:r>
        <w:rPr>
          <w:noProof/>
        </w:rPr>
        <w:fldChar w:fldCharType="separate"/>
      </w:r>
      <w:r>
        <w:rPr>
          <w:noProof/>
        </w:rPr>
        <w:t>217</w:t>
      </w:r>
      <w:r>
        <w:rPr>
          <w:noProof/>
        </w:rPr>
        <w:fldChar w:fldCharType="end"/>
      </w:r>
    </w:p>
    <w:p w:rsidR="009F1D80" w:rsidRDefault="009F1D80">
      <w:pPr>
        <w:pStyle w:val="TableofFigures"/>
        <w:rPr>
          <w:rFonts w:eastAsiaTheme="minorEastAsia" w:cstheme="minorBidi"/>
          <w:noProof/>
          <w:sz w:val="22"/>
          <w:szCs w:val="22"/>
          <w:lang w:eastAsia="zh-CN"/>
        </w:rPr>
      </w:pPr>
      <w:r>
        <w:rPr>
          <w:noProof/>
        </w:rPr>
        <w:t>K.17</w:t>
      </w:r>
      <w:r>
        <w:rPr>
          <w:rFonts w:eastAsiaTheme="minorEastAsia" w:cstheme="minorBidi"/>
          <w:noProof/>
          <w:sz w:val="22"/>
          <w:szCs w:val="22"/>
          <w:lang w:eastAsia="zh-CN"/>
        </w:rPr>
        <w:tab/>
      </w:r>
      <w:r>
        <w:rPr>
          <w:noProof/>
        </w:rPr>
        <w:t>Example of a model of housing choice with alternative specifications</w:t>
      </w:r>
      <w:r>
        <w:rPr>
          <w:noProof/>
        </w:rPr>
        <w:tab/>
      </w:r>
      <w:r>
        <w:rPr>
          <w:noProof/>
        </w:rPr>
        <w:fldChar w:fldCharType="begin"/>
      </w:r>
      <w:r>
        <w:rPr>
          <w:noProof/>
        </w:rPr>
        <w:instrText xml:space="preserve"> PAGEREF _Toc45654278 \h </w:instrText>
      </w:r>
      <w:r>
        <w:rPr>
          <w:noProof/>
        </w:rPr>
      </w:r>
      <w:r>
        <w:rPr>
          <w:noProof/>
        </w:rPr>
        <w:fldChar w:fldCharType="separate"/>
      </w:r>
      <w:r>
        <w:rPr>
          <w:noProof/>
        </w:rPr>
        <w:t>218</w:t>
      </w:r>
      <w:r>
        <w:rPr>
          <w:noProof/>
        </w:rPr>
        <w:fldChar w:fldCharType="end"/>
      </w:r>
    </w:p>
    <w:p w:rsidR="009F1D80" w:rsidRDefault="009F1D80">
      <w:pPr>
        <w:pStyle w:val="TableofFigures"/>
        <w:rPr>
          <w:rFonts w:eastAsiaTheme="minorEastAsia" w:cstheme="minorBidi"/>
          <w:noProof/>
          <w:sz w:val="22"/>
          <w:szCs w:val="22"/>
          <w:lang w:eastAsia="zh-CN"/>
        </w:rPr>
      </w:pPr>
      <w:r>
        <w:rPr>
          <w:noProof/>
        </w:rPr>
        <w:t>K.18</w:t>
      </w:r>
      <w:r>
        <w:rPr>
          <w:rFonts w:eastAsiaTheme="minorEastAsia" w:cstheme="minorBidi"/>
          <w:noProof/>
          <w:sz w:val="22"/>
          <w:szCs w:val="22"/>
          <w:lang w:eastAsia="zh-CN"/>
        </w:rPr>
        <w:tab/>
      </w:r>
      <w:r>
        <w:rPr>
          <w:noProof/>
        </w:rPr>
        <w:t>Estimates of average willingness to pay from pooled model with selected subsamples</w:t>
      </w:r>
      <w:r>
        <w:rPr>
          <w:noProof/>
        </w:rPr>
        <w:tab/>
      </w:r>
      <w:r>
        <w:rPr>
          <w:noProof/>
        </w:rPr>
        <w:fldChar w:fldCharType="begin"/>
      </w:r>
      <w:r>
        <w:rPr>
          <w:noProof/>
        </w:rPr>
        <w:instrText xml:space="preserve"> PAGEREF _Toc45654279 \h </w:instrText>
      </w:r>
      <w:r>
        <w:rPr>
          <w:noProof/>
        </w:rPr>
      </w:r>
      <w:r>
        <w:rPr>
          <w:noProof/>
        </w:rPr>
        <w:fldChar w:fldCharType="separate"/>
      </w:r>
      <w:r>
        <w:rPr>
          <w:noProof/>
        </w:rPr>
        <w:t>219</w:t>
      </w:r>
      <w:r>
        <w:rPr>
          <w:noProof/>
        </w:rPr>
        <w:fldChar w:fldCharType="end"/>
      </w:r>
    </w:p>
    <w:p w:rsidR="009F1D80" w:rsidRDefault="009F1D80">
      <w:pPr>
        <w:pStyle w:val="TableofFigures"/>
        <w:rPr>
          <w:rFonts w:eastAsiaTheme="minorEastAsia" w:cstheme="minorBidi"/>
          <w:noProof/>
          <w:sz w:val="22"/>
          <w:szCs w:val="22"/>
          <w:lang w:eastAsia="zh-CN"/>
        </w:rPr>
      </w:pPr>
      <w:r>
        <w:rPr>
          <w:noProof/>
        </w:rPr>
        <w:t>K.19</w:t>
      </w:r>
      <w:r>
        <w:rPr>
          <w:rFonts w:eastAsiaTheme="minorEastAsia" w:cstheme="minorBidi"/>
          <w:noProof/>
          <w:sz w:val="22"/>
          <w:szCs w:val="22"/>
          <w:lang w:eastAsia="zh-CN"/>
        </w:rPr>
        <w:tab/>
      </w:r>
      <w:r>
        <w:rPr>
          <w:noProof/>
        </w:rPr>
        <w:t>Responses to contingent valuation question</w:t>
      </w:r>
      <w:r>
        <w:rPr>
          <w:noProof/>
        </w:rPr>
        <w:tab/>
      </w:r>
      <w:r>
        <w:rPr>
          <w:noProof/>
        </w:rPr>
        <w:fldChar w:fldCharType="begin"/>
      </w:r>
      <w:r>
        <w:rPr>
          <w:noProof/>
        </w:rPr>
        <w:instrText xml:space="preserve"> PAGEREF _Toc45654280 \h </w:instrText>
      </w:r>
      <w:r>
        <w:rPr>
          <w:noProof/>
        </w:rPr>
      </w:r>
      <w:r>
        <w:rPr>
          <w:noProof/>
        </w:rPr>
        <w:fldChar w:fldCharType="separate"/>
      </w:r>
      <w:r>
        <w:rPr>
          <w:noProof/>
        </w:rPr>
        <w:t>220</w:t>
      </w:r>
      <w:r>
        <w:rPr>
          <w:noProof/>
        </w:rPr>
        <w:fldChar w:fldCharType="end"/>
      </w:r>
    </w:p>
    <w:p w:rsidR="009F1D80" w:rsidRDefault="009F1D80">
      <w:pPr>
        <w:pStyle w:val="TableofFigures"/>
        <w:rPr>
          <w:rFonts w:eastAsiaTheme="minorEastAsia" w:cstheme="minorBidi"/>
          <w:noProof/>
          <w:sz w:val="22"/>
          <w:szCs w:val="22"/>
          <w:lang w:eastAsia="zh-CN"/>
        </w:rPr>
      </w:pPr>
      <w:r>
        <w:rPr>
          <w:noProof/>
        </w:rPr>
        <w:t>K.20</w:t>
      </w:r>
      <w:r>
        <w:rPr>
          <w:rFonts w:eastAsiaTheme="minorEastAsia" w:cstheme="minorBidi"/>
          <w:noProof/>
          <w:sz w:val="22"/>
          <w:szCs w:val="22"/>
          <w:lang w:eastAsia="zh-CN"/>
        </w:rPr>
        <w:tab/>
      </w:r>
      <w:r>
        <w:rPr>
          <w:noProof/>
        </w:rPr>
        <w:t>Consideration of others by cost level shown in contingent valuation question</w:t>
      </w:r>
      <w:r>
        <w:rPr>
          <w:noProof/>
        </w:rPr>
        <w:tab/>
      </w:r>
      <w:r>
        <w:rPr>
          <w:noProof/>
        </w:rPr>
        <w:fldChar w:fldCharType="begin"/>
      </w:r>
      <w:r>
        <w:rPr>
          <w:noProof/>
        </w:rPr>
        <w:instrText xml:space="preserve"> PAGEREF _Toc45654281 \h </w:instrText>
      </w:r>
      <w:r>
        <w:rPr>
          <w:noProof/>
        </w:rPr>
      </w:r>
      <w:r>
        <w:rPr>
          <w:noProof/>
        </w:rPr>
        <w:fldChar w:fldCharType="separate"/>
      </w:r>
      <w:r>
        <w:rPr>
          <w:noProof/>
        </w:rPr>
        <w:t>220</w:t>
      </w:r>
      <w:r>
        <w:rPr>
          <w:noProof/>
        </w:rPr>
        <w:fldChar w:fldCharType="end"/>
      </w:r>
    </w:p>
    <w:p w:rsidR="009F1D80" w:rsidRDefault="009F1D80">
      <w:pPr>
        <w:pStyle w:val="TableofFigures"/>
        <w:rPr>
          <w:rFonts w:eastAsiaTheme="minorEastAsia" w:cstheme="minorBidi"/>
          <w:noProof/>
          <w:sz w:val="22"/>
          <w:szCs w:val="22"/>
          <w:lang w:eastAsia="zh-CN"/>
        </w:rPr>
      </w:pPr>
      <w:r>
        <w:rPr>
          <w:noProof/>
        </w:rPr>
        <w:t>K.21</w:t>
      </w:r>
      <w:r>
        <w:rPr>
          <w:rFonts w:eastAsiaTheme="minorEastAsia" w:cstheme="minorBidi"/>
          <w:noProof/>
          <w:sz w:val="22"/>
          <w:szCs w:val="22"/>
          <w:lang w:eastAsia="zh-CN"/>
        </w:rPr>
        <w:tab/>
      </w:r>
      <w:r>
        <w:rPr>
          <w:noProof/>
        </w:rPr>
        <w:t>Reasons for not voting for the policy to increase accessible housing</w:t>
      </w:r>
      <w:r>
        <w:rPr>
          <w:noProof/>
        </w:rPr>
        <w:tab/>
      </w:r>
      <w:r>
        <w:rPr>
          <w:noProof/>
        </w:rPr>
        <w:fldChar w:fldCharType="begin"/>
      </w:r>
      <w:r>
        <w:rPr>
          <w:noProof/>
        </w:rPr>
        <w:instrText xml:space="preserve"> PAGEREF _Toc45654282 \h </w:instrText>
      </w:r>
      <w:r>
        <w:rPr>
          <w:noProof/>
        </w:rPr>
      </w:r>
      <w:r>
        <w:rPr>
          <w:noProof/>
        </w:rPr>
        <w:fldChar w:fldCharType="separate"/>
      </w:r>
      <w:r>
        <w:rPr>
          <w:noProof/>
        </w:rPr>
        <w:t>221</w:t>
      </w:r>
      <w:r>
        <w:rPr>
          <w:noProof/>
        </w:rPr>
        <w:fldChar w:fldCharType="end"/>
      </w:r>
    </w:p>
    <w:p w:rsidR="009F1D80" w:rsidRDefault="009F1D80">
      <w:pPr>
        <w:pStyle w:val="TableofFigures"/>
        <w:rPr>
          <w:rFonts w:eastAsiaTheme="minorEastAsia" w:cstheme="minorBidi"/>
          <w:noProof/>
          <w:sz w:val="22"/>
          <w:szCs w:val="22"/>
          <w:lang w:eastAsia="zh-CN"/>
        </w:rPr>
      </w:pPr>
      <w:r>
        <w:rPr>
          <w:noProof/>
        </w:rPr>
        <w:t>K.22</w:t>
      </w:r>
      <w:r>
        <w:rPr>
          <w:rFonts w:eastAsiaTheme="minorEastAsia" w:cstheme="minorBidi"/>
          <w:noProof/>
          <w:sz w:val="22"/>
          <w:szCs w:val="22"/>
          <w:lang w:eastAsia="zh-CN"/>
        </w:rPr>
        <w:tab/>
      </w:r>
      <w:r>
        <w:rPr>
          <w:noProof/>
        </w:rPr>
        <w:t>Consequentiality of the survey</w:t>
      </w:r>
      <w:r>
        <w:rPr>
          <w:noProof/>
        </w:rPr>
        <w:tab/>
      </w:r>
      <w:r>
        <w:rPr>
          <w:noProof/>
        </w:rPr>
        <w:fldChar w:fldCharType="begin"/>
      </w:r>
      <w:r>
        <w:rPr>
          <w:noProof/>
        </w:rPr>
        <w:instrText xml:space="preserve"> PAGEREF _Toc45654283 \h </w:instrText>
      </w:r>
      <w:r>
        <w:rPr>
          <w:noProof/>
        </w:rPr>
      </w:r>
      <w:r>
        <w:rPr>
          <w:noProof/>
        </w:rPr>
        <w:fldChar w:fldCharType="separate"/>
      </w:r>
      <w:r>
        <w:rPr>
          <w:noProof/>
        </w:rPr>
        <w:t>222</w:t>
      </w:r>
      <w:r>
        <w:rPr>
          <w:noProof/>
        </w:rPr>
        <w:fldChar w:fldCharType="end"/>
      </w:r>
    </w:p>
    <w:p w:rsidR="009F1D80" w:rsidRDefault="009F1D80">
      <w:pPr>
        <w:pStyle w:val="TableofFigures"/>
        <w:rPr>
          <w:rFonts w:eastAsiaTheme="minorEastAsia" w:cstheme="minorBidi"/>
          <w:noProof/>
          <w:sz w:val="22"/>
          <w:szCs w:val="22"/>
          <w:lang w:eastAsia="zh-CN"/>
        </w:rPr>
      </w:pPr>
      <w:r>
        <w:rPr>
          <w:noProof/>
        </w:rPr>
        <w:t>M.1</w:t>
      </w:r>
      <w:r>
        <w:rPr>
          <w:rFonts w:eastAsiaTheme="minorEastAsia" w:cstheme="minorBidi"/>
          <w:noProof/>
          <w:sz w:val="22"/>
          <w:szCs w:val="22"/>
          <w:lang w:eastAsia="zh-CN"/>
        </w:rPr>
        <w:tab/>
      </w:r>
      <w:r>
        <w:rPr>
          <w:noProof/>
        </w:rPr>
        <w:t>Stakeholder who were consulted for this project</w:t>
      </w:r>
      <w:r>
        <w:rPr>
          <w:noProof/>
        </w:rPr>
        <w:tab/>
      </w:r>
      <w:r>
        <w:rPr>
          <w:noProof/>
        </w:rPr>
        <w:fldChar w:fldCharType="begin"/>
      </w:r>
      <w:r>
        <w:rPr>
          <w:noProof/>
        </w:rPr>
        <w:instrText xml:space="preserve"> PAGEREF _Toc45654284 \h </w:instrText>
      </w:r>
      <w:r>
        <w:rPr>
          <w:noProof/>
        </w:rPr>
      </w:r>
      <w:r>
        <w:rPr>
          <w:noProof/>
        </w:rPr>
        <w:fldChar w:fldCharType="separate"/>
      </w:r>
      <w:r>
        <w:rPr>
          <w:noProof/>
        </w:rPr>
        <w:t>271</w:t>
      </w:r>
      <w:r>
        <w:rPr>
          <w:noProof/>
        </w:rPr>
        <w:fldChar w:fldCharType="end"/>
      </w:r>
    </w:p>
    <w:p w:rsidR="00650F3E" w:rsidRPr="00650F3E" w:rsidRDefault="00A16277" w:rsidP="00F72AED">
      <w:pPr>
        <w:pStyle w:val="TableofFigures"/>
        <w:rPr>
          <w:lang w:val="en-US"/>
        </w:rPr>
      </w:pPr>
      <w:r>
        <w:rPr>
          <w:b/>
          <w:bCs/>
          <w:noProof/>
          <w:lang w:val="en-US"/>
        </w:rPr>
        <w:fldChar w:fldCharType="end"/>
      </w:r>
    </w:p>
    <w:p w:rsidR="00650F3E" w:rsidRDefault="00650F3E" w:rsidP="004E7620">
      <w:pPr>
        <w:pStyle w:val="Heading1"/>
        <w:numPr>
          <w:ilvl w:val="0"/>
          <w:numId w:val="0"/>
        </w:numPr>
        <w:sectPr w:rsidR="00650F3E" w:rsidSect="004E7620">
          <w:headerReference w:type="even" r:id="rId17"/>
          <w:headerReference w:type="default" r:id="rId18"/>
          <w:footerReference w:type="even" r:id="rId19"/>
          <w:footerReference w:type="default" r:id="rId20"/>
          <w:pgSz w:w="11906" w:h="16838" w:code="9"/>
          <w:pgMar w:top="2268" w:right="1701" w:bottom="1418" w:left="2268" w:header="680" w:footer="680" w:gutter="0"/>
          <w:pgNumType w:fmt="lowerRoman"/>
          <w:cols w:space="708"/>
          <w:docGrid w:linePitch="360"/>
        </w:sectPr>
      </w:pPr>
    </w:p>
    <w:p w:rsidR="007C6A5F" w:rsidRDefault="007C6A5F" w:rsidP="007C6A5F">
      <w:pPr>
        <w:pStyle w:val="Heading1NotNumbered"/>
      </w:pPr>
      <w:bookmarkStart w:id="2" w:name="DeleteThisLine"/>
      <w:bookmarkStart w:id="3" w:name="_Toc32321733"/>
      <w:bookmarkStart w:id="4" w:name="_Toc44598419"/>
      <w:bookmarkStart w:id="5" w:name="_Toc45654050"/>
      <w:bookmarkEnd w:id="1"/>
      <w:r>
        <w:lastRenderedPageBreak/>
        <w:t>Executive s</w:t>
      </w:r>
      <w:r w:rsidRPr="005A6134">
        <w:t>ummary</w:t>
      </w:r>
      <w:bookmarkEnd w:id="2"/>
      <w:bookmarkEnd w:id="3"/>
      <w:bookmarkEnd w:id="4"/>
      <w:bookmarkEnd w:id="5"/>
    </w:p>
    <w:p w:rsidR="007C6A5F" w:rsidRDefault="007C6A5F" w:rsidP="007C6A5F">
      <w:pPr>
        <w:pStyle w:val="Heading2"/>
        <w:numPr>
          <w:ilvl w:val="1"/>
          <w:numId w:val="5"/>
        </w:numPr>
      </w:pPr>
      <w:bookmarkStart w:id="6" w:name="_Toc32321734"/>
      <w:bookmarkStart w:id="7" w:name="_Toc44598420"/>
      <w:bookmarkStart w:id="8" w:name="_Toc45654051"/>
      <w:bookmarkStart w:id="9" w:name="_Hlk32930683"/>
      <w:r>
        <w:t>Background</w:t>
      </w:r>
      <w:bookmarkEnd w:id="6"/>
      <w:bookmarkEnd w:id="7"/>
      <w:bookmarkEnd w:id="8"/>
    </w:p>
    <w:p w:rsidR="007C6A5F" w:rsidRDefault="007C6A5F" w:rsidP="007C6A5F">
      <w:pPr>
        <w:pStyle w:val="BodyText"/>
      </w:pPr>
      <w:r>
        <w:t>In 2017, the Building Ministers’ Forum (BMF), with the support of COAG, directed the ABCB to undertake a regulatory impact analysis into the possible inclusion of accessibility requirements for housing (Class 1a buildings and Class 2 apartments) into the NCC.</w:t>
      </w:r>
      <w:r>
        <w:rPr>
          <w:rStyle w:val="FootnoteReference"/>
        </w:rPr>
        <w:footnoteReference w:id="1"/>
      </w:r>
      <w:r>
        <w:t xml:space="preserve"> The analysis commenced in 2017-18 with the ABCB undertaking extensive research, consultation and technical analysis, which are outlined in the Consultation section of this paper.</w:t>
      </w:r>
    </w:p>
    <w:p w:rsidR="007C6A5F" w:rsidRPr="000B522E" w:rsidRDefault="007C6A5F" w:rsidP="007C6A5F">
      <w:pPr>
        <w:pStyle w:val="BodyText"/>
      </w:pPr>
      <w:r>
        <w:t>The Centre for International Economics (CIE) were recently engaged by the ABCB to develop a Consultation RIS. In line with the direction of the BMF, the regulatory options assessed by the Consultation RIS are based on the Livable Housing Design Guidelines (LHDG) Silver- and Gold-level specifications, as well as a ‘Gold-plus’ specification developed through stakeholder consultation.</w:t>
      </w:r>
    </w:p>
    <w:p w:rsidR="007C6A5F" w:rsidRDefault="007C6A5F" w:rsidP="007C6A5F">
      <w:pPr>
        <w:pStyle w:val="Heading2"/>
        <w:numPr>
          <w:ilvl w:val="1"/>
          <w:numId w:val="5"/>
        </w:numPr>
      </w:pPr>
      <w:bookmarkStart w:id="10" w:name="_Toc44598421"/>
      <w:bookmarkStart w:id="11" w:name="_Toc45654052"/>
      <w:r>
        <w:t>Terminology</w:t>
      </w:r>
      <w:bookmarkEnd w:id="10"/>
      <w:bookmarkEnd w:id="11"/>
    </w:p>
    <w:p w:rsidR="007C6A5F" w:rsidRDefault="007C6A5F" w:rsidP="007C6A5F">
      <w:pPr>
        <w:pStyle w:val="BodyText"/>
        <w:rPr>
          <w:lang w:bidi="fa-IR"/>
        </w:rPr>
      </w:pPr>
      <w:r>
        <w:rPr>
          <w:lang w:bidi="fa-IR"/>
        </w:rPr>
        <w:t>In this RIS, the term ‘accessible’ is used to describe the housing features that are being proposed, which are based on universal design principles.</w:t>
      </w:r>
      <w:r>
        <w:rPr>
          <w:rStyle w:val="FootnoteReference"/>
          <w:lang w:bidi="fa-IR"/>
        </w:rPr>
        <w:footnoteReference w:id="2"/>
      </w:r>
      <w:r>
        <w:rPr>
          <w:lang w:bidi="fa-IR"/>
        </w:rPr>
        <w:t xml:space="preserve"> It is acknowledged that this may not be the most appropriate term given that the changes being proposed are intended for the mainstream housing market, rather than being in any way specialised or separated from that market. </w:t>
      </w:r>
    </w:p>
    <w:p w:rsidR="007C6A5F" w:rsidRPr="007947CB" w:rsidRDefault="007C6A5F" w:rsidP="007C6A5F">
      <w:pPr>
        <w:pStyle w:val="BodyText"/>
        <w:rPr>
          <w:lang w:bidi="fa-IR"/>
        </w:rPr>
      </w:pPr>
      <w:r>
        <w:rPr>
          <w:lang w:bidi="fa-IR"/>
        </w:rPr>
        <w:t>The term ‘accessible’ has been retained simply to provide for consistent terminology between this RIS and earlier documents issued by the ABCB in relation to the proposal. It is not intended that the term ‘accessible housing’ would be used in the text of any change to the NCC.</w:t>
      </w:r>
    </w:p>
    <w:p w:rsidR="007C6A5F" w:rsidRDefault="007C6A5F" w:rsidP="007C6A5F">
      <w:pPr>
        <w:pStyle w:val="Heading2"/>
        <w:numPr>
          <w:ilvl w:val="1"/>
          <w:numId w:val="5"/>
        </w:numPr>
        <w:rPr>
          <w:lang w:bidi="fa-IR"/>
        </w:rPr>
      </w:pPr>
      <w:bookmarkStart w:id="12" w:name="_Toc44598422"/>
      <w:bookmarkStart w:id="13" w:name="_Toc45654053"/>
      <w:r>
        <w:rPr>
          <w:lang w:bidi="fa-IR"/>
        </w:rPr>
        <w:t>Why a regulatory proposal?</w:t>
      </w:r>
      <w:bookmarkEnd w:id="12"/>
      <w:bookmarkEnd w:id="13"/>
    </w:p>
    <w:p w:rsidR="007C6A5F" w:rsidRDefault="007C6A5F" w:rsidP="007C6A5F">
      <w:pPr>
        <w:pStyle w:val="BodyText"/>
      </w:pPr>
      <w:r>
        <w:t>A key element of a RIS is understanding the nature and size of the matter that the government is seeking to address through a regulatory proposal.</w:t>
      </w:r>
    </w:p>
    <w:p w:rsidR="007C6A5F" w:rsidRDefault="007C6A5F" w:rsidP="007C6A5F">
      <w:pPr>
        <w:pStyle w:val="BodyText"/>
      </w:pPr>
      <w:r>
        <w:lastRenderedPageBreak/>
        <w:t>F</w:t>
      </w:r>
      <w:r w:rsidRPr="005527ED">
        <w:t>inding suitable accommodation is important to all Australians</w:t>
      </w:r>
      <w:r>
        <w:t xml:space="preserve"> and</w:t>
      </w:r>
      <w:r w:rsidRPr="005527ED">
        <w:t xml:space="preserve"> is a prerequisite for a happy</w:t>
      </w:r>
      <w:r>
        <w:t>,</w:t>
      </w:r>
      <w:r w:rsidRPr="005527ED">
        <w:t xml:space="preserve"> stable</w:t>
      </w:r>
      <w:r>
        <w:t xml:space="preserve"> and dignified</w:t>
      </w:r>
      <w:r w:rsidRPr="005527ED">
        <w:t xml:space="preserve"> life.</w:t>
      </w:r>
      <w:r w:rsidRPr="005527ED">
        <w:rPr>
          <w:rStyle w:val="FootnoteReference"/>
        </w:rPr>
        <w:footnoteReference w:id="3"/>
      </w:r>
      <w:r>
        <w:t xml:space="preserve"> There is evidence that people with disability and older Australians have trouble finding housing that meets their needs.</w:t>
      </w:r>
    </w:p>
    <w:p w:rsidR="007C6A5F" w:rsidRDefault="007C6A5F" w:rsidP="005A6F87">
      <w:pPr>
        <w:pStyle w:val="ListBullet"/>
        <w:numPr>
          <w:ilvl w:val="0"/>
          <w:numId w:val="17"/>
        </w:numPr>
      </w:pPr>
      <w:r>
        <w:t>Based on 2018 data (from the ABS Survey of Disability, Ageing and Carers — SDAC), there are around 2.9 million Australians with a mobility-related disability.</w:t>
      </w:r>
    </w:p>
    <w:p w:rsidR="007C6A5F" w:rsidRDefault="007C6A5F" w:rsidP="005A6F87">
      <w:pPr>
        <w:pStyle w:val="ListBullet"/>
        <w:numPr>
          <w:ilvl w:val="0"/>
          <w:numId w:val="17"/>
        </w:numPr>
      </w:pPr>
      <w:r>
        <w:t>Extrapolating from ABS population projections, we estimate this will increase to around 4.7 million people over the next 40 years, due to population growth and an ageing population.</w:t>
      </w:r>
    </w:p>
    <w:p w:rsidR="007C6A5F" w:rsidRDefault="007C6A5F" w:rsidP="007C6A5F">
      <w:pPr>
        <w:pStyle w:val="BodyText"/>
      </w:pPr>
      <w:r>
        <w:t>That said, responses to questions in the SDAC suggest that the housing needs of many people with a mobility-related disability are already being met.</w:t>
      </w:r>
    </w:p>
    <w:p w:rsidR="007C6A5F" w:rsidRDefault="007C6A5F" w:rsidP="007C6A5F">
      <w:pPr>
        <w:pStyle w:val="BodyText"/>
      </w:pPr>
      <w:r>
        <w:t>There are a significant number of policies in place to either subsidise, directly provide or encourage private provision of housing that meets the needs of people with disability and older people. Key policies to ensure that people with disability and older people have access to housing that meets their needs include:</w:t>
      </w:r>
    </w:p>
    <w:p w:rsidR="007C6A5F" w:rsidRDefault="007C6A5F" w:rsidP="005A6F87">
      <w:pPr>
        <w:pStyle w:val="ListBullet"/>
        <w:numPr>
          <w:ilvl w:val="0"/>
          <w:numId w:val="17"/>
        </w:numPr>
      </w:pPr>
      <w:r>
        <w:t>funding home modifications and other support services (through the NDIS and various aged care policies) to support people with mobility limitations to stay in their own home</w:t>
      </w:r>
    </w:p>
    <w:p w:rsidR="007C6A5F" w:rsidRDefault="007C6A5F" w:rsidP="005A6F87">
      <w:pPr>
        <w:pStyle w:val="ListBullet"/>
        <w:numPr>
          <w:ilvl w:val="0"/>
          <w:numId w:val="17"/>
        </w:numPr>
      </w:pPr>
      <w:r>
        <w:t>funding for residential aged care places</w:t>
      </w:r>
    </w:p>
    <w:p w:rsidR="007C6A5F" w:rsidRDefault="007C6A5F" w:rsidP="005A6F87">
      <w:pPr>
        <w:pStyle w:val="ListBullet"/>
        <w:numPr>
          <w:ilvl w:val="0"/>
          <w:numId w:val="17"/>
        </w:numPr>
      </w:pPr>
      <w:r>
        <w:t>planning policies put in place by some state and local governments to encourage private provision of accessible housing</w:t>
      </w:r>
    </w:p>
    <w:p w:rsidR="007C6A5F" w:rsidRDefault="007C6A5F" w:rsidP="005A6F87">
      <w:pPr>
        <w:pStyle w:val="ListBullet"/>
        <w:numPr>
          <w:ilvl w:val="0"/>
          <w:numId w:val="17"/>
        </w:numPr>
      </w:pPr>
      <w:r>
        <w:t>provision of accessible social and community housing.</w:t>
      </w:r>
    </w:p>
    <w:p w:rsidR="007C6A5F" w:rsidRDefault="007C6A5F" w:rsidP="007C6A5F">
      <w:pPr>
        <w:pStyle w:val="BodyText"/>
      </w:pPr>
      <w:r>
        <w:t xml:space="preserve">Despite these policies and other services available, we have identified a range of potential societal costs that could be (at least partly) avoided through increased provision of accessible housing. </w:t>
      </w:r>
      <w:r w:rsidRPr="001C4D9C">
        <w:t xml:space="preserve">This </w:t>
      </w:r>
      <w:r>
        <w:t>includes</w:t>
      </w:r>
      <w:r w:rsidRPr="001C4D9C">
        <w:t xml:space="preserve"> the community’s preference f</w:t>
      </w:r>
      <w:r>
        <w:t xml:space="preserve">or equitable outcomes for all </w:t>
      </w:r>
      <w:r w:rsidRPr="001C4D9C">
        <w:t>members of the community</w:t>
      </w:r>
      <w:r>
        <w:t>.</w:t>
      </w:r>
    </w:p>
    <w:p w:rsidR="007C6A5F" w:rsidRDefault="007C6A5F" w:rsidP="007C6A5F">
      <w:pPr>
        <w:pStyle w:val="BodyText"/>
      </w:pPr>
      <w:r>
        <w:t xml:space="preserve">These are complex problems and the indicators used to identify the number of people affected, and other information relied on to quantify the benefits, are imperfect. As such, there is significant uncertainty around our estimate of the size of the problem and for some problems we have estimated a range. </w:t>
      </w:r>
    </w:p>
    <w:p w:rsidR="007C6A5F" w:rsidRDefault="007C6A5F" w:rsidP="005A6F87">
      <w:pPr>
        <w:pStyle w:val="ListBullet"/>
        <w:numPr>
          <w:ilvl w:val="0"/>
          <w:numId w:val="17"/>
        </w:numPr>
      </w:pPr>
      <w:r>
        <w:t>Based on the information available, we estimate that the costs associated with a lack of accessible housing could be in a range between $2.2 billion and $2.7 billion per year, with a central case estimate of around $2.5 billion (based on 2018 data) (table </w:t>
      </w:r>
      <w:r>
        <w:rPr>
          <w:noProof/>
        </w:rPr>
        <w:fldChar w:fldCharType="begin"/>
      </w:r>
      <w:r>
        <w:rPr>
          <w:noProof/>
        </w:rPr>
        <w:instrText xml:space="preserve"> REF _Caption9105 </w:instrText>
      </w:r>
      <w:r>
        <w:rPr>
          <w:noProof/>
        </w:rPr>
        <w:fldChar w:fldCharType="separate"/>
      </w:r>
      <w:r>
        <w:rPr>
          <w:noProof/>
        </w:rPr>
        <w:t>1</w:t>
      </w:r>
      <w:r>
        <w:rPr>
          <w:noProof/>
        </w:rPr>
        <w:fldChar w:fldCharType="end"/>
      </w:r>
      <w:r>
        <w:t>). As we have primarily relied on data from the SDAC, this mostly includes the costs for people with permanent disabilities (defined as longer than 6 months).</w:t>
      </w:r>
    </w:p>
    <w:p w:rsidR="007C6A5F" w:rsidRDefault="007C6A5F" w:rsidP="005A6F87">
      <w:pPr>
        <w:pStyle w:val="ListBullet"/>
        <w:numPr>
          <w:ilvl w:val="0"/>
          <w:numId w:val="17"/>
        </w:numPr>
      </w:pPr>
      <w:r>
        <w:t xml:space="preserve">If these costs increase in proportion to the number of people with accessibility needs, we estimate that these costs could reach </w:t>
      </w:r>
      <w:r w:rsidRPr="00600B53">
        <w:t>around $</w:t>
      </w:r>
      <w:r>
        <w:t>4.5 </w:t>
      </w:r>
      <w:r w:rsidRPr="00600B53">
        <w:t xml:space="preserve">billion </w:t>
      </w:r>
      <w:r>
        <w:t>over the next 40 years (chart </w:t>
      </w:r>
      <w:r>
        <w:rPr>
          <w:noProof/>
        </w:rPr>
        <w:fldChar w:fldCharType="begin"/>
      </w:r>
      <w:r>
        <w:rPr>
          <w:noProof/>
        </w:rPr>
        <w:instrText xml:space="preserve"> REF _Caption3987 </w:instrText>
      </w:r>
      <w:r>
        <w:rPr>
          <w:noProof/>
        </w:rPr>
        <w:fldChar w:fldCharType="separate"/>
      </w:r>
      <w:r>
        <w:rPr>
          <w:noProof/>
        </w:rPr>
        <w:t>2</w:t>
      </w:r>
      <w:r w:rsidRPr="00243E49">
        <w:rPr>
          <w:noProof/>
        </w:rPr>
        <w:t>.</w:t>
      </w:r>
      <w:r>
        <w:rPr>
          <w:noProof/>
        </w:rPr>
        <w:t>28</w:t>
      </w:r>
      <w:r>
        <w:rPr>
          <w:noProof/>
        </w:rPr>
        <w:fldChar w:fldCharType="end"/>
      </w:r>
      <w:r>
        <w:t>).</w:t>
      </w:r>
    </w:p>
    <w:p w:rsidR="007C6A5F" w:rsidRDefault="007C6A5F" w:rsidP="007C6A5F">
      <w:pPr>
        <w:pStyle w:val="ListBullet"/>
        <w:numPr>
          <w:ilvl w:val="0"/>
          <w:numId w:val="0"/>
        </w:numPr>
        <w:rPr>
          <w:lang w:eastAsia="zh-CN"/>
        </w:rPr>
      </w:pPr>
      <w:r>
        <w:rPr>
          <w:lang w:eastAsia="zh-CN"/>
        </w:rPr>
        <w:t>T</w:t>
      </w:r>
      <w:r w:rsidRPr="0052006B">
        <w:rPr>
          <w:lang w:eastAsia="zh-CN"/>
        </w:rPr>
        <w:t xml:space="preserve">he ‘size of the </w:t>
      </w:r>
      <w:r>
        <w:rPr>
          <w:lang w:eastAsia="zh-CN"/>
        </w:rPr>
        <w:t>issue</w:t>
      </w:r>
      <w:r w:rsidRPr="0052006B">
        <w:rPr>
          <w:lang w:eastAsia="zh-CN"/>
        </w:rPr>
        <w:t>’ can be thought of as</w:t>
      </w:r>
      <w:r>
        <w:rPr>
          <w:lang w:eastAsia="zh-CN"/>
        </w:rPr>
        <w:t xml:space="preserve"> the</w:t>
      </w:r>
      <w:r w:rsidRPr="0052006B">
        <w:rPr>
          <w:lang w:eastAsia="zh-CN"/>
        </w:rPr>
        <w:t xml:space="preserve"> </w:t>
      </w:r>
      <w:r>
        <w:rPr>
          <w:lang w:eastAsia="zh-CN"/>
        </w:rPr>
        <w:t>societal costs — including social and financial costs incurred by people with mobility</w:t>
      </w:r>
      <w:r>
        <w:rPr>
          <w:lang w:eastAsia="zh-CN"/>
        </w:rPr>
        <w:noBreakHyphen/>
        <w:t xml:space="preserve">related disability and their families and </w:t>
      </w:r>
      <w:r>
        <w:rPr>
          <w:lang w:eastAsia="zh-CN"/>
        </w:rPr>
        <w:lastRenderedPageBreak/>
        <w:t>friends, costs incurred by governments, as well as broader societal costs — that could be avoided if everyone lived in accessible housing. Given that much of the existing housing stock does not include all relevant accessibility features, it would not be possible to achieve these potential benefits through changes to the NCC, which apply only to new buildings and new building work.</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end"/>
      </w:r>
      <w:r w:rsidRPr="00695C93">
        <w:instrText xml:space="preserve"> </w:instrText>
      </w:r>
      <w:r w:rsidRPr="00695C93">
        <w:fldChar w:fldCharType="separate"/>
      </w:r>
      <w:r w:rsidR="00272AF3">
        <w:rPr>
          <w:noProof/>
        </w:rPr>
        <w:instrText>1</w:instrText>
      </w:r>
      <w:r w:rsidRPr="00695C93">
        <w:fldChar w:fldCharType="end"/>
      </w:r>
      <w:r w:rsidRPr="00695C93">
        <w:instrText xml:space="preserve">" "" </w:instrText>
      </w:r>
      <w:r w:rsidRPr="00695C93">
        <w:fldChar w:fldCharType="separate"/>
      </w:r>
      <w:bookmarkStart w:id="14" w:name="_Caption8035"/>
      <w:bookmarkStart w:id="15" w:name="_Caption3469"/>
      <w:bookmarkStart w:id="16" w:name="_Caption8008"/>
      <w:bookmarkStart w:id="17" w:name="_Caption2490"/>
      <w:bookmarkStart w:id="18" w:name="_Caption5025"/>
      <w:bookmarkStart w:id="19" w:name="_Caption2633"/>
      <w:bookmarkStart w:id="20" w:name="_Caption7044"/>
      <w:bookmarkStart w:id="21" w:name="_Caption1837"/>
      <w:bookmarkStart w:id="22" w:name="_Caption9152"/>
      <w:bookmarkStart w:id="23" w:name="_Caption9105"/>
      <w:bookmarkStart w:id="24" w:name="_Caption7348"/>
      <w:bookmarkStart w:id="25" w:name="_Caption3251"/>
      <w:bookmarkStart w:id="26" w:name="_Caption6317"/>
      <w:bookmarkStart w:id="27" w:name="_Toc44598476"/>
      <w:bookmarkStart w:id="28" w:name="_Toc45654107"/>
      <w:r w:rsidR="00272AF3">
        <w:rPr>
          <w:noProof/>
        </w:rPr>
        <w:t>1</w:t>
      </w:r>
      <w:bookmarkEnd w:id="14"/>
      <w:bookmarkEnd w:id="15"/>
      <w:bookmarkEnd w:id="16"/>
      <w:bookmarkEnd w:id="17"/>
      <w:bookmarkEnd w:id="18"/>
      <w:bookmarkEnd w:id="19"/>
      <w:bookmarkEnd w:id="20"/>
      <w:bookmarkEnd w:id="21"/>
      <w:bookmarkEnd w:id="22"/>
      <w:bookmarkEnd w:id="23"/>
      <w:bookmarkEnd w:id="24"/>
      <w:bookmarkEnd w:id="25"/>
      <w:bookmarkEnd w:id="26"/>
      <w:r w:rsidRPr="00695C93">
        <w:fldChar w:fldCharType="end"/>
      </w:r>
      <w:r w:rsidRPr="00695C93">
        <w:tab/>
      </w:r>
      <w:r>
        <w:t>Estimated size of the problem</w:t>
      </w:r>
      <w:bookmarkEnd w:id="27"/>
      <w:bookmarkEnd w:id="28"/>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1"/>
        <w:tblDescription w:val="Estimated size of the problem"/>
      </w:tblPr>
      <w:tblGrid>
        <w:gridCol w:w="3648"/>
        <w:gridCol w:w="1423"/>
        <w:gridCol w:w="1443"/>
        <w:gridCol w:w="1424"/>
      </w:tblGrid>
      <w:tr w:rsidR="007C6A5F" w:rsidRPr="003E0C0C" w:rsidTr="00EC1581">
        <w:trPr>
          <w:trHeight w:val="230"/>
          <w:tblHeader/>
        </w:trPr>
        <w:tc>
          <w:tcPr>
            <w:tcW w:w="3648" w:type="dxa"/>
            <w:shd w:val="clear" w:color="auto" w:fill="6F6652" w:themeFill="accent5"/>
          </w:tcPr>
          <w:p w:rsidR="007C6A5F" w:rsidRPr="003E0C0C" w:rsidRDefault="00CD0827" w:rsidP="00C36DA4">
            <w:pPr>
              <w:pStyle w:val="TableDataColumnHeading"/>
              <w:jc w:val="left"/>
              <w:rPr>
                <w:lang w:val="en-GB"/>
              </w:rPr>
            </w:pPr>
            <w:r>
              <w:rPr>
                <w:lang w:val="en-GB"/>
              </w:rPr>
              <w:t>Problem</w:t>
            </w:r>
          </w:p>
        </w:tc>
        <w:tc>
          <w:tcPr>
            <w:tcW w:w="1423" w:type="dxa"/>
            <w:shd w:val="clear" w:color="auto" w:fill="6F6652" w:themeFill="accent5"/>
          </w:tcPr>
          <w:p w:rsidR="007C6A5F" w:rsidRPr="00DF7B3F" w:rsidRDefault="007C6A5F" w:rsidP="00C36DA4">
            <w:pPr>
              <w:pStyle w:val="TableDataColumnHeading"/>
              <w:rPr>
                <w:lang w:val="en-GB"/>
              </w:rPr>
            </w:pPr>
            <w:r w:rsidRPr="00DF7B3F">
              <w:rPr>
                <w:lang w:val="en-GB"/>
              </w:rPr>
              <w:t>Low estimate</w:t>
            </w:r>
            <w:r w:rsidR="00CD0827">
              <w:rPr>
                <w:lang w:val="en-GB"/>
              </w:rPr>
              <w:br/>
              <w:t>($ million)</w:t>
            </w:r>
          </w:p>
        </w:tc>
        <w:tc>
          <w:tcPr>
            <w:tcW w:w="1443" w:type="dxa"/>
            <w:shd w:val="clear" w:color="auto" w:fill="6F6652" w:themeFill="accent5"/>
          </w:tcPr>
          <w:p w:rsidR="007C6A5F" w:rsidRPr="00DF7B3F" w:rsidRDefault="007C6A5F" w:rsidP="00C36DA4">
            <w:pPr>
              <w:pStyle w:val="TableDataColumnHeading"/>
              <w:rPr>
                <w:lang w:val="en-GB"/>
              </w:rPr>
            </w:pPr>
            <w:r>
              <w:rPr>
                <w:lang w:val="en-GB"/>
              </w:rPr>
              <w:t>Central case</w:t>
            </w:r>
            <w:r w:rsidR="00CD0827">
              <w:rPr>
                <w:lang w:val="en-GB"/>
              </w:rPr>
              <w:br/>
              <w:t>($ million)</w:t>
            </w:r>
          </w:p>
        </w:tc>
        <w:tc>
          <w:tcPr>
            <w:tcW w:w="1424" w:type="dxa"/>
            <w:shd w:val="clear" w:color="auto" w:fill="6F6652" w:themeFill="accent5"/>
          </w:tcPr>
          <w:p w:rsidR="007C6A5F" w:rsidRPr="00DF7B3F" w:rsidRDefault="007C6A5F" w:rsidP="00C36DA4">
            <w:pPr>
              <w:pStyle w:val="TableDataColumnHeading"/>
              <w:rPr>
                <w:lang w:val="en-GB"/>
              </w:rPr>
            </w:pPr>
            <w:r w:rsidRPr="00DF7B3F">
              <w:rPr>
                <w:lang w:val="en-GB"/>
              </w:rPr>
              <w:t>High estimate</w:t>
            </w:r>
            <w:r w:rsidR="00CD0827">
              <w:rPr>
                <w:lang w:val="en-GB"/>
              </w:rPr>
              <w:br/>
              <w:t>($ million)</w:t>
            </w:r>
          </w:p>
        </w:tc>
      </w:tr>
      <w:tr w:rsidR="007C6A5F" w:rsidTr="002E1A6C">
        <w:trPr>
          <w:trHeight w:val="230"/>
        </w:trPr>
        <w:tc>
          <w:tcPr>
            <w:tcW w:w="364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Safety-related costs</w:t>
            </w:r>
          </w:p>
        </w:tc>
        <w:tc>
          <w:tcPr>
            <w:tcW w:w="1423" w:type="dxa"/>
            <w:tcBorders>
              <w:top w:val="single" w:sz="8" w:space="0" w:color="FFFFFF" w:themeColor="background1"/>
              <w:bottom w:val="single" w:sz="8" w:space="0" w:color="FFFFFF" w:themeColor="background1"/>
            </w:tcBorders>
            <w:shd w:val="clear" w:color="auto" w:fill="E9E8E5" w:themeFill="background2"/>
          </w:tcPr>
          <w:p w:rsidR="007C6A5F" w:rsidRPr="00D320A0" w:rsidRDefault="007C6A5F" w:rsidP="00C36DA4">
            <w:pPr>
              <w:pStyle w:val="TableDataEntries"/>
            </w:pPr>
            <w:r w:rsidRPr="00D320A0">
              <w:t xml:space="preserve"> 41.85</w:t>
            </w:r>
          </w:p>
        </w:tc>
        <w:tc>
          <w:tcPr>
            <w:tcW w:w="1443" w:type="dxa"/>
            <w:tcBorders>
              <w:top w:val="single" w:sz="8" w:space="0" w:color="FFFFFF" w:themeColor="background1"/>
              <w:bottom w:val="single" w:sz="8" w:space="0" w:color="FFFFFF" w:themeColor="background1"/>
            </w:tcBorders>
            <w:shd w:val="clear" w:color="auto" w:fill="E9E8E5" w:themeFill="background2"/>
          </w:tcPr>
          <w:p w:rsidR="007C6A5F" w:rsidRPr="00D320A0" w:rsidRDefault="007C6A5F" w:rsidP="00C36DA4">
            <w:pPr>
              <w:pStyle w:val="TableDataEntries"/>
            </w:pPr>
            <w:r w:rsidRPr="00D320A0">
              <w:t xml:space="preserve"> 57.35</w:t>
            </w:r>
          </w:p>
        </w:tc>
        <w:tc>
          <w:tcPr>
            <w:tcW w:w="1424" w:type="dxa"/>
            <w:tcBorders>
              <w:top w:val="single" w:sz="8" w:space="0" w:color="FFFFFF" w:themeColor="background1"/>
              <w:bottom w:val="single" w:sz="8" w:space="0" w:color="FFFFFF" w:themeColor="background1"/>
            </w:tcBorders>
            <w:shd w:val="clear" w:color="auto" w:fill="E9E8E5" w:themeFill="background2"/>
          </w:tcPr>
          <w:p w:rsidR="007C6A5F" w:rsidRPr="00D320A0" w:rsidRDefault="007C6A5F" w:rsidP="00C36DA4">
            <w:pPr>
              <w:pStyle w:val="TableDataEntries"/>
            </w:pPr>
            <w:r w:rsidRPr="00D320A0">
              <w:t xml:space="preserve"> 71.30</w:t>
            </w:r>
          </w:p>
        </w:tc>
      </w:tr>
      <w:tr w:rsidR="007C6A5F" w:rsidTr="002E1A6C">
        <w:trPr>
          <w:trHeight w:val="230"/>
        </w:trPr>
        <w:tc>
          <w:tcPr>
            <w:tcW w:w="364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Additional time in hospital/transition care</w:t>
            </w:r>
          </w:p>
        </w:tc>
        <w:tc>
          <w:tcPr>
            <w:tcW w:w="1423" w:type="dxa"/>
            <w:tcBorders>
              <w:top w:val="single" w:sz="8" w:space="0" w:color="FFFFFF" w:themeColor="background1"/>
              <w:bottom w:val="single" w:sz="8" w:space="0" w:color="FFFFFF" w:themeColor="background1"/>
            </w:tcBorders>
            <w:shd w:val="clear" w:color="auto" w:fill="E9E8E5" w:themeFill="background2"/>
          </w:tcPr>
          <w:p w:rsidR="007C6A5F" w:rsidRPr="00D320A0" w:rsidRDefault="007C6A5F" w:rsidP="00C36DA4">
            <w:pPr>
              <w:pStyle w:val="TableDataEntries"/>
            </w:pPr>
            <w:r w:rsidRPr="00D320A0">
              <w:t xml:space="preserve"> 234.59</w:t>
            </w:r>
          </w:p>
        </w:tc>
        <w:tc>
          <w:tcPr>
            <w:tcW w:w="1443" w:type="dxa"/>
            <w:tcBorders>
              <w:top w:val="single" w:sz="8" w:space="0" w:color="FFFFFF" w:themeColor="background1"/>
              <w:bottom w:val="single" w:sz="8" w:space="0" w:color="FFFFFF" w:themeColor="background1"/>
            </w:tcBorders>
            <w:shd w:val="clear" w:color="auto" w:fill="E9E8E5" w:themeFill="background2"/>
          </w:tcPr>
          <w:p w:rsidR="007C6A5F" w:rsidRPr="00D320A0" w:rsidRDefault="007C6A5F" w:rsidP="00C36DA4">
            <w:pPr>
              <w:pStyle w:val="TableDataEntries"/>
            </w:pPr>
            <w:r w:rsidRPr="00D320A0">
              <w:t xml:space="preserve"> 234.59</w:t>
            </w:r>
          </w:p>
        </w:tc>
        <w:tc>
          <w:tcPr>
            <w:tcW w:w="1424" w:type="dxa"/>
            <w:tcBorders>
              <w:top w:val="single" w:sz="8" w:space="0" w:color="FFFFFF" w:themeColor="background1"/>
              <w:bottom w:val="single" w:sz="8" w:space="0" w:color="FFFFFF" w:themeColor="background1"/>
            </w:tcBorders>
            <w:shd w:val="clear" w:color="auto" w:fill="E9E8E5" w:themeFill="background2"/>
          </w:tcPr>
          <w:p w:rsidR="007C6A5F" w:rsidRPr="00D320A0" w:rsidRDefault="007C6A5F" w:rsidP="00C36DA4">
            <w:pPr>
              <w:pStyle w:val="TableDataEntries"/>
            </w:pPr>
            <w:r w:rsidRPr="00D320A0">
              <w:t xml:space="preserve"> 234.59</w:t>
            </w:r>
          </w:p>
        </w:tc>
      </w:tr>
      <w:tr w:rsidR="007C6A5F" w:rsidTr="002E1A6C">
        <w:trPr>
          <w:trHeight w:val="230"/>
        </w:trPr>
        <w:tc>
          <w:tcPr>
            <w:tcW w:w="364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Loneliness-related costs</w:t>
            </w:r>
          </w:p>
        </w:tc>
        <w:tc>
          <w:tcPr>
            <w:tcW w:w="1423" w:type="dxa"/>
            <w:tcBorders>
              <w:top w:val="single" w:sz="8" w:space="0" w:color="FFFFFF" w:themeColor="background1"/>
              <w:bottom w:val="single" w:sz="8" w:space="0" w:color="FFFFFF" w:themeColor="background1"/>
            </w:tcBorders>
            <w:shd w:val="clear" w:color="auto" w:fill="E9E8E5" w:themeFill="background2"/>
          </w:tcPr>
          <w:p w:rsidR="007C6A5F" w:rsidRPr="00D320A0" w:rsidRDefault="007C6A5F" w:rsidP="00C36DA4">
            <w:pPr>
              <w:pStyle w:val="TableDataEntries"/>
            </w:pPr>
            <w:r w:rsidRPr="00D320A0">
              <w:t xml:space="preserve"> 85.78</w:t>
            </w:r>
          </w:p>
        </w:tc>
        <w:tc>
          <w:tcPr>
            <w:tcW w:w="1443" w:type="dxa"/>
            <w:tcBorders>
              <w:top w:val="single" w:sz="8" w:space="0" w:color="FFFFFF" w:themeColor="background1"/>
              <w:bottom w:val="single" w:sz="8" w:space="0" w:color="FFFFFF" w:themeColor="background1"/>
            </w:tcBorders>
            <w:shd w:val="clear" w:color="auto" w:fill="E9E8E5" w:themeFill="background2"/>
          </w:tcPr>
          <w:p w:rsidR="007C6A5F" w:rsidRPr="00D320A0" w:rsidRDefault="007C6A5F" w:rsidP="00C36DA4">
            <w:pPr>
              <w:pStyle w:val="TableDataEntries"/>
            </w:pPr>
            <w:r w:rsidRPr="00D320A0">
              <w:t xml:space="preserve"> 194.27</w:t>
            </w:r>
          </w:p>
        </w:tc>
        <w:tc>
          <w:tcPr>
            <w:tcW w:w="1424" w:type="dxa"/>
            <w:tcBorders>
              <w:top w:val="single" w:sz="8" w:space="0" w:color="FFFFFF" w:themeColor="background1"/>
              <w:bottom w:val="single" w:sz="8" w:space="0" w:color="FFFFFF" w:themeColor="background1"/>
            </w:tcBorders>
            <w:shd w:val="clear" w:color="auto" w:fill="E9E8E5" w:themeFill="background2"/>
          </w:tcPr>
          <w:p w:rsidR="007C6A5F" w:rsidRPr="00D320A0" w:rsidRDefault="007C6A5F" w:rsidP="00C36DA4">
            <w:pPr>
              <w:pStyle w:val="TableDataEntries"/>
            </w:pPr>
            <w:r w:rsidRPr="00D320A0">
              <w:t xml:space="preserve"> 302.76</w:t>
            </w:r>
          </w:p>
        </w:tc>
      </w:tr>
      <w:tr w:rsidR="007C6A5F" w:rsidTr="002E1A6C">
        <w:trPr>
          <w:trHeight w:val="230"/>
        </w:trPr>
        <w:tc>
          <w:tcPr>
            <w:tcW w:w="364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Home modification costs</w:t>
            </w:r>
          </w:p>
        </w:tc>
        <w:tc>
          <w:tcPr>
            <w:tcW w:w="1423" w:type="dxa"/>
            <w:tcBorders>
              <w:top w:val="single" w:sz="8" w:space="0" w:color="FFFFFF" w:themeColor="background1"/>
              <w:bottom w:val="single" w:sz="8" w:space="0" w:color="FFFFFF" w:themeColor="background1"/>
            </w:tcBorders>
            <w:shd w:val="clear" w:color="auto" w:fill="E9E8E5" w:themeFill="background2"/>
          </w:tcPr>
          <w:p w:rsidR="007C6A5F" w:rsidRPr="00D320A0" w:rsidRDefault="007C6A5F" w:rsidP="00C36DA4">
            <w:pPr>
              <w:pStyle w:val="TableDataEntries"/>
            </w:pPr>
            <w:r w:rsidRPr="00D320A0">
              <w:t xml:space="preserve"> 599.63</w:t>
            </w:r>
          </w:p>
        </w:tc>
        <w:tc>
          <w:tcPr>
            <w:tcW w:w="1443" w:type="dxa"/>
            <w:tcBorders>
              <w:top w:val="single" w:sz="8" w:space="0" w:color="FFFFFF" w:themeColor="background1"/>
              <w:bottom w:val="single" w:sz="8" w:space="0" w:color="FFFFFF" w:themeColor="background1"/>
            </w:tcBorders>
            <w:shd w:val="clear" w:color="auto" w:fill="E9E8E5" w:themeFill="background2"/>
          </w:tcPr>
          <w:p w:rsidR="007C6A5F" w:rsidRPr="00D320A0" w:rsidRDefault="007C6A5F" w:rsidP="00C36DA4">
            <w:pPr>
              <w:pStyle w:val="TableDataEntries"/>
            </w:pPr>
            <w:r w:rsidRPr="00D320A0">
              <w:t xml:space="preserve"> 599.63</w:t>
            </w:r>
          </w:p>
        </w:tc>
        <w:tc>
          <w:tcPr>
            <w:tcW w:w="1424" w:type="dxa"/>
            <w:tcBorders>
              <w:top w:val="single" w:sz="8" w:space="0" w:color="FFFFFF" w:themeColor="background1"/>
              <w:bottom w:val="single" w:sz="8" w:space="0" w:color="FFFFFF" w:themeColor="background1"/>
            </w:tcBorders>
            <w:shd w:val="clear" w:color="auto" w:fill="E9E8E5" w:themeFill="background2"/>
          </w:tcPr>
          <w:p w:rsidR="007C6A5F" w:rsidRPr="00D320A0" w:rsidRDefault="007C6A5F" w:rsidP="00C36DA4">
            <w:pPr>
              <w:pStyle w:val="TableDataEntries"/>
            </w:pPr>
            <w:r w:rsidRPr="00D320A0">
              <w:t xml:space="preserve"> 599.63</w:t>
            </w:r>
          </w:p>
        </w:tc>
      </w:tr>
      <w:tr w:rsidR="007C6A5F" w:rsidTr="002E1A6C">
        <w:trPr>
          <w:trHeight w:val="230"/>
        </w:trPr>
        <w:tc>
          <w:tcPr>
            <w:tcW w:w="364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Additional carer-related costs</w:t>
            </w:r>
          </w:p>
        </w:tc>
        <w:tc>
          <w:tcPr>
            <w:tcW w:w="1423"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699.42</w:t>
            </w:r>
          </w:p>
        </w:tc>
        <w:tc>
          <w:tcPr>
            <w:tcW w:w="1443"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699.42</w:t>
            </w:r>
          </w:p>
        </w:tc>
        <w:tc>
          <w:tcPr>
            <w:tcW w:w="1424"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699.42</w:t>
            </w:r>
          </w:p>
        </w:tc>
      </w:tr>
      <w:tr w:rsidR="007C6A5F" w:rsidTr="002E1A6C">
        <w:trPr>
          <w:trHeight w:val="230"/>
        </w:trPr>
        <w:tc>
          <w:tcPr>
            <w:tcW w:w="364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Additional moving costs</w:t>
            </w:r>
          </w:p>
        </w:tc>
        <w:tc>
          <w:tcPr>
            <w:tcW w:w="1423"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14.27</w:t>
            </w:r>
          </w:p>
        </w:tc>
        <w:tc>
          <w:tcPr>
            <w:tcW w:w="1443"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28.73</w:t>
            </w:r>
          </w:p>
        </w:tc>
        <w:tc>
          <w:tcPr>
            <w:tcW w:w="1424"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43.18</w:t>
            </w:r>
          </w:p>
        </w:tc>
      </w:tr>
      <w:tr w:rsidR="007C6A5F" w:rsidTr="002E1A6C">
        <w:trPr>
          <w:trHeight w:val="230"/>
        </w:trPr>
        <w:tc>
          <w:tcPr>
            <w:tcW w:w="364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Premature/inappropriate entry into aged care</w:t>
            </w:r>
          </w:p>
        </w:tc>
        <w:tc>
          <w:tcPr>
            <w:tcW w:w="1423"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170.17</w:t>
            </w:r>
          </w:p>
        </w:tc>
        <w:tc>
          <w:tcPr>
            <w:tcW w:w="1443"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263.04</w:t>
            </w:r>
          </w:p>
        </w:tc>
        <w:tc>
          <w:tcPr>
            <w:tcW w:w="1424"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381.24</w:t>
            </w:r>
          </w:p>
        </w:tc>
      </w:tr>
      <w:tr w:rsidR="007C6A5F" w:rsidTr="002E1A6C">
        <w:trPr>
          <w:trHeight w:val="230"/>
        </w:trPr>
        <w:tc>
          <w:tcPr>
            <w:tcW w:w="364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Loss to the community</w:t>
            </w:r>
          </w:p>
        </w:tc>
        <w:tc>
          <w:tcPr>
            <w:tcW w:w="1423"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388.82</w:t>
            </w:r>
          </w:p>
        </w:tc>
        <w:tc>
          <w:tcPr>
            <w:tcW w:w="1443"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388.82</w:t>
            </w:r>
          </w:p>
        </w:tc>
        <w:tc>
          <w:tcPr>
            <w:tcW w:w="1424"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388.82</w:t>
            </w:r>
          </w:p>
        </w:tc>
      </w:tr>
      <w:tr w:rsidR="007C6A5F" w:rsidRPr="00FF2545" w:rsidTr="002E1A6C">
        <w:trPr>
          <w:trHeight w:val="230"/>
        </w:trPr>
        <w:tc>
          <w:tcPr>
            <w:tcW w:w="3648" w:type="dxa"/>
            <w:tcBorders>
              <w:top w:val="single" w:sz="8" w:space="0" w:color="FFFFFF" w:themeColor="background1"/>
              <w:bottom w:val="single" w:sz="4" w:space="0" w:color="6F6652" w:themeColor="accent5"/>
            </w:tcBorders>
            <w:shd w:val="clear" w:color="auto" w:fill="C2DADB" w:themeFill="accent6" w:themeFillTint="99"/>
          </w:tcPr>
          <w:p w:rsidR="007C6A5F" w:rsidRPr="00B626F5" w:rsidRDefault="007C6A5F" w:rsidP="00C36DA4">
            <w:pPr>
              <w:pStyle w:val="TableDataEntries"/>
              <w:jc w:val="left"/>
              <w:rPr>
                <w:rFonts w:ascii="Franklin Gothic Demi" w:hAnsi="Franklin Gothic Demi"/>
                <w:lang w:val="en-GB"/>
              </w:rPr>
            </w:pPr>
            <w:r w:rsidRPr="00FF2545">
              <w:rPr>
                <w:rFonts w:ascii="Franklin Gothic Demi" w:hAnsi="Franklin Gothic Demi"/>
                <w:lang w:val="en-GB"/>
              </w:rPr>
              <w:t>Total</w:t>
            </w:r>
          </w:p>
        </w:tc>
        <w:tc>
          <w:tcPr>
            <w:tcW w:w="1423" w:type="dxa"/>
            <w:tcBorders>
              <w:top w:val="single" w:sz="8" w:space="0" w:color="FFFFFF" w:themeColor="background1"/>
              <w:bottom w:val="single" w:sz="4" w:space="0" w:color="6F6652" w:themeColor="accent5"/>
            </w:tcBorders>
            <w:shd w:val="clear" w:color="auto" w:fill="C2DADB" w:themeFill="accent6" w:themeFillTint="99"/>
          </w:tcPr>
          <w:p w:rsidR="007C6A5F" w:rsidRPr="00F36A14" w:rsidRDefault="007C6A5F" w:rsidP="00C36DA4">
            <w:pPr>
              <w:pStyle w:val="TableDataEntries"/>
              <w:rPr>
                <w:rFonts w:ascii="Franklin Gothic Demi" w:hAnsi="Franklin Gothic Demi"/>
              </w:rPr>
            </w:pPr>
            <w:r w:rsidRPr="00F36A14">
              <w:rPr>
                <w:rFonts w:ascii="Franklin Gothic Demi" w:hAnsi="Franklin Gothic Demi"/>
              </w:rPr>
              <w:t>2 234.52</w:t>
            </w:r>
          </w:p>
        </w:tc>
        <w:tc>
          <w:tcPr>
            <w:tcW w:w="1443" w:type="dxa"/>
            <w:tcBorders>
              <w:top w:val="single" w:sz="8" w:space="0" w:color="FFFFFF" w:themeColor="background1"/>
              <w:bottom w:val="single" w:sz="4" w:space="0" w:color="6F6652" w:themeColor="accent5"/>
            </w:tcBorders>
            <w:shd w:val="clear" w:color="auto" w:fill="C2DADB" w:themeFill="accent6" w:themeFillTint="99"/>
          </w:tcPr>
          <w:p w:rsidR="007C6A5F" w:rsidRPr="00F36A14" w:rsidRDefault="007C6A5F" w:rsidP="00C36DA4">
            <w:pPr>
              <w:pStyle w:val="TableDataEntries"/>
              <w:rPr>
                <w:rFonts w:ascii="Franklin Gothic Demi" w:hAnsi="Franklin Gothic Demi"/>
              </w:rPr>
            </w:pPr>
            <w:r w:rsidRPr="00F36A14">
              <w:rPr>
                <w:rFonts w:ascii="Franklin Gothic Demi" w:hAnsi="Franklin Gothic Demi"/>
              </w:rPr>
              <w:t>2 465.83</w:t>
            </w:r>
          </w:p>
        </w:tc>
        <w:tc>
          <w:tcPr>
            <w:tcW w:w="1424" w:type="dxa"/>
            <w:tcBorders>
              <w:top w:val="single" w:sz="8" w:space="0" w:color="FFFFFF" w:themeColor="background1"/>
              <w:bottom w:val="single" w:sz="4" w:space="0" w:color="6F6652" w:themeColor="accent5"/>
            </w:tcBorders>
            <w:shd w:val="clear" w:color="auto" w:fill="C2DADB" w:themeFill="accent6" w:themeFillTint="99"/>
          </w:tcPr>
          <w:p w:rsidR="007C6A5F" w:rsidRPr="00F36A14" w:rsidRDefault="007C6A5F" w:rsidP="00C36DA4">
            <w:pPr>
              <w:pStyle w:val="TableDataEntries"/>
              <w:rPr>
                <w:rFonts w:ascii="Franklin Gothic Demi" w:hAnsi="Franklin Gothic Demi"/>
              </w:rPr>
            </w:pPr>
            <w:r w:rsidRPr="00F36A14">
              <w:rPr>
                <w:rFonts w:ascii="Franklin Gothic Demi" w:hAnsi="Franklin Gothic Demi"/>
              </w:rPr>
              <w:t>2 720.93</w:t>
            </w:r>
          </w:p>
        </w:tc>
      </w:tr>
    </w:tbl>
    <w:p w:rsidR="007C6A5F" w:rsidRDefault="007C6A5F" w:rsidP="007C6A5F">
      <w:pPr>
        <w:pStyle w:val="Source"/>
      </w:pPr>
      <w:r>
        <w:rPr>
          <w:i/>
        </w:rPr>
        <w:t>Source</w:t>
      </w:r>
      <w:r w:rsidRPr="00E4232C">
        <w:rPr>
          <w:i/>
        </w:rPr>
        <w:t>:</w:t>
      </w:r>
      <w:r>
        <w:t xml:space="preserve"> CIE estimates.</w:t>
      </w:r>
    </w:p>
    <w:p w:rsidR="007C6A5F" w:rsidRDefault="007C6A5F" w:rsidP="007C6A5F">
      <w:pPr>
        <w:pStyle w:val="BodyText"/>
        <w:rPr>
          <w:lang w:eastAsia="en-US"/>
        </w:rPr>
      </w:pPr>
      <w:r>
        <w:rPr>
          <w:lang w:eastAsia="en-US"/>
        </w:rPr>
        <w:t>Underlying causes of these issues include the following.</w:t>
      </w:r>
    </w:p>
    <w:p w:rsidR="007C6A5F" w:rsidRDefault="007C6A5F" w:rsidP="005A6F87">
      <w:pPr>
        <w:pStyle w:val="ListBullet"/>
        <w:numPr>
          <w:ilvl w:val="0"/>
          <w:numId w:val="17"/>
        </w:numPr>
        <w:rPr>
          <w:lang w:eastAsia="en-US"/>
        </w:rPr>
      </w:pPr>
      <w:r>
        <w:rPr>
          <w:lang w:eastAsia="en-US"/>
        </w:rPr>
        <w:t>There is some evidence that a range of market imperfections are limiting the uptake of universal design features, including:</w:t>
      </w:r>
    </w:p>
    <w:p w:rsidR="007C6A5F" w:rsidRDefault="007C6A5F" w:rsidP="005A6F87">
      <w:pPr>
        <w:pStyle w:val="ListBullet2"/>
        <w:numPr>
          <w:ilvl w:val="1"/>
          <w:numId w:val="17"/>
        </w:numPr>
        <w:ind w:left="568" w:hanging="284"/>
        <w:rPr>
          <w:lang w:eastAsia="en-US"/>
        </w:rPr>
      </w:pPr>
      <w:r>
        <w:rPr>
          <w:lang w:eastAsia="en-US"/>
        </w:rPr>
        <w:t>home buyers failing to foresee future accessibility needs when they make design choices</w:t>
      </w:r>
    </w:p>
    <w:p w:rsidR="007C6A5F" w:rsidRDefault="007C6A5F" w:rsidP="005A6F87">
      <w:pPr>
        <w:pStyle w:val="ListBullet2"/>
        <w:numPr>
          <w:ilvl w:val="1"/>
          <w:numId w:val="17"/>
        </w:numPr>
        <w:ind w:left="568" w:hanging="284"/>
        <w:rPr>
          <w:lang w:eastAsia="en-US"/>
        </w:rPr>
      </w:pPr>
      <w:r>
        <w:rPr>
          <w:lang w:eastAsia="en-US"/>
        </w:rPr>
        <w:t>the characteristics of the housing delivery chain, which can make it difficult for some homebuyers to deviate from standard designs to incorporate accessibility features</w:t>
      </w:r>
    </w:p>
    <w:p w:rsidR="007C6A5F" w:rsidRDefault="007C6A5F" w:rsidP="005A6F87">
      <w:pPr>
        <w:pStyle w:val="ListBullet2"/>
        <w:numPr>
          <w:ilvl w:val="1"/>
          <w:numId w:val="17"/>
        </w:numPr>
        <w:ind w:left="568" w:hanging="284"/>
        <w:rPr>
          <w:lang w:eastAsia="en-US"/>
        </w:rPr>
      </w:pPr>
      <w:r>
        <w:rPr>
          <w:lang w:eastAsia="en-US"/>
        </w:rPr>
        <w:t xml:space="preserve">as many apartments are built to be purchased off the plan, they are designed to appeal to average </w:t>
      </w:r>
      <w:r>
        <w:rPr>
          <w:lang w:bidi="fa-IR"/>
        </w:rPr>
        <w:t>demand</w:t>
      </w:r>
      <w:r>
        <w:rPr>
          <w:lang w:eastAsia="en-US"/>
        </w:rPr>
        <w:t>, rather than the specific needs of people with accessibility needs</w:t>
      </w:r>
    </w:p>
    <w:p w:rsidR="007C6A5F" w:rsidRDefault="007C6A5F" w:rsidP="005A6F87">
      <w:pPr>
        <w:pStyle w:val="ListBullet"/>
        <w:numPr>
          <w:ilvl w:val="0"/>
          <w:numId w:val="17"/>
        </w:numPr>
        <w:rPr>
          <w:lang w:eastAsia="en-US"/>
        </w:rPr>
      </w:pPr>
      <w:r>
        <w:rPr>
          <w:lang w:eastAsia="en-US"/>
        </w:rPr>
        <w:t>Landlords are reluctant to allow modifications for private renters, which means that home modifications are often not an option for renters with accessibility needs</w:t>
      </w:r>
    </w:p>
    <w:p w:rsidR="007C6A5F" w:rsidRPr="003D1DF7" w:rsidRDefault="007C6A5F" w:rsidP="005A6F87">
      <w:pPr>
        <w:pStyle w:val="ListBullet"/>
        <w:numPr>
          <w:ilvl w:val="0"/>
          <w:numId w:val="17"/>
        </w:numPr>
        <w:rPr>
          <w:lang w:eastAsia="en-US"/>
        </w:rPr>
      </w:pPr>
      <w:r>
        <w:rPr>
          <w:lang w:eastAsia="en-US"/>
        </w:rPr>
        <w:t>Many households containing people with disability have low incomes.</w:t>
      </w:r>
      <w:r w:rsidR="00A577E2">
        <w:rPr>
          <w:rStyle w:val="FootnoteReference"/>
          <w:lang w:eastAsia="en-US"/>
        </w:rPr>
        <w:footnoteReference w:id="4"/>
      </w:r>
    </w:p>
    <w:p w:rsidR="007C6A5F" w:rsidRDefault="007C6A5F" w:rsidP="007C6A5F">
      <w:pPr>
        <w:pStyle w:val="Heading2"/>
        <w:numPr>
          <w:ilvl w:val="1"/>
          <w:numId w:val="5"/>
        </w:numPr>
        <w:rPr>
          <w:lang w:bidi="fa-IR"/>
        </w:rPr>
      </w:pPr>
      <w:bookmarkStart w:id="29" w:name="_Toc32321736"/>
      <w:bookmarkStart w:id="30" w:name="_Toc44598423"/>
      <w:bookmarkStart w:id="31" w:name="_Toc45654054"/>
      <w:r>
        <w:rPr>
          <w:lang w:bidi="fa-IR"/>
        </w:rPr>
        <w:t>Objectives</w:t>
      </w:r>
      <w:bookmarkEnd w:id="29"/>
      <w:bookmarkEnd w:id="30"/>
      <w:bookmarkEnd w:id="31"/>
    </w:p>
    <w:p w:rsidR="007C6A5F" w:rsidRPr="00634BB9" w:rsidRDefault="007C6A5F" w:rsidP="007C6A5F">
      <w:pPr>
        <w:pStyle w:val="BodyText"/>
      </w:pPr>
      <w:r>
        <w:t>The objective of the regulatory proposal is t</w:t>
      </w:r>
      <w:r w:rsidRPr="00634BB9">
        <w:t xml:space="preserve">o ensure that housing is designed to meet the needs of the community, including older </w:t>
      </w:r>
      <w:r>
        <w:t>Australians</w:t>
      </w:r>
      <w:r w:rsidRPr="00634BB9">
        <w:t xml:space="preserve"> and </w:t>
      </w:r>
      <w:r>
        <w:t>others</w:t>
      </w:r>
      <w:r w:rsidRPr="00634BB9">
        <w:t xml:space="preserve"> with </w:t>
      </w:r>
      <w:r w:rsidR="00850A2E">
        <w:t xml:space="preserve">a </w:t>
      </w:r>
      <w:r w:rsidRPr="00634BB9">
        <w:t>mobility</w:t>
      </w:r>
      <w:r w:rsidR="00850A2E">
        <w:noBreakHyphen/>
        <w:t>related</w:t>
      </w:r>
      <w:r>
        <w:t xml:space="preserve"> </w:t>
      </w:r>
      <w:r w:rsidR="00850A2E">
        <w:t>disability</w:t>
      </w:r>
      <w:r w:rsidRPr="00634BB9">
        <w:t>.</w:t>
      </w:r>
    </w:p>
    <w:p w:rsidR="007C6A5F" w:rsidRDefault="007C6A5F" w:rsidP="007C6A5F">
      <w:pPr>
        <w:pStyle w:val="Heading2"/>
        <w:numPr>
          <w:ilvl w:val="1"/>
          <w:numId w:val="5"/>
        </w:numPr>
        <w:rPr>
          <w:lang w:bidi="fa-IR"/>
        </w:rPr>
      </w:pPr>
      <w:bookmarkStart w:id="32" w:name="_Toc32321737"/>
      <w:bookmarkStart w:id="33" w:name="_Toc44598424"/>
      <w:bookmarkStart w:id="34" w:name="_Toc45654055"/>
      <w:r>
        <w:rPr>
          <w:lang w:bidi="fa-IR"/>
        </w:rPr>
        <w:lastRenderedPageBreak/>
        <w:t>Options</w:t>
      </w:r>
      <w:bookmarkEnd w:id="32"/>
      <w:bookmarkEnd w:id="33"/>
      <w:bookmarkEnd w:id="34"/>
    </w:p>
    <w:p w:rsidR="007C6A5F" w:rsidRDefault="007C6A5F" w:rsidP="007C6A5F">
      <w:pPr>
        <w:pStyle w:val="BodyText"/>
        <w:rPr>
          <w:lang w:bidi="fa-IR"/>
        </w:rPr>
      </w:pPr>
      <w:r>
        <w:rPr>
          <w:lang w:bidi="fa-IR"/>
        </w:rPr>
        <w:t>The Consultation RIS explicitly considers how accessibility could be improved through the following options.</w:t>
      </w:r>
    </w:p>
    <w:p w:rsidR="007C6A5F" w:rsidRPr="00107F73" w:rsidRDefault="007C6A5F" w:rsidP="005A6F87">
      <w:pPr>
        <w:pStyle w:val="ListBullet"/>
        <w:numPr>
          <w:ilvl w:val="0"/>
          <w:numId w:val="17"/>
        </w:numPr>
        <w:rPr>
          <w:lang w:bidi="fa-IR"/>
        </w:rPr>
      </w:pPr>
      <w:r w:rsidRPr="00107F73">
        <w:rPr>
          <w:b/>
          <w:bCs/>
          <w:lang w:bidi="fa-IR"/>
        </w:rPr>
        <w:t>Status quo:</w:t>
      </w:r>
      <w:r>
        <w:rPr>
          <w:lang w:bidi="fa-IR"/>
        </w:rPr>
        <w:t xml:space="preserve"> No changes to existing policy settings. This option is used as a baseline against which the costs and benefits of the other options are assessed.</w:t>
      </w:r>
    </w:p>
    <w:p w:rsidR="007C6A5F" w:rsidRDefault="007C6A5F" w:rsidP="005A6F87">
      <w:pPr>
        <w:pStyle w:val="ListBullet"/>
        <w:numPr>
          <w:ilvl w:val="0"/>
          <w:numId w:val="17"/>
        </w:numPr>
        <w:rPr>
          <w:lang w:bidi="fa-IR"/>
        </w:rPr>
      </w:pPr>
      <w:r w:rsidRPr="00AE0FB4">
        <w:rPr>
          <w:b/>
          <w:bCs/>
          <w:lang w:bidi="fa-IR"/>
        </w:rPr>
        <w:t>Option 1:</w:t>
      </w:r>
      <w:r>
        <w:rPr>
          <w:lang w:bidi="fa-IR"/>
        </w:rPr>
        <w:t xml:space="preserve"> Accessibility standard, broadly reflecting LHDG silver standard, in the NCC applying to all new Class 1a and Class 2 buildings.</w:t>
      </w:r>
    </w:p>
    <w:p w:rsidR="007C6A5F" w:rsidRDefault="007C6A5F" w:rsidP="005A6F87">
      <w:pPr>
        <w:pStyle w:val="ListBullet"/>
        <w:numPr>
          <w:ilvl w:val="0"/>
          <w:numId w:val="17"/>
        </w:numPr>
        <w:rPr>
          <w:lang w:bidi="fa-IR"/>
        </w:rPr>
      </w:pPr>
      <w:r w:rsidRPr="00AE0FB4">
        <w:rPr>
          <w:b/>
          <w:bCs/>
          <w:lang w:bidi="fa-IR"/>
        </w:rPr>
        <w:t>Option 2:</w:t>
      </w:r>
      <w:r>
        <w:rPr>
          <w:lang w:bidi="fa-IR"/>
        </w:rPr>
        <w:t xml:space="preserve"> Accessibility standard, broadly reflecting LHDG gold standard, in the NCC applying to all new Class 1a and Class 2 buildings.</w:t>
      </w:r>
    </w:p>
    <w:p w:rsidR="007C6A5F" w:rsidRDefault="007C6A5F" w:rsidP="005A6F87">
      <w:pPr>
        <w:pStyle w:val="ListBullet"/>
        <w:numPr>
          <w:ilvl w:val="0"/>
          <w:numId w:val="17"/>
        </w:numPr>
        <w:rPr>
          <w:lang w:bidi="fa-IR"/>
        </w:rPr>
      </w:pPr>
      <w:r w:rsidRPr="00AE0FB4">
        <w:rPr>
          <w:b/>
          <w:bCs/>
          <w:lang w:bidi="fa-IR"/>
        </w:rPr>
        <w:t>Option 3:</w:t>
      </w:r>
      <w:r>
        <w:rPr>
          <w:lang w:bidi="fa-IR"/>
        </w:rPr>
        <w:t xml:space="preserve"> Accessibility standard, broadly reflecting LHDG gold standard (with some platinum features), in the NCC applying to all new Class 1a and Class 2 buildings.</w:t>
      </w:r>
    </w:p>
    <w:p w:rsidR="007C6A5F" w:rsidRDefault="007C6A5F" w:rsidP="005A6F87">
      <w:pPr>
        <w:pStyle w:val="ListBullet"/>
        <w:numPr>
          <w:ilvl w:val="0"/>
          <w:numId w:val="17"/>
        </w:numPr>
        <w:rPr>
          <w:lang w:bidi="fa-IR"/>
        </w:rPr>
      </w:pPr>
      <w:r w:rsidRPr="00AE0FB4">
        <w:rPr>
          <w:b/>
          <w:bCs/>
          <w:lang w:bidi="fa-IR"/>
        </w:rPr>
        <w:t>Option 4:</w:t>
      </w:r>
      <w:r>
        <w:rPr>
          <w:lang w:bidi="fa-IR"/>
        </w:rPr>
        <w:t xml:space="preserve"> Accessibility standard, broadly reflecting LHDG Gold standard, in the NCC applying to all new Class 2 buildings only.</w:t>
      </w:r>
    </w:p>
    <w:p w:rsidR="007C6A5F" w:rsidRDefault="007C6A5F" w:rsidP="005A6F87">
      <w:pPr>
        <w:pStyle w:val="ListBullet"/>
        <w:numPr>
          <w:ilvl w:val="0"/>
          <w:numId w:val="17"/>
        </w:numPr>
        <w:rPr>
          <w:lang w:bidi="fa-IR"/>
        </w:rPr>
      </w:pPr>
      <w:r w:rsidRPr="00AE0FB4">
        <w:rPr>
          <w:b/>
          <w:bCs/>
          <w:lang w:bidi="fa-IR"/>
        </w:rPr>
        <w:t>Option 5:</w:t>
      </w:r>
      <w:r>
        <w:rPr>
          <w:lang w:bidi="fa-IR"/>
        </w:rPr>
        <w:t xml:space="preserve"> A subsidy program to encourage additional availability of accessible rental properties.</w:t>
      </w:r>
    </w:p>
    <w:p w:rsidR="007C6A5F" w:rsidRDefault="007C6A5F" w:rsidP="005A6F87">
      <w:pPr>
        <w:pStyle w:val="ListBullet"/>
        <w:numPr>
          <w:ilvl w:val="0"/>
          <w:numId w:val="17"/>
        </w:numPr>
        <w:rPr>
          <w:lang w:bidi="fa-IR"/>
        </w:rPr>
      </w:pPr>
      <w:r w:rsidRPr="00AE0FB4">
        <w:rPr>
          <w:b/>
          <w:bCs/>
          <w:lang w:bidi="fa-IR"/>
        </w:rPr>
        <w:t>Option 6:</w:t>
      </w:r>
      <w:r>
        <w:rPr>
          <w:lang w:bidi="fa-IR"/>
        </w:rPr>
        <w:t xml:space="preserve"> An enhanced approach to voluntary guidance, which includes turning the current proposals into a non-regulatory ABCB handbook and other measures to encourage additional uptake of universal design principles, including: a search engine for dwellings certified as complying with the LHDGs and provision of information at the point of sale.</w:t>
      </w:r>
    </w:p>
    <w:p w:rsidR="007C6A5F" w:rsidRDefault="007C6A5F" w:rsidP="007C6A5F">
      <w:pPr>
        <w:pStyle w:val="BodyText"/>
        <w:rPr>
          <w:lang w:bidi="fa-IR"/>
        </w:rPr>
      </w:pPr>
      <w:r>
        <w:rPr>
          <w:lang w:bidi="fa-IR"/>
        </w:rPr>
        <w:t>Options 1</w:t>
      </w:r>
      <w:r>
        <w:rPr>
          <w:lang w:bidi="fa-IR"/>
        </w:rPr>
        <w:noBreakHyphen/>
        <w:t>5 are included in the cost-benefit analysis (CBA) (where the status quo is used as the baseline). Option 6 is considered qualitatively (we do not quantify the costs and benefits).</w:t>
      </w:r>
    </w:p>
    <w:p w:rsidR="007C6A5F" w:rsidRDefault="007C6A5F" w:rsidP="007C6A5F">
      <w:pPr>
        <w:pStyle w:val="Heading2"/>
        <w:numPr>
          <w:ilvl w:val="1"/>
          <w:numId w:val="5"/>
        </w:numPr>
        <w:rPr>
          <w:lang w:bidi="fa-IR"/>
        </w:rPr>
      </w:pPr>
      <w:bookmarkStart w:id="35" w:name="_Toc32321738"/>
      <w:bookmarkStart w:id="36" w:name="_Toc44598425"/>
      <w:bookmarkStart w:id="37" w:name="_Toc45654056"/>
      <w:r>
        <w:rPr>
          <w:lang w:bidi="fa-IR"/>
        </w:rPr>
        <w:t>Estimated impacts</w:t>
      </w:r>
      <w:bookmarkEnd w:id="35"/>
      <w:bookmarkEnd w:id="36"/>
      <w:bookmarkEnd w:id="37"/>
    </w:p>
    <w:p w:rsidR="007C6A5F" w:rsidRDefault="007C6A5F" w:rsidP="007C6A5F">
      <w:pPr>
        <w:pStyle w:val="BodyText"/>
        <w:rPr>
          <w:lang w:bidi="fa-IR"/>
        </w:rPr>
      </w:pPr>
      <w:r>
        <w:rPr>
          <w:lang w:bidi="fa-IR"/>
        </w:rPr>
        <w:t>The CIE’s approach to measuring the estimated impact of the proposed regulation was based on:</w:t>
      </w:r>
    </w:p>
    <w:p w:rsidR="007C6A5F" w:rsidRDefault="007C6A5F" w:rsidP="005A6F87">
      <w:pPr>
        <w:pStyle w:val="ListBullet"/>
        <w:numPr>
          <w:ilvl w:val="0"/>
          <w:numId w:val="17"/>
        </w:numPr>
        <w:rPr>
          <w:lang w:bidi="fa-IR"/>
        </w:rPr>
      </w:pPr>
      <w:r>
        <w:rPr>
          <w:lang w:bidi="fa-IR"/>
        </w:rPr>
        <w:t>a review of initial consultation material, and identify data sources and research</w:t>
      </w:r>
    </w:p>
    <w:p w:rsidR="007C6A5F" w:rsidRDefault="007C6A5F" w:rsidP="005A6F87">
      <w:pPr>
        <w:pStyle w:val="ListBullet"/>
        <w:numPr>
          <w:ilvl w:val="0"/>
          <w:numId w:val="17"/>
        </w:numPr>
        <w:rPr>
          <w:lang w:bidi="fa-IR"/>
        </w:rPr>
      </w:pPr>
      <w:r>
        <w:rPr>
          <w:lang w:bidi="fa-IR"/>
        </w:rPr>
        <w:t>structured interviews with targeted stakeholders</w:t>
      </w:r>
      <w:r>
        <w:rPr>
          <w:rStyle w:val="FootnoteReference"/>
          <w:lang w:bidi="fa-IR"/>
        </w:rPr>
        <w:footnoteReference w:id="5"/>
      </w:r>
      <w:r>
        <w:rPr>
          <w:lang w:bidi="fa-IR"/>
        </w:rPr>
        <w:t xml:space="preserve"> on an issues paper</w:t>
      </w:r>
    </w:p>
    <w:p w:rsidR="007C6A5F" w:rsidRDefault="007C6A5F" w:rsidP="005A6F87">
      <w:pPr>
        <w:pStyle w:val="ListBullet"/>
        <w:numPr>
          <w:ilvl w:val="0"/>
          <w:numId w:val="17"/>
        </w:numPr>
        <w:rPr>
          <w:lang w:bidi="fa-IR"/>
        </w:rPr>
      </w:pPr>
      <w:r>
        <w:rPr>
          <w:lang w:bidi="fa-IR"/>
        </w:rPr>
        <w:t>addressing data gaps through sensitivity testing and targeted survey and research</w:t>
      </w:r>
    </w:p>
    <w:p w:rsidR="007C6A5F" w:rsidRDefault="007C6A5F" w:rsidP="005A6F87">
      <w:pPr>
        <w:pStyle w:val="ListBullet"/>
        <w:numPr>
          <w:ilvl w:val="0"/>
          <w:numId w:val="17"/>
        </w:numPr>
        <w:rPr>
          <w:lang w:bidi="fa-IR"/>
        </w:rPr>
      </w:pPr>
      <w:r>
        <w:rPr>
          <w:lang w:bidi="fa-IR"/>
        </w:rPr>
        <w:t xml:space="preserve">applying quantity surveyors estimates informed through industry consultation to a partial equilibrium model. </w:t>
      </w:r>
    </w:p>
    <w:p w:rsidR="007C6A5F" w:rsidRDefault="007C6A5F" w:rsidP="007C6A5F">
      <w:pPr>
        <w:pStyle w:val="BodyText"/>
        <w:rPr>
          <w:lang w:bidi="fa-IR"/>
        </w:rPr>
      </w:pPr>
      <w:r>
        <w:rPr>
          <w:lang w:bidi="fa-IR"/>
        </w:rPr>
        <w:t>In accordance with best practice, the proposed changes to the NCC (and other options) were examined under a CBA framework. The benefit side of the analysis was examined</w:t>
      </w:r>
      <w:r w:rsidRPr="00E22EF6">
        <w:rPr>
          <w:lang w:bidi="fa-IR"/>
        </w:rPr>
        <w:t xml:space="preserve"> </w:t>
      </w:r>
      <w:r>
        <w:rPr>
          <w:lang w:bidi="fa-IR"/>
        </w:rPr>
        <w:t>from two perspectives.</w:t>
      </w:r>
    </w:p>
    <w:p w:rsidR="007C6A5F" w:rsidRDefault="007C6A5F" w:rsidP="007C6A5F">
      <w:pPr>
        <w:pStyle w:val="ListBullet"/>
        <w:rPr>
          <w:lang w:bidi="fa-IR"/>
        </w:rPr>
      </w:pPr>
      <w:r>
        <w:rPr>
          <w:lang w:bidi="fa-IR"/>
        </w:rPr>
        <w:t xml:space="preserve">The central approach was based on our estimate of the extent to which we would expect the proposed changes to the NCC (and other options) to improve the accessibility of housing. </w:t>
      </w:r>
      <w:r>
        <w:t>Under</w:t>
      </w:r>
      <w:r w:rsidRPr="00500BCF">
        <w:t xml:space="preserve"> this approach, </w:t>
      </w:r>
      <w:r>
        <w:t xml:space="preserve">most of the </w:t>
      </w:r>
      <w:r w:rsidRPr="00500BCF">
        <w:t xml:space="preserve">benefits </w:t>
      </w:r>
      <w:r w:rsidRPr="007843B0">
        <w:t xml:space="preserve">are only realised </w:t>
      </w:r>
      <w:r w:rsidRPr="007843B0">
        <w:lastRenderedPageBreak/>
        <w:t>when people who require accessible housing occupy the newly built accessible homes</w:t>
      </w:r>
      <w:r>
        <w:t xml:space="preserve"> (there may also be some benefits from enabling family and friends with accessibility needs to visit)</w:t>
      </w:r>
      <w:r w:rsidRPr="007843B0">
        <w:t>.</w:t>
      </w:r>
    </w:p>
    <w:p w:rsidR="007C6A5F" w:rsidRDefault="007C6A5F" w:rsidP="005A6F87">
      <w:pPr>
        <w:pStyle w:val="ListBullet2"/>
        <w:numPr>
          <w:ilvl w:val="1"/>
          <w:numId w:val="17"/>
        </w:numPr>
        <w:ind w:left="568" w:hanging="284"/>
        <w:rPr>
          <w:lang w:bidi="fa-IR"/>
        </w:rPr>
      </w:pPr>
      <w:r>
        <w:t>T</w:t>
      </w:r>
      <w:r w:rsidRPr="00500BCF">
        <w:t xml:space="preserve">he </w:t>
      </w:r>
      <w:r w:rsidRPr="00500BCF">
        <w:rPr>
          <w:b/>
          <w:bCs/>
        </w:rPr>
        <w:t xml:space="preserve">realised </w:t>
      </w:r>
      <w:r w:rsidRPr="00500BCF">
        <w:t xml:space="preserve">benefits </w:t>
      </w:r>
      <w:r>
        <w:t>increase over time as the share of accessible dwellings in the stock increases. By the end of the 10</w:t>
      </w:r>
      <w:r>
        <w:noBreakHyphen/>
        <w:t>year regulatory period, the realised benefits reach around 5</w:t>
      </w:r>
      <w:r>
        <w:noBreakHyphen/>
        <w:t>6 </w:t>
      </w:r>
      <w:r w:rsidRPr="00500BCF">
        <w:t xml:space="preserve">per cent of </w:t>
      </w:r>
      <w:r>
        <w:t>the total size of the problem the proposed changes are seeking to address</w:t>
      </w:r>
      <w:r w:rsidRPr="00500BCF">
        <w:t>.</w:t>
      </w:r>
    </w:p>
    <w:p w:rsidR="007C6A5F" w:rsidRDefault="007C6A5F" w:rsidP="005A6F87">
      <w:pPr>
        <w:pStyle w:val="ListBullet2"/>
        <w:numPr>
          <w:ilvl w:val="1"/>
          <w:numId w:val="17"/>
        </w:numPr>
        <w:ind w:left="568" w:hanging="284"/>
        <w:rPr>
          <w:lang w:bidi="fa-IR"/>
        </w:rPr>
      </w:pPr>
      <w:r>
        <w:rPr>
          <w:lang w:bidi="fa-IR"/>
        </w:rPr>
        <w:t>This includes estimates of the societal benefits, reflecting the community’s preference for equitable outcomes for all members of the community.</w:t>
      </w:r>
    </w:p>
    <w:p w:rsidR="007C6A5F" w:rsidRDefault="007C6A5F" w:rsidP="005A6F87">
      <w:pPr>
        <w:pStyle w:val="ListBullet"/>
        <w:numPr>
          <w:ilvl w:val="0"/>
          <w:numId w:val="17"/>
        </w:numPr>
        <w:rPr>
          <w:lang w:bidi="fa-IR"/>
        </w:rPr>
      </w:pPr>
      <w:r>
        <w:rPr>
          <w:lang w:bidi="fa-IR"/>
        </w:rPr>
        <w:t>The other approach was based on estimates of household willingness to pay (or WTP) for various accessibility features when choosing a home to buy or rent. These estimates were derived from the stated preference survey using ‘choice modelling’ questions that offered hypothetical choices between homes with differing accessibility features and rents.</w:t>
      </w:r>
    </w:p>
    <w:p w:rsidR="007C6A5F" w:rsidRDefault="007C6A5F" w:rsidP="007C6A5F">
      <w:pPr>
        <w:pStyle w:val="BodyText"/>
        <w:rPr>
          <w:lang w:bidi="fa-IR"/>
        </w:rPr>
      </w:pPr>
      <w:r>
        <w:rPr>
          <w:lang w:bidi="fa-IR"/>
        </w:rPr>
        <w:t>The CBA results under each of these approaches (including the WTP approach, where only the benefits to households where there is a person with mobility-related disability are included) are shown in chart 2, with further details provided below.</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end"/>
      </w:r>
      <w:r w:rsidRPr="00695C93">
        <w:instrText xml:space="preserve"> </w:instrText>
      </w:r>
      <w:r w:rsidRPr="00695C93">
        <w:fldChar w:fldCharType="separate"/>
      </w:r>
      <w:r w:rsidR="00272AF3">
        <w:rPr>
          <w:noProof/>
        </w:rPr>
        <w:instrText>2</w:instrText>
      </w:r>
      <w:r w:rsidRPr="00695C93">
        <w:fldChar w:fldCharType="end"/>
      </w:r>
      <w:r w:rsidRPr="00695C93">
        <w:instrText xml:space="preserve">" "" </w:instrText>
      </w:r>
      <w:r w:rsidRPr="00695C93">
        <w:fldChar w:fldCharType="separate"/>
      </w:r>
      <w:bookmarkStart w:id="38" w:name="_Caption1320"/>
      <w:bookmarkStart w:id="39" w:name="_Caption6529"/>
      <w:bookmarkStart w:id="40" w:name="_Caption1967"/>
      <w:bookmarkStart w:id="41" w:name="_Caption9635"/>
      <w:bookmarkStart w:id="42" w:name="_Caption0872"/>
      <w:bookmarkStart w:id="43" w:name="_Caption1671"/>
      <w:bookmarkStart w:id="44" w:name="_Toc44598477"/>
      <w:bookmarkStart w:id="45" w:name="_Toc45654108"/>
      <w:r w:rsidR="00272AF3">
        <w:rPr>
          <w:noProof/>
        </w:rPr>
        <w:t>2</w:t>
      </w:r>
      <w:bookmarkEnd w:id="38"/>
      <w:bookmarkEnd w:id="39"/>
      <w:bookmarkEnd w:id="40"/>
      <w:bookmarkEnd w:id="41"/>
      <w:bookmarkEnd w:id="42"/>
      <w:bookmarkEnd w:id="43"/>
      <w:r w:rsidRPr="00695C93">
        <w:fldChar w:fldCharType="end"/>
      </w:r>
      <w:r w:rsidRPr="00695C93">
        <w:tab/>
      </w:r>
      <w:r>
        <w:t>Estimated net benefits/costs under various approaches to measuring the benefits</w:t>
      </w:r>
      <w:bookmarkEnd w:id="44"/>
      <w:bookmarkEnd w:id="45"/>
    </w:p>
    <w:p w:rsidR="007C6A5F" w:rsidRDefault="007C6A5F" w:rsidP="007C6A5F">
      <w:pPr>
        <w:pStyle w:val="Subtitlebox"/>
      </w:pPr>
      <w:r>
        <w:rPr>
          <w:noProof/>
        </w:rPr>
        <w:drawing>
          <wp:inline distT="0" distB="0" distL="0" distR="0" wp14:anchorId="3274CF15" wp14:editId="7A002148">
            <wp:extent cx="5040000" cy="2556903"/>
            <wp:effectExtent l="57150" t="57150" r="65405" b="53340"/>
            <wp:docPr id="22" name="Picture 22" descr="Chart 2 Estimated net benefits/costs under various approaches to measuring the benefi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000" cy="2556903"/>
                    </a:xfrm>
                    <a:prstGeom prst="rect">
                      <a:avLst/>
                    </a:prstGeom>
                    <a:noFill/>
                    <a:ln w="57150">
                      <a:solidFill>
                        <a:schemeClr val="bg2"/>
                      </a:solidFill>
                    </a:ln>
                  </pic:spPr>
                </pic:pic>
              </a:graphicData>
            </a:graphic>
          </wp:inline>
        </w:drawing>
      </w:r>
    </w:p>
    <w:p w:rsidR="007C6A5F" w:rsidRPr="00A97BEC" w:rsidRDefault="007C6A5F" w:rsidP="007C6A5F">
      <w:pPr>
        <w:pStyle w:val="Note"/>
      </w:pPr>
      <w:r w:rsidRPr="00A97BEC">
        <w:rPr>
          <w:i/>
        </w:rPr>
        <w:t xml:space="preserve">Note: </w:t>
      </w:r>
      <w:r>
        <w:t>Costs and benefits are presented in net present value terms covering a 10</w:t>
      </w:r>
      <w:r>
        <w:noBreakHyphen/>
        <w:t>year regulatory period from 2022 to 2031, using a discount rate of 7 per cent. Benefits are extended out an additional 30 years, reflecting the flow of benefits over the life of dwellings constructed during the regulatory period.</w:t>
      </w:r>
    </w:p>
    <w:p w:rsidR="007C6A5F" w:rsidRDefault="007C6A5F" w:rsidP="007C6A5F">
      <w:pPr>
        <w:pStyle w:val="Source"/>
      </w:pPr>
      <w:r>
        <w:rPr>
          <w:i/>
        </w:rPr>
        <w:t>Data source</w:t>
      </w:r>
      <w:r w:rsidRPr="00A67576">
        <w:rPr>
          <w:i/>
        </w:rPr>
        <w:t>:</w:t>
      </w:r>
      <w:r>
        <w:t xml:space="preserve"> CIE estimates (see below).</w:t>
      </w:r>
    </w:p>
    <w:p w:rsidR="007C6A5F" w:rsidRDefault="007C6A5F" w:rsidP="007C6A5F">
      <w:pPr>
        <w:pStyle w:val="Heading3"/>
        <w:numPr>
          <w:ilvl w:val="2"/>
          <w:numId w:val="5"/>
        </w:numPr>
        <w:rPr>
          <w:lang w:bidi="fa-IR"/>
        </w:rPr>
      </w:pPr>
      <w:r>
        <w:rPr>
          <w:lang w:bidi="fa-IR"/>
        </w:rPr>
        <w:t>Cost-benefit analysis measuring benefits using the ‘problem reduction’ approach</w:t>
      </w:r>
    </w:p>
    <w:p w:rsidR="007C6A5F" w:rsidRDefault="007C6A5F" w:rsidP="007C6A5F">
      <w:pPr>
        <w:pStyle w:val="BodyText"/>
        <w:rPr>
          <w:lang w:bidi="fa-IR"/>
        </w:rPr>
      </w:pPr>
      <w:r>
        <w:rPr>
          <w:lang w:bidi="fa-IR"/>
        </w:rPr>
        <w:t>The CBA results, where the benefits are estimated based on the extent to which each option would address each of the concerns that arise as a result of inaccessible housing are presented in table </w:t>
      </w:r>
      <w:r>
        <w:rPr>
          <w:lang w:bidi="fa-IR"/>
        </w:rPr>
        <w:fldChar w:fldCharType="begin"/>
      </w:r>
      <w:r>
        <w:rPr>
          <w:lang w:bidi="fa-IR"/>
        </w:rPr>
        <w:instrText xml:space="preserve"> REF _Caption7216 </w:instrText>
      </w:r>
      <w:r>
        <w:rPr>
          <w:lang w:bidi="fa-IR"/>
        </w:rPr>
        <w:fldChar w:fldCharType="separate"/>
      </w:r>
      <w:r>
        <w:rPr>
          <w:noProof/>
        </w:rPr>
        <w:t>3</w:t>
      </w:r>
      <w:r>
        <w:rPr>
          <w:lang w:bidi="fa-IR"/>
        </w:rPr>
        <w:fldChar w:fldCharType="end"/>
      </w:r>
      <w:r>
        <w:rPr>
          <w:lang w:bidi="fa-IR"/>
        </w:rPr>
        <w:t>. We use a 10</w:t>
      </w:r>
      <w:r>
        <w:rPr>
          <w:lang w:bidi="fa-IR"/>
        </w:rPr>
        <w:noBreakHyphen/>
        <w:t>year regulatory period and a 7 per cent real discount rate, consistent with OBPR requirements.</w:t>
      </w:r>
    </w:p>
    <w:p w:rsidR="007C6A5F" w:rsidRDefault="007C6A5F" w:rsidP="005A6F87">
      <w:pPr>
        <w:pStyle w:val="ListBullet"/>
        <w:numPr>
          <w:ilvl w:val="0"/>
          <w:numId w:val="17"/>
        </w:numPr>
        <w:rPr>
          <w:lang w:bidi="fa-IR"/>
        </w:rPr>
      </w:pPr>
      <w:r>
        <w:rPr>
          <w:lang w:bidi="fa-IR"/>
        </w:rPr>
        <w:lastRenderedPageBreak/>
        <w:t>The costs reflect the additional construction (and other) costs associated with dwellings constructed over the 10</w:t>
      </w:r>
      <w:r>
        <w:rPr>
          <w:lang w:bidi="fa-IR"/>
        </w:rPr>
        <w:noBreakHyphen/>
        <w:t>year regulatory period from 2022.</w:t>
      </w:r>
    </w:p>
    <w:p w:rsidR="007C6A5F" w:rsidRDefault="007C6A5F" w:rsidP="005A6F87">
      <w:pPr>
        <w:pStyle w:val="ListBullet"/>
        <w:numPr>
          <w:ilvl w:val="0"/>
          <w:numId w:val="17"/>
        </w:numPr>
        <w:rPr>
          <w:lang w:bidi="fa-IR"/>
        </w:rPr>
      </w:pPr>
      <w:r>
        <w:rPr>
          <w:lang w:bidi="fa-IR"/>
        </w:rPr>
        <w:t>As the accessible dwellings constructed over the 10</w:t>
      </w:r>
      <w:r>
        <w:rPr>
          <w:lang w:bidi="fa-IR"/>
        </w:rPr>
        <w:noBreakHyphen/>
        <w:t>year regulatory period will provide ongoing benefits over the life of the dwelling, we extend the benefits over an assumed 40</w:t>
      </w:r>
      <w:r>
        <w:rPr>
          <w:lang w:bidi="fa-IR"/>
        </w:rPr>
        <w:noBreakHyphen/>
        <w:t>year life. In practice this involves holding estimated benefits constant for an additional 30 years beyond the 10</w:t>
      </w:r>
      <w:r>
        <w:rPr>
          <w:lang w:bidi="fa-IR"/>
        </w:rPr>
        <w:noBreakHyphen/>
        <w:t xml:space="preserve">year regulatory period. Benefits are then tapered to zero over the subsequent 10 years to reflect the lifetime benefits from dwellings built later in the regulatory period. </w:t>
      </w:r>
    </w:p>
    <w:p w:rsidR="007C6A5F" w:rsidRDefault="007C6A5F" w:rsidP="007C6A5F">
      <w:pPr>
        <w:pStyle w:val="Caption"/>
      </w:pPr>
      <w:r w:rsidRPr="001F4160">
        <w:fldChar w:fldCharType="begin"/>
      </w:r>
      <w:r w:rsidRPr="001F4160">
        <w:instrText xml:space="preserve"> IF 1 = 1 "</w:instrText>
      </w:r>
      <w:r w:rsidRPr="001F4160">
        <w:fldChar w:fldCharType="begin"/>
      </w:r>
      <w:r w:rsidRPr="001F4160">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1F4160">
        <w:instrText xml:space="preserve"> = 0 "</w:instrText>
      </w:r>
      <w:r w:rsidRPr="001F4160">
        <w:fldChar w:fldCharType="begin"/>
      </w:r>
      <w:r w:rsidRPr="001F4160">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1F4160">
        <w:instrText xml:space="preserve"> = 0 "" "</w:instrText>
      </w:r>
      <w:r>
        <w:rPr>
          <w:noProof/>
        </w:rPr>
        <w:fldChar w:fldCharType="begin"/>
      </w:r>
      <w:r>
        <w:rPr>
          <w:noProof/>
        </w:rPr>
        <w:instrText xml:space="preserve"> STYLEREF "Heading 1" \l \n </w:instrText>
      </w:r>
      <w:r>
        <w:rPr>
          <w:noProof/>
        </w:rPr>
        <w:fldChar w:fldCharType="separate"/>
      </w:r>
      <w:r w:rsidRPr="001F4160">
        <w:rPr>
          <w:noProof/>
        </w:rPr>
        <w:instrText>7</w:instrText>
      </w:r>
      <w:r>
        <w:rPr>
          <w:noProof/>
        </w:rPr>
        <w:fldChar w:fldCharType="end"/>
      </w:r>
      <w:r w:rsidRPr="001F4160">
        <w:instrText xml:space="preserve">." </w:instrText>
      </w:r>
      <w:r w:rsidRPr="001F4160">
        <w:fldChar w:fldCharType="end"/>
      </w:r>
      <w:r w:rsidRPr="001F4160">
        <w:instrText>" "</w:instrText>
      </w:r>
      <w:r w:rsidR="00F56BFF">
        <w:fldChar w:fldCharType="begin"/>
      </w:r>
      <w:r w:rsidR="00F56BFF">
        <w:instrText xml:space="preserve"> STYLEREF "Heading 6" \l \n </w:instrText>
      </w:r>
      <w:r w:rsidR="00F56BFF">
        <w:fldChar w:fldCharType="separate"/>
      </w:r>
      <w:r w:rsidRPr="001F4160">
        <w:instrText>B</w:instrText>
      </w:r>
      <w:r w:rsidR="00F56BFF">
        <w:fldChar w:fldCharType="end"/>
      </w:r>
      <w:r w:rsidRPr="001F4160">
        <w:instrText xml:space="preserve">." </w:instrText>
      </w:r>
      <w:r w:rsidRPr="001F4160">
        <w:fldChar w:fldCharType="end"/>
      </w:r>
      <w:r w:rsidRPr="001F4160">
        <w:fldChar w:fldCharType="begin"/>
      </w:r>
      <w:r w:rsidRPr="001F4160">
        <w:instrText xml:space="preserve"> SEQ Item \* ARABIC \s </w:instrText>
      </w:r>
      <w:r w:rsidRPr="001F4160">
        <w:fldChar w:fldCharType="begin"/>
      </w:r>
      <w:r w:rsidRPr="001F4160">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1F4160">
        <w:instrText xml:space="preserve"> = 0 "</w:instrText>
      </w:r>
      <w:r w:rsidRPr="001F4160">
        <w:fldChar w:fldCharType="begin"/>
      </w:r>
      <w:r w:rsidRPr="001F4160">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1F4160">
        <w:instrText xml:space="preserve"> = 0 "" "1" </w:instrText>
      </w:r>
      <w:r w:rsidRPr="001F4160">
        <w:fldChar w:fldCharType="end"/>
      </w:r>
      <w:r w:rsidRPr="001F4160">
        <w:instrText xml:space="preserve">" "6" </w:instrText>
      </w:r>
      <w:r w:rsidRPr="001F4160">
        <w:fldChar w:fldCharType="end"/>
      </w:r>
      <w:r w:rsidRPr="001F4160">
        <w:instrText xml:space="preserve"> </w:instrText>
      </w:r>
      <w:r w:rsidRPr="001F4160">
        <w:fldChar w:fldCharType="separate"/>
      </w:r>
      <w:r w:rsidR="00272AF3">
        <w:rPr>
          <w:noProof/>
        </w:rPr>
        <w:instrText>3</w:instrText>
      </w:r>
      <w:r w:rsidRPr="001F4160">
        <w:fldChar w:fldCharType="end"/>
      </w:r>
      <w:r w:rsidRPr="001F4160">
        <w:instrText xml:space="preserve">" "" </w:instrText>
      </w:r>
      <w:r w:rsidRPr="001F4160">
        <w:fldChar w:fldCharType="separate"/>
      </w:r>
      <w:bookmarkStart w:id="46" w:name="_Caption7022"/>
      <w:bookmarkStart w:id="47" w:name="_Caption3351"/>
      <w:bookmarkStart w:id="48" w:name="_Caption1621"/>
      <w:bookmarkStart w:id="49" w:name="_Caption1126"/>
      <w:bookmarkStart w:id="50" w:name="_Caption5548"/>
      <w:bookmarkStart w:id="51" w:name="_Caption8158"/>
      <w:bookmarkStart w:id="52" w:name="_Caption7992"/>
      <w:bookmarkStart w:id="53" w:name="_Caption5281"/>
      <w:bookmarkStart w:id="54" w:name="_Caption1500"/>
      <w:bookmarkStart w:id="55" w:name="_Caption4088"/>
      <w:bookmarkStart w:id="56" w:name="_Caption8590"/>
      <w:bookmarkStart w:id="57" w:name="_Caption1928"/>
      <w:bookmarkStart w:id="58" w:name="_Caption6316"/>
      <w:bookmarkStart w:id="59" w:name="_Caption8188"/>
      <w:bookmarkStart w:id="60" w:name="_Caption0257"/>
      <w:bookmarkStart w:id="61" w:name="_Caption1855"/>
      <w:bookmarkStart w:id="62" w:name="_Caption0594"/>
      <w:bookmarkStart w:id="63" w:name="_Caption2252"/>
      <w:bookmarkStart w:id="64" w:name="_Caption5189"/>
      <w:bookmarkStart w:id="65" w:name="_Caption0738"/>
      <w:bookmarkStart w:id="66" w:name="_Caption8936"/>
      <w:bookmarkStart w:id="67" w:name="_Caption5128"/>
      <w:bookmarkStart w:id="68" w:name="_Caption6388"/>
      <w:bookmarkStart w:id="69" w:name="_Caption8772"/>
      <w:bookmarkStart w:id="70" w:name="_Caption5465"/>
      <w:bookmarkStart w:id="71" w:name="_Caption0991"/>
      <w:bookmarkStart w:id="72" w:name="_Caption2940"/>
      <w:bookmarkStart w:id="73" w:name="_Caption1296"/>
      <w:bookmarkStart w:id="74" w:name="_Caption7655"/>
      <w:bookmarkStart w:id="75" w:name="_Caption7896"/>
      <w:bookmarkStart w:id="76" w:name="_Caption1063"/>
      <w:bookmarkStart w:id="77" w:name="_Caption4470"/>
      <w:bookmarkStart w:id="78" w:name="_Caption0568"/>
      <w:bookmarkStart w:id="79" w:name="_Caption5760"/>
      <w:bookmarkStart w:id="80" w:name="_Caption1196"/>
      <w:bookmarkStart w:id="81" w:name="_Caption7113"/>
      <w:bookmarkStart w:id="82" w:name="_Caption1082"/>
      <w:bookmarkStart w:id="83" w:name="_Caption9920"/>
      <w:bookmarkStart w:id="84" w:name="_Caption4228"/>
      <w:bookmarkStart w:id="85" w:name="_Caption8860"/>
      <w:bookmarkStart w:id="86" w:name="_Caption5500"/>
      <w:bookmarkStart w:id="87" w:name="_Caption7917"/>
      <w:bookmarkStart w:id="88" w:name="_Caption0582"/>
      <w:bookmarkStart w:id="89" w:name="_Caption1117"/>
      <w:bookmarkStart w:id="90" w:name="_Caption7216"/>
      <w:bookmarkStart w:id="91" w:name="_Caption4929"/>
      <w:bookmarkStart w:id="92" w:name="_Caption0479"/>
      <w:bookmarkStart w:id="93" w:name="_Caption2671"/>
      <w:bookmarkStart w:id="94" w:name="_Caption8532"/>
      <w:bookmarkStart w:id="95" w:name="_Caption1702"/>
      <w:bookmarkStart w:id="96" w:name="_Caption0869"/>
      <w:bookmarkStart w:id="97" w:name="_Caption5313"/>
      <w:bookmarkStart w:id="98" w:name="_Caption3636"/>
      <w:bookmarkStart w:id="99" w:name="_Caption2217"/>
      <w:bookmarkStart w:id="100" w:name="_Caption5816"/>
      <w:bookmarkStart w:id="101" w:name="_Caption0820"/>
      <w:bookmarkStart w:id="102" w:name="_Caption8705"/>
      <w:bookmarkStart w:id="103" w:name="_Caption5444"/>
      <w:bookmarkStart w:id="104" w:name="_Caption7126"/>
      <w:bookmarkStart w:id="105" w:name="_Caption4127"/>
      <w:bookmarkStart w:id="106" w:name="_Caption0807"/>
      <w:bookmarkStart w:id="107" w:name="_Caption2733"/>
      <w:bookmarkStart w:id="108" w:name="_Caption3716"/>
      <w:bookmarkStart w:id="109" w:name="_Caption9387"/>
      <w:bookmarkStart w:id="110" w:name="_Toc44598478"/>
      <w:bookmarkStart w:id="111" w:name="_Toc45654109"/>
      <w:r w:rsidR="00272AF3">
        <w:rPr>
          <w:noProof/>
        </w:rPr>
        <w:t>3</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1F4160">
        <w:fldChar w:fldCharType="end"/>
      </w:r>
      <w:bookmarkStart w:id="112" w:name="_Toc32321787"/>
      <w:bookmarkStart w:id="113" w:name="_Hlk32310029"/>
      <w:r w:rsidRPr="001F4160">
        <w:tab/>
        <w:t xml:space="preserve">Estimated net benefit/cost – </w:t>
      </w:r>
      <w:r>
        <w:t>“</w:t>
      </w:r>
      <w:r w:rsidRPr="001F4160">
        <w:t>problem reduction</w:t>
      </w:r>
      <w:r>
        <w:t>”</w:t>
      </w:r>
      <w:r w:rsidRPr="001F4160">
        <w:t xml:space="preserve"> approach</w:t>
      </w:r>
      <w:bookmarkEnd w:id="110"/>
      <w:bookmarkEnd w:id="111"/>
      <w:bookmarkEnd w:id="112"/>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3"/>
        <w:tblDescription w:val="Estimated net benefit/cost – “problem reduction” approach"/>
      </w:tblPr>
      <w:tblGrid>
        <w:gridCol w:w="2962"/>
        <w:gridCol w:w="995"/>
        <w:gridCol w:w="995"/>
        <w:gridCol w:w="995"/>
        <w:gridCol w:w="995"/>
        <w:gridCol w:w="995"/>
      </w:tblGrid>
      <w:tr w:rsidR="007C6A5F" w:rsidTr="00EC1581">
        <w:trPr>
          <w:trHeight w:val="230"/>
          <w:tblHeader/>
        </w:trPr>
        <w:tc>
          <w:tcPr>
            <w:tcW w:w="2962" w:type="dxa"/>
            <w:shd w:val="clear" w:color="auto" w:fill="6F6652" w:themeFill="accent5"/>
          </w:tcPr>
          <w:p w:rsidR="007C6A5F" w:rsidRDefault="00124149" w:rsidP="00C36DA4">
            <w:pPr>
              <w:pStyle w:val="TableDataColumnHeading"/>
              <w:jc w:val="left"/>
              <w:rPr>
                <w:lang w:val="en-GB"/>
              </w:rPr>
            </w:pPr>
            <w:r>
              <w:rPr>
                <w:lang w:val="en-GB"/>
              </w:rPr>
              <w:t>Benefits/Costs/Net Benefit</w:t>
            </w:r>
          </w:p>
        </w:tc>
        <w:tc>
          <w:tcPr>
            <w:tcW w:w="995" w:type="dxa"/>
            <w:shd w:val="clear" w:color="auto" w:fill="6F6652" w:themeFill="accent5"/>
          </w:tcPr>
          <w:p w:rsidR="007C6A5F" w:rsidRDefault="007C6A5F" w:rsidP="00C36DA4">
            <w:pPr>
              <w:pStyle w:val="TableDataColumnHeading"/>
              <w:rPr>
                <w:lang w:val="en-GB"/>
              </w:rPr>
            </w:pPr>
            <w:r>
              <w:rPr>
                <w:lang w:val="en-GB"/>
              </w:rPr>
              <w:t>Option 1</w:t>
            </w:r>
            <w:r w:rsidR="00124149">
              <w:rPr>
                <w:lang w:val="en-GB"/>
              </w:rPr>
              <w:br/>
              <w:t>($ million)</w:t>
            </w:r>
          </w:p>
        </w:tc>
        <w:tc>
          <w:tcPr>
            <w:tcW w:w="995" w:type="dxa"/>
            <w:shd w:val="clear" w:color="auto" w:fill="6F6652" w:themeFill="accent5"/>
          </w:tcPr>
          <w:p w:rsidR="007C6A5F" w:rsidRDefault="007C6A5F" w:rsidP="00C36DA4">
            <w:pPr>
              <w:pStyle w:val="TableDataColumnHeading"/>
              <w:rPr>
                <w:lang w:val="en-GB"/>
              </w:rPr>
            </w:pPr>
            <w:r>
              <w:rPr>
                <w:lang w:val="en-GB"/>
              </w:rPr>
              <w:t>Option 2</w:t>
            </w:r>
            <w:r w:rsidR="00124149">
              <w:rPr>
                <w:lang w:val="en-GB"/>
              </w:rPr>
              <w:br/>
              <w:t>($ million)</w:t>
            </w:r>
          </w:p>
        </w:tc>
        <w:tc>
          <w:tcPr>
            <w:tcW w:w="995" w:type="dxa"/>
            <w:shd w:val="clear" w:color="auto" w:fill="6F6652" w:themeFill="accent5"/>
          </w:tcPr>
          <w:p w:rsidR="007C6A5F" w:rsidRDefault="007C6A5F" w:rsidP="00C36DA4">
            <w:pPr>
              <w:pStyle w:val="TableDataColumnHeading"/>
              <w:rPr>
                <w:lang w:val="en-GB"/>
              </w:rPr>
            </w:pPr>
            <w:r>
              <w:rPr>
                <w:lang w:val="en-GB"/>
              </w:rPr>
              <w:t>Option 3</w:t>
            </w:r>
            <w:r w:rsidR="00124149">
              <w:rPr>
                <w:lang w:val="en-GB"/>
              </w:rPr>
              <w:br/>
              <w:t>($ million)</w:t>
            </w:r>
          </w:p>
        </w:tc>
        <w:tc>
          <w:tcPr>
            <w:tcW w:w="995" w:type="dxa"/>
            <w:shd w:val="clear" w:color="auto" w:fill="6F6652" w:themeFill="accent5"/>
          </w:tcPr>
          <w:p w:rsidR="007C6A5F" w:rsidRDefault="007C6A5F" w:rsidP="00C36DA4">
            <w:pPr>
              <w:pStyle w:val="TableDataColumnHeading"/>
              <w:rPr>
                <w:lang w:val="en-GB"/>
              </w:rPr>
            </w:pPr>
            <w:r>
              <w:rPr>
                <w:lang w:val="en-GB"/>
              </w:rPr>
              <w:t>Option 4</w:t>
            </w:r>
            <w:r w:rsidR="00124149">
              <w:rPr>
                <w:lang w:val="en-GB"/>
              </w:rPr>
              <w:br/>
              <w:t>($ million)</w:t>
            </w:r>
          </w:p>
        </w:tc>
        <w:tc>
          <w:tcPr>
            <w:tcW w:w="995" w:type="dxa"/>
            <w:shd w:val="clear" w:color="auto" w:fill="6F6652" w:themeFill="accent5"/>
          </w:tcPr>
          <w:p w:rsidR="007C6A5F" w:rsidRDefault="007C6A5F" w:rsidP="00C36DA4">
            <w:pPr>
              <w:pStyle w:val="TableDataColumnHeading"/>
              <w:rPr>
                <w:lang w:val="en-GB"/>
              </w:rPr>
            </w:pPr>
            <w:r>
              <w:rPr>
                <w:lang w:val="en-GB"/>
              </w:rPr>
              <w:t>Option 5</w:t>
            </w:r>
            <w:r w:rsidR="00124149">
              <w:rPr>
                <w:lang w:val="en-GB"/>
              </w:rPr>
              <w:br/>
              <w:t>($ million)</w:t>
            </w:r>
          </w:p>
        </w:tc>
      </w:tr>
      <w:tr w:rsidR="007C6A5F" w:rsidTr="002E1A6C">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Reduced falls</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45.68</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51.69</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54.52</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72913" w:rsidRDefault="007C6A5F" w:rsidP="00C36DA4">
            <w:pPr>
              <w:pStyle w:val="TableDataEntries"/>
            </w:pPr>
            <w:r>
              <w:rPr>
                <w:szCs w:val="16"/>
              </w:rPr>
              <w:t xml:space="preserve"> 15.13</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041568" w:rsidRDefault="007C6A5F" w:rsidP="00C36DA4">
            <w:pPr>
              <w:pStyle w:val="TableDataEntries"/>
              <w:rPr>
                <w:szCs w:val="16"/>
              </w:rPr>
            </w:pPr>
            <w:r w:rsidRPr="00F36A14">
              <w:rPr>
                <w:szCs w:val="16"/>
              </w:rPr>
              <w:t xml:space="preserve"> 154.27</w:t>
            </w:r>
          </w:p>
        </w:tc>
      </w:tr>
      <w:tr w:rsidR="007C6A5F" w:rsidTr="002E1A6C">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Reduced time in hospital/transition care</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186.88</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211.45</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223.04</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72913" w:rsidRDefault="007C6A5F" w:rsidP="00C36DA4">
            <w:pPr>
              <w:pStyle w:val="TableDataEntries"/>
            </w:pPr>
            <w:r>
              <w:rPr>
                <w:szCs w:val="16"/>
              </w:rPr>
              <w:t xml:space="preserve"> 61.89</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041568" w:rsidRDefault="007C6A5F" w:rsidP="00C36DA4">
            <w:pPr>
              <w:pStyle w:val="TableDataEntries"/>
              <w:rPr>
                <w:szCs w:val="16"/>
              </w:rPr>
            </w:pPr>
            <w:r w:rsidRPr="00F36A14">
              <w:rPr>
                <w:szCs w:val="16"/>
              </w:rPr>
              <w:t xml:space="preserve"> 631.05</w:t>
            </w:r>
          </w:p>
        </w:tc>
      </w:tr>
      <w:tr w:rsidR="007C6A5F" w:rsidTr="002E1A6C">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Reduced costs associated with loneliness</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154.76</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175.11</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184.71</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72913" w:rsidRDefault="007C6A5F" w:rsidP="00C36DA4">
            <w:pPr>
              <w:pStyle w:val="TableDataEntries"/>
            </w:pPr>
            <w:r>
              <w:rPr>
                <w:szCs w:val="16"/>
              </w:rPr>
              <w:t xml:space="preserve"> 51.26</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041568" w:rsidRDefault="007C6A5F" w:rsidP="00C36DA4">
            <w:pPr>
              <w:pStyle w:val="TableDataEntries"/>
              <w:rPr>
                <w:szCs w:val="16"/>
              </w:rPr>
            </w:pPr>
            <w:r w:rsidRPr="00F36A14">
              <w:rPr>
                <w:szCs w:val="16"/>
              </w:rPr>
              <w:t xml:space="preserve"> 522.59</w:t>
            </w:r>
          </w:p>
        </w:tc>
      </w:tr>
      <w:tr w:rsidR="007C6A5F" w:rsidTr="002E1A6C">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Reduced home modifications costs</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477.67</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540.49</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570.10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72913" w:rsidRDefault="007C6A5F" w:rsidP="00C36DA4">
            <w:pPr>
              <w:pStyle w:val="TableDataEntries"/>
            </w:pPr>
            <w:r>
              <w:rPr>
                <w:szCs w:val="16"/>
              </w:rPr>
              <w:t xml:space="preserve"> 158.20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041568" w:rsidRDefault="007C6A5F" w:rsidP="00C36DA4">
            <w:pPr>
              <w:pStyle w:val="TableDataEntries"/>
              <w:rPr>
                <w:szCs w:val="16"/>
              </w:rPr>
            </w:pPr>
            <w:r w:rsidRPr="00F36A14">
              <w:rPr>
                <w:szCs w:val="16"/>
              </w:rPr>
              <w:t>1 613.01</w:t>
            </w:r>
          </w:p>
        </w:tc>
      </w:tr>
      <w:tr w:rsidR="007C6A5F" w:rsidTr="002E1A6C">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Reduced carer-related costs</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557.17</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630.43</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664.98</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72913" w:rsidRDefault="007C6A5F" w:rsidP="00C36DA4">
            <w:pPr>
              <w:pStyle w:val="TableDataEntries"/>
            </w:pPr>
            <w:r>
              <w:rPr>
                <w:szCs w:val="16"/>
              </w:rPr>
              <w:t xml:space="preserve"> 184.53</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041568" w:rsidRDefault="007C6A5F" w:rsidP="00C36DA4">
            <w:pPr>
              <w:pStyle w:val="TableDataEntries"/>
              <w:rPr>
                <w:szCs w:val="16"/>
              </w:rPr>
            </w:pPr>
            <w:r w:rsidRPr="00F36A14">
              <w:rPr>
                <w:szCs w:val="16"/>
              </w:rPr>
              <w:t>1 881.44</w:t>
            </w:r>
          </w:p>
        </w:tc>
      </w:tr>
      <w:tr w:rsidR="007C6A5F" w:rsidTr="002E1A6C">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 xml:space="preserve">Reduced incidence of moving </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22.88</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25.89</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27.31</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72913" w:rsidRDefault="007C6A5F" w:rsidP="00C36DA4">
            <w:pPr>
              <w:pStyle w:val="TableDataEntries"/>
            </w:pPr>
            <w:r>
              <w:rPr>
                <w:szCs w:val="16"/>
              </w:rPr>
              <w:t xml:space="preserve"> 7.58</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041568" w:rsidRDefault="007C6A5F" w:rsidP="00C36DA4">
            <w:pPr>
              <w:pStyle w:val="TableDataEntries"/>
              <w:rPr>
                <w:szCs w:val="16"/>
              </w:rPr>
            </w:pPr>
            <w:r w:rsidRPr="00F36A14">
              <w:rPr>
                <w:szCs w:val="16"/>
              </w:rPr>
              <w:t xml:space="preserve"> 77.27</w:t>
            </w:r>
          </w:p>
        </w:tc>
      </w:tr>
      <w:tr w:rsidR="007C6A5F" w:rsidTr="002E1A6C">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Reduced premature/inappropriate entry into aged care</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209.54</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237.09</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250.09</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72913" w:rsidRDefault="007C6A5F" w:rsidP="00C36DA4">
            <w:pPr>
              <w:pStyle w:val="TableDataEntries"/>
            </w:pPr>
            <w:r>
              <w:rPr>
                <w:szCs w:val="16"/>
              </w:rPr>
              <w:t xml:space="preserve"> 69.40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041568" w:rsidRDefault="007C6A5F" w:rsidP="00C36DA4">
            <w:pPr>
              <w:pStyle w:val="TableDataEntries"/>
              <w:rPr>
                <w:szCs w:val="16"/>
              </w:rPr>
            </w:pPr>
            <w:r w:rsidRPr="00F36A14">
              <w:rPr>
                <w:szCs w:val="16"/>
              </w:rPr>
              <w:t xml:space="preserve"> 707.58</w:t>
            </w:r>
          </w:p>
        </w:tc>
      </w:tr>
      <w:tr w:rsidR="007C6A5F" w:rsidTr="002E1A6C">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Societal benefits</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1 031.33</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1 106.60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1 106.60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72913" w:rsidRDefault="007C6A5F" w:rsidP="00C36DA4">
            <w:pPr>
              <w:pStyle w:val="TableDataEntries"/>
            </w:pPr>
            <w:r>
              <w:rPr>
                <w:szCs w:val="16"/>
              </w:rPr>
              <w:t xml:space="preserve"> 326.25</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041568" w:rsidRDefault="007C6A5F" w:rsidP="00C36DA4">
            <w:pPr>
              <w:pStyle w:val="TableDataEntries"/>
              <w:rPr>
                <w:szCs w:val="16"/>
              </w:rPr>
            </w:pPr>
            <w:r w:rsidRPr="00041568">
              <w:rPr>
                <w:szCs w:val="16"/>
              </w:rPr>
              <w:t>1 900.96</w:t>
            </w:r>
          </w:p>
        </w:tc>
      </w:tr>
      <w:tr w:rsidR="007C6A5F" w:rsidRPr="00F72913" w:rsidTr="002E1A6C">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Pr="00F72913" w:rsidRDefault="007C6A5F" w:rsidP="00C36DA4">
            <w:pPr>
              <w:pStyle w:val="TableDataEntries"/>
              <w:jc w:val="left"/>
              <w:rPr>
                <w:rFonts w:ascii="Franklin Gothic Demi" w:hAnsi="Franklin Gothic Demi"/>
                <w:lang w:val="en-GB"/>
              </w:rPr>
            </w:pPr>
            <w:r w:rsidRPr="00F72913">
              <w:rPr>
                <w:rFonts w:ascii="Franklin Gothic Demi" w:hAnsi="Franklin Gothic Demi"/>
                <w:lang w:val="en-GB"/>
              </w:rPr>
              <w:t>Total benefits</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72913" w:rsidRDefault="007C6A5F" w:rsidP="00C36DA4">
            <w:pPr>
              <w:pStyle w:val="TableDataEntries"/>
              <w:rPr>
                <w:rFonts w:ascii="Franklin Gothic Demi" w:hAnsi="Franklin Gothic Demi"/>
              </w:rPr>
            </w:pPr>
            <w:r>
              <w:rPr>
                <w:b/>
                <w:bCs/>
                <w:szCs w:val="16"/>
              </w:rPr>
              <w:t>2 685.92</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72913" w:rsidRDefault="007C6A5F" w:rsidP="00C36DA4">
            <w:pPr>
              <w:pStyle w:val="TableDataEntries"/>
              <w:rPr>
                <w:rFonts w:ascii="Franklin Gothic Demi" w:hAnsi="Franklin Gothic Demi"/>
              </w:rPr>
            </w:pPr>
            <w:r>
              <w:rPr>
                <w:b/>
                <w:bCs/>
                <w:szCs w:val="16"/>
              </w:rPr>
              <w:t>2 978.76</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105094" w:rsidRDefault="007C6A5F" w:rsidP="00C36DA4">
            <w:pPr>
              <w:pStyle w:val="TableDataEntries"/>
              <w:rPr>
                <w:rFonts w:ascii="Franklin Gothic Demi" w:hAnsi="Franklin Gothic Demi"/>
              </w:rPr>
            </w:pPr>
            <w:r>
              <w:rPr>
                <w:b/>
                <w:bCs/>
                <w:szCs w:val="16"/>
              </w:rPr>
              <w:t>3 081.34</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72913" w:rsidRDefault="007C6A5F" w:rsidP="00C36DA4">
            <w:pPr>
              <w:pStyle w:val="TableDataEntries"/>
              <w:rPr>
                <w:rFonts w:ascii="Franklin Gothic Demi" w:hAnsi="Franklin Gothic Demi"/>
              </w:rPr>
            </w:pPr>
            <w:r>
              <w:rPr>
                <w:b/>
                <w:bCs/>
                <w:szCs w:val="16"/>
              </w:rPr>
              <w:t xml:space="preserve"> 874.24</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72913" w:rsidRDefault="007C6A5F" w:rsidP="00C36DA4">
            <w:pPr>
              <w:pStyle w:val="TableDataEntries"/>
              <w:rPr>
                <w:rFonts w:ascii="Franklin Gothic Demi" w:hAnsi="Franklin Gothic Demi"/>
              </w:rPr>
            </w:pPr>
            <w:r w:rsidRPr="00F36A14">
              <w:rPr>
                <w:rFonts w:ascii="Franklin Gothic Demi" w:hAnsi="Franklin Gothic Demi"/>
              </w:rPr>
              <w:t>7 488.17</w:t>
            </w:r>
          </w:p>
        </w:tc>
      </w:tr>
      <w:tr w:rsidR="007C6A5F" w:rsidTr="002E1A6C">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Construction costs</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6C5DA3" w:rsidRDefault="007C6A5F" w:rsidP="00C36DA4">
            <w:pPr>
              <w:pStyle w:val="TableDataEntries"/>
              <w:rPr>
                <w:szCs w:val="16"/>
              </w:rPr>
            </w:pPr>
            <w:r>
              <w:rPr>
                <w:szCs w:val="16"/>
              </w:rPr>
              <w:t>-1 866.72</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6C5DA3" w:rsidRDefault="007C6A5F" w:rsidP="00C36DA4">
            <w:pPr>
              <w:pStyle w:val="TableDataEntries"/>
              <w:rPr>
                <w:szCs w:val="16"/>
              </w:rPr>
            </w:pPr>
            <w:r>
              <w:rPr>
                <w:szCs w:val="16"/>
              </w:rPr>
              <w:t>-12 384.81</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6C5DA3" w:rsidRDefault="007C6A5F" w:rsidP="00C36DA4">
            <w:pPr>
              <w:pStyle w:val="TableDataEntries"/>
              <w:rPr>
                <w:szCs w:val="16"/>
              </w:rPr>
            </w:pPr>
            <w:r>
              <w:rPr>
                <w:szCs w:val="16"/>
              </w:rPr>
              <w:t>-15 904.40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72913" w:rsidRDefault="007C6A5F" w:rsidP="00C36DA4">
            <w:pPr>
              <w:pStyle w:val="TableDataEntries"/>
            </w:pPr>
            <w:r>
              <w:rPr>
                <w:szCs w:val="16"/>
              </w:rPr>
              <w:t>-3 602.32</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sidRPr="003D65F5">
              <w:t xml:space="preserve"> 0.00</w:t>
            </w:r>
          </w:p>
        </w:tc>
      </w:tr>
      <w:tr w:rsidR="007C6A5F" w:rsidTr="002E1A6C">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Opportunity cost of space</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-1 571.81</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-8 831.55</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-11 162.57</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72913" w:rsidRDefault="007C6A5F" w:rsidP="00C36DA4">
            <w:pPr>
              <w:pStyle w:val="TableDataEntries"/>
            </w:pPr>
            <w:r>
              <w:rPr>
                <w:szCs w:val="16"/>
              </w:rPr>
              <w:t>-6 541.11</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sidRPr="003D65F5">
              <w:t xml:space="preserve"> 0.00</w:t>
            </w:r>
          </w:p>
        </w:tc>
      </w:tr>
      <w:tr w:rsidR="007C6A5F" w:rsidTr="002E1A6C">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Industry re-training costs</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AD55B7" w:rsidRDefault="007C6A5F" w:rsidP="00C36DA4">
            <w:pPr>
              <w:pStyle w:val="TableDataEntries"/>
              <w:rPr>
                <w:szCs w:val="16"/>
              </w:rPr>
            </w:pPr>
            <w:r w:rsidRPr="00AD55B7">
              <w:rPr>
                <w:szCs w:val="16"/>
              </w:rPr>
              <w:t>- 28.47</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AD55B7" w:rsidRDefault="007C6A5F" w:rsidP="00C36DA4">
            <w:pPr>
              <w:pStyle w:val="TableDataEntries"/>
              <w:rPr>
                <w:szCs w:val="16"/>
              </w:rPr>
            </w:pPr>
            <w:r w:rsidRPr="00AD55B7">
              <w:rPr>
                <w:szCs w:val="16"/>
              </w:rPr>
              <w:t>- 28.47</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AD55B7" w:rsidRDefault="007C6A5F" w:rsidP="00C36DA4">
            <w:pPr>
              <w:pStyle w:val="TableDataEntries"/>
              <w:rPr>
                <w:szCs w:val="16"/>
              </w:rPr>
            </w:pPr>
            <w:r w:rsidRPr="00AD55B7">
              <w:rPr>
                <w:szCs w:val="16"/>
              </w:rPr>
              <w:t>- 28.47</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72913" w:rsidRDefault="007C6A5F" w:rsidP="00C36DA4">
            <w:pPr>
              <w:pStyle w:val="TableDataEntries"/>
            </w:pPr>
            <w:r w:rsidRPr="00F72913">
              <w:t>- 28.47</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sidRPr="003D65F5">
              <w:t xml:space="preserve"> 0.00</w:t>
            </w:r>
          </w:p>
        </w:tc>
      </w:tr>
      <w:tr w:rsidR="007C6A5F" w:rsidTr="002E1A6C">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Subsidy</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sidRPr="003D65F5">
              <w:t xml:space="preserve"> 0.00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sidRPr="003D65F5">
              <w:t xml:space="preserve"> 0.00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sidRPr="003D65F5">
              <w:t xml:space="preserve"> 0.00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72913" w:rsidRDefault="007C6A5F" w:rsidP="00C36DA4">
            <w:pPr>
              <w:pStyle w:val="TableDataEntries"/>
            </w:pPr>
            <w:r w:rsidRPr="00F72913">
              <w:t xml:space="preserve"> 0.00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sidRPr="003D65F5">
              <w:t>-7 455.55</w:t>
            </w:r>
          </w:p>
        </w:tc>
      </w:tr>
      <w:tr w:rsidR="007C6A5F" w:rsidRPr="00F72913" w:rsidTr="00B5160B">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Pr="00F72913" w:rsidRDefault="007C6A5F" w:rsidP="00C36DA4">
            <w:pPr>
              <w:pStyle w:val="TableDataEntries"/>
              <w:jc w:val="left"/>
              <w:rPr>
                <w:rFonts w:ascii="Franklin Gothic Demi" w:hAnsi="Franklin Gothic Demi"/>
                <w:lang w:val="en-GB"/>
              </w:rPr>
            </w:pPr>
            <w:r w:rsidRPr="00F72913">
              <w:rPr>
                <w:rFonts w:ascii="Franklin Gothic Demi" w:hAnsi="Franklin Gothic Demi"/>
                <w:lang w:val="en-GB"/>
              </w:rPr>
              <w:t>Total costs</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72913" w:rsidRDefault="007C6A5F" w:rsidP="00C36DA4">
            <w:pPr>
              <w:pStyle w:val="TableDataEntries"/>
              <w:rPr>
                <w:rFonts w:ascii="Franklin Gothic Demi" w:hAnsi="Franklin Gothic Demi"/>
                <w:szCs w:val="16"/>
              </w:rPr>
            </w:pPr>
            <w:r>
              <w:rPr>
                <w:b/>
                <w:bCs/>
                <w:szCs w:val="16"/>
              </w:rPr>
              <w:t>-3 467.00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72913" w:rsidRDefault="007C6A5F" w:rsidP="00C36DA4">
            <w:pPr>
              <w:pStyle w:val="TableDataEntries"/>
              <w:rPr>
                <w:rFonts w:ascii="Franklin Gothic Demi" w:hAnsi="Franklin Gothic Demi"/>
                <w:szCs w:val="16"/>
              </w:rPr>
            </w:pPr>
            <w:r>
              <w:rPr>
                <w:b/>
                <w:bCs/>
                <w:szCs w:val="16"/>
              </w:rPr>
              <w:t>-21 244.83</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72913" w:rsidRDefault="007C6A5F" w:rsidP="00C36DA4">
            <w:pPr>
              <w:pStyle w:val="TableDataEntries"/>
              <w:rPr>
                <w:rFonts w:ascii="Franklin Gothic Demi" w:hAnsi="Franklin Gothic Demi"/>
                <w:szCs w:val="16"/>
              </w:rPr>
            </w:pPr>
            <w:r>
              <w:rPr>
                <w:b/>
                <w:bCs/>
                <w:szCs w:val="16"/>
              </w:rPr>
              <w:t>-27 095.43</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72913" w:rsidRDefault="007C6A5F" w:rsidP="00C36DA4">
            <w:pPr>
              <w:pStyle w:val="TableDataEntries"/>
              <w:rPr>
                <w:rFonts w:ascii="Franklin Gothic Demi" w:hAnsi="Franklin Gothic Demi"/>
              </w:rPr>
            </w:pPr>
            <w:r>
              <w:rPr>
                <w:b/>
                <w:bCs/>
                <w:szCs w:val="16"/>
              </w:rPr>
              <w:t>-10 171.90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72913" w:rsidRDefault="007C6A5F" w:rsidP="00C36DA4">
            <w:pPr>
              <w:pStyle w:val="TableDataEntries"/>
              <w:rPr>
                <w:rFonts w:ascii="Franklin Gothic Demi" w:hAnsi="Franklin Gothic Demi"/>
              </w:rPr>
            </w:pPr>
            <w:r w:rsidRPr="00F72913">
              <w:rPr>
                <w:rFonts w:ascii="Franklin Gothic Demi" w:hAnsi="Franklin Gothic Demi"/>
              </w:rPr>
              <w:t>-7 455.55</w:t>
            </w:r>
          </w:p>
        </w:tc>
      </w:tr>
      <w:tr w:rsidR="007C6A5F" w:rsidRPr="00F72913" w:rsidTr="00B5160B">
        <w:trPr>
          <w:trHeight w:val="230"/>
        </w:trPr>
        <w:tc>
          <w:tcPr>
            <w:tcW w:w="2962" w:type="dxa"/>
            <w:tcBorders>
              <w:top w:val="single" w:sz="8" w:space="0" w:color="FFFFFF" w:themeColor="background1"/>
              <w:bottom w:val="single" w:sz="4" w:space="0" w:color="6F6652" w:themeColor="accent5"/>
            </w:tcBorders>
            <w:shd w:val="clear" w:color="auto" w:fill="C2DADB" w:themeFill="accent6" w:themeFillTint="99"/>
          </w:tcPr>
          <w:p w:rsidR="007C6A5F" w:rsidRPr="00F72913" w:rsidRDefault="007C6A5F" w:rsidP="00C36DA4">
            <w:pPr>
              <w:pStyle w:val="TableDataEntries"/>
              <w:jc w:val="left"/>
              <w:rPr>
                <w:rFonts w:ascii="Franklin Gothic Demi" w:hAnsi="Franklin Gothic Demi"/>
                <w:lang w:val="en-GB"/>
              </w:rPr>
            </w:pPr>
            <w:r w:rsidRPr="00F72913">
              <w:rPr>
                <w:rFonts w:ascii="Franklin Gothic Demi" w:hAnsi="Franklin Gothic Demi"/>
                <w:lang w:val="en-GB"/>
              </w:rPr>
              <w:t>Net benefit/costs</w:t>
            </w:r>
          </w:p>
        </w:tc>
        <w:tc>
          <w:tcPr>
            <w:tcW w:w="995" w:type="dxa"/>
            <w:tcBorders>
              <w:top w:val="single" w:sz="8" w:space="0" w:color="FFFFFF" w:themeColor="background1"/>
              <w:bottom w:val="single" w:sz="4" w:space="0" w:color="6F6652" w:themeColor="accent5"/>
            </w:tcBorders>
            <w:shd w:val="clear" w:color="auto" w:fill="C2DADB" w:themeFill="accent6" w:themeFillTint="99"/>
          </w:tcPr>
          <w:p w:rsidR="007C6A5F" w:rsidRPr="00F72913" w:rsidRDefault="007C6A5F" w:rsidP="00C36DA4">
            <w:pPr>
              <w:pStyle w:val="TableDataEntries"/>
              <w:rPr>
                <w:rFonts w:ascii="Franklin Gothic Demi" w:hAnsi="Franklin Gothic Demi"/>
                <w:szCs w:val="16"/>
              </w:rPr>
            </w:pPr>
            <w:r>
              <w:rPr>
                <w:b/>
                <w:bCs/>
                <w:szCs w:val="16"/>
              </w:rPr>
              <w:t>- 781.09</w:t>
            </w:r>
          </w:p>
        </w:tc>
        <w:tc>
          <w:tcPr>
            <w:tcW w:w="995" w:type="dxa"/>
            <w:tcBorders>
              <w:top w:val="single" w:sz="8" w:space="0" w:color="FFFFFF" w:themeColor="background1"/>
              <w:bottom w:val="single" w:sz="4" w:space="0" w:color="6F6652" w:themeColor="accent5"/>
            </w:tcBorders>
            <w:shd w:val="clear" w:color="auto" w:fill="C2DADB" w:themeFill="accent6" w:themeFillTint="99"/>
          </w:tcPr>
          <w:p w:rsidR="007C6A5F" w:rsidRPr="00F72913" w:rsidRDefault="007C6A5F" w:rsidP="00C36DA4">
            <w:pPr>
              <w:pStyle w:val="TableDataEntries"/>
              <w:rPr>
                <w:rFonts w:ascii="Franklin Gothic Demi" w:hAnsi="Franklin Gothic Demi"/>
                <w:szCs w:val="16"/>
              </w:rPr>
            </w:pPr>
            <w:r>
              <w:rPr>
                <w:b/>
                <w:bCs/>
                <w:szCs w:val="16"/>
              </w:rPr>
              <w:t>-18 266.07</w:t>
            </w:r>
          </w:p>
        </w:tc>
        <w:tc>
          <w:tcPr>
            <w:tcW w:w="995" w:type="dxa"/>
            <w:tcBorders>
              <w:top w:val="single" w:sz="8" w:space="0" w:color="FFFFFF" w:themeColor="background1"/>
              <w:bottom w:val="single" w:sz="4" w:space="0" w:color="6F6652" w:themeColor="accent5"/>
            </w:tcBorders>
            <w:shd w:val="clear" w:color="auto" w:fill="C2DADB" w:themeFill="accent6" w:themeFillTint="99"/>
          </w:tcPr>
          <w:p w:rsidR="007C6A5F" w:rsidRPr="00F72913" w:rsidRDefault="007C6A5F" w:rsidP="00C36DA4">
            <w:pPr>
              <w:pStyle w:val="TableDataEntries"/>
              <w:rPr>
                <w:rFonts w:ascii="Franklin Gothic Demi" w:hAnsi="Franklin Gothic Demi"/>
                <w:szCs w:val="16"/>
              </w:rPr>
            </w:pPr>
            <w:r>
              <w:rPr>
                <w:b/>
                <w:bCs/>
                <w:szCs w:val="16"/>
              </w:rPr>
              <w:t>-24 014.09</w:t>
            </w:r>
          </w:p>
        </w:tc>
        <w:tc>
          <w:tcPr>
            <w:tcW w:w="995" w:type="dxa"/>
            <w:tcBorders>
              <w:top w:val="single" w:sz="8" w:space="0" w:color="FFFFFF" w:themeColor="background1"/>
              <w:bottom w:val="single" w:sz="4" w:space="0" w:color="6F6652" w:themeColor="accent5"/>
            </w:tcBorders>
            <w:shd w:val="clear" w:color="auto" w:fill="C2DADB" w:themeFill="accent6" w:themeFillTint="99"/>
          </w:tcPr>
          <w:p w:rsidR="007C6A5F" w:rsidRPr="00F72913" w:rsidRDefault="007C6A5F" w:rsidP="00C36DA4">
            <w:pPr>
              <w:pStyle w:val="TableDataEntries"/>
              <w:rPr>
                <w:rFonts w:ascii="Franklin Gothic Demi" w:hAnsi="Franklin Gothic Demi"/>
              </w:rPr>
            </w:pPr>
            <w:r>
              <w:rPr>
                <w:b/>
                <w:bCs/>
                <w:szCs w:val="16"/>
              </w:rPr>
              <w:t>-9 297.66</w:t>
            </w:r>
          </w:p>
        </w:tc>
        <w:tc>
          <w:tcPr>
            <w:tcW w:w="995" w:type="dxa"/>
            <w:tcBorders>
              <w:top w:val="single" w:sz="8" w:space="0" w:color="FFFFFF" w:themeColor="background1"/>
              <w:bottom w:val="single" w:sz="4" w:space="0" w:color="6F6652" w:themeColor="accent5"/>
            </w:tcBorders>
            <w:shd w:val="clear" w:color="auto" w:fill="C2DADB" w:themeFill="accent6" w:themeFillTint="99"/>
          </w:tcPr>
          <w:p w:rsidR="007C6A5F" w:rsidRPr="00F72913" w:rsidRDefault="007C6A5F" w:rsidP="00C36DA4">
            <w:pPr>
              <w:pStyle w:val="TableDataEntries"/>
              <w:rPr>
                <w:rFonts w:ascii="Franklin Gothic Demi" w:hAnsi="Franklin Gothic Demi"/>
              </w:rPr>
            </w:pPr>
            <w:r w:rsidRPr="00F36A14">
              <w:rPr>
                <w:rFonts w:ascii="Franklin Gothic Demi" w:hAnsi="Franklin Gothic Demi"/>
              </w:rPr>
              <w:t xml:space="preserve"> 32.62</w:t>
            </w:r>
          </w:p>
        </w:tc>
      </w:tr>
    </w:tbl>
    <w:p w:rsidR="007C6A5F" w:rsidRPr="00DF7B3F" w:rsidRDefault="007C6A5F" w:rsidP="007C6A5F">
      <w:pPr>
        <w:pStyle w:val="Note"/>
        <w:rPr>
          <w:iCs/>
        </w:rPr>
      </w:pPr>
      <w:r w:rsidRPr="00891416">
        <w:rPr>
          <w:rStyle w:val="NoteLabel"/>
          <w:color w:val="auto"/>
          <w:position w:val="0"/>
          <w:sz w:val="16"/>
        </w:rPr>
        <w:t>a</w:t>
      </w:r>
      <w:r w:rsidRPr="00DF7B3F">
        <w:rPr>
          <w:iCs/>
        </w:rPr>
        <w:t xml:space="preserve"> </w:t>
      </w:r>
      <w:r>
        <w:rPr>
          <w:iCs/>
        </w:rPr>
        <w:t>During targeted consultations, most stakeholders agreed that Gold standard dwellings (under Option 2) would be suitable for most disabilities. Although the Gold + standard (Option 3) provides additional accessibility features (which may provide some benefits), it does not address any additional problem that is not addressed by a Gold standard dwelling. As this approach focuses on addressing identified problems, the estimated benefits of Option 3 are the same as Option 2.</w:t>
      </w:r>
    </w:p>
    <w:p w:rsidR="007C6A5F" w:rsidRDefault="007C6A5F" w:rsidP="007C6A5F">
      <w:pPr>
        <w:pStyle w:val="Note"/>
        <w:rPr>
          <w:lang w:bidi="fa-IR"/>
        </w:rPr>
      </w:pPr>
      <w:r w:rsidRPr="007D1B4F">
        <w:rPr>
          <w:i/>
        </w:rPr>
        <w:t>Note:</w:t>
      </w:r>
      <w:r w:rsidRPr="00E879B8">
        <w:t xml:space="preserve"> </w:t>
      </w:r>
      <w:r>
        <w:t>Costs and benefits are presented in net present value terms covering a 10</w:t>
      </w:r>
      <w:r>
        <w:noBreakHyphen/>
        <w:t>year regulatory period from 2022 to 2031, using a discount rate of 7 per cent. Benefits are extended out an additional 30 years, reflecting the flow of benefits over the life of dwellings constructed during the regulatory period.</w:t>
      </w:r>
    </w:p>
    <w:p w:rsidR="007C6A5F" w:rsidRDefault="007C6A5F" w:rsidP="007C6A5F">
      <w:pPr>
        <w:pStyle w:val="Source"/>
        <w:rPr>
          <w:lang w:bidi="fa-IR"/>
        </w:rPr>
      </w:pPr>
      <w:r w:rsidRPr="00F1055E">
        <w:rPr>
          <w:i/>
          <w:lang w:bidi="fa-IR"/>
        </w:rPr>
        <w:t>Source:</w:t>
      </w:r>
      <w:r>
        <w:rPr>
          <w:lang w:bidi="fa-IR"/>
        </w:rPr>
        <w:t xml:space="preserve"> CIE estimates.</w:t>
      </w:r>
    </w:p>
    <w:bookmarkEnd w:id="113"/>
    <w:p w:rsidR="007C6A5F" w:rsidRDefault="007C6A5F" w:rsidP="007C6A5F">
      <w:pPr>
        <w:pStyle w:val="BodyText"/>
        <w:rPr>
          <w:lang w:bidi="fa-IR"/>
        </w:rPr>
      </w:pPr>
      <w:r>
        <w:rPr>
          <w:lang w:bidi="fa-IR"/>
        </w:rPr>
        <w:t xml:space="preserve">We estimate that Option 1 (Silver) is likely to have a small net cost. Sensitivity analysis shows that this Option would broadly ‘break-even’ if either construction costs or space impacts were over-stated by $538 per dwelling. However, the costs of Option 2 (Gold) and Option 3 (Gold+) would significantly outweigh the benefits under all scenarios tested. A more targeted approach to addressing specific problems (i.e. subsidies to increase the supply of accessible private rental properties) would still be relatively costly, but would also broadly ‘break even’. </w:t>
      </w:r>
    </w:p>
    <w:p w:rsidR="007C6A5F" w:rsidRDefault="007C6A5F" w:rsidP="007C6A5F">
      <w:pPr>
        <w:pStyle w:val="Heading3"/>
        <w:numPr>
          <w:ilvl w:val="2"/>
          <w:numId w:val="5"/>
        </w:numPr>
        <w:rPr>
          <w:lang w:bidi="fa-IR"/>
        </w:rPr>
      </w:pPr>
      <w:r>
        <w:rPr>
          <w:lang w:bidi="fa-IR"/>
        </w:rPr>
        <w:lastRenderedPageBreak/>
        <w:t xml:space="preserve">Cost-benefit analysis using the economic approach called “Willingness to Pay” </w:t>
      </w:r>
    </w:p>
    <w:p w:rsidR="007C6A5F" w:rsidRDefault="007C6A5F" w:rsidP="007C6A5F">
      <w:pPr>
        <w:pStyle w:val="BodyText"/>
        <w:rPr>
          <w:lang w:bidi="fa-IR"/>
        </w:rPr>
      </w:pPr>
      <w:r>
        <w:rPr>
          <w:lang w:bidi="fa-IR"/>
        </w:rPr>
        <w:t xml:space="preserve">The CBA results, where the benefits are estimated based on survey evidence of the homeowner’s stated WTP for particular accessibility features, are shown in </w:t>
      </w:r>
      <w:r w:rsidRPr="00722839">
        <w:rPr>
          <w:lang w:bidi="fa-IR"/>
        </w:rPr>
        <w:t>table </w:t>
      </w:r>
      <w:r w:rsidRPr="00722839">
        <w:rPr>
          <w:lang w:bidi="fa-IR"/>
        </w:rPr>
        <w:fldChar w:fldCharType="begin"/>
      </w:r>
      <w:r w:rsidRPr="00722839">
        <w:rPr>
          <w:lang w:bidi="fa-IR"/>
        </w:rPr>
        <w:instrText xml:space="preserve"> REF _Caption5986 </w:instrText>
      </w:r>
      <w:r>
        <w:rPr>
          <w:lang w:bidi="fa-IR"/>
        </w:rPr>
        <w:instrText xml:space="preserve"> \* MERGEFORMAT </w:instrText>
      </w:r>
      <w:r w:rsidRPr="00722839">
        <w:rPr>
          <w:lang w:bidi="fa-IR"/>
        </w:rPr>
        <w:fldChar w:fldCharType="separate"/>
      </w:r>
      <w:r>
        <w:rPr>
          <w:noProof/>
        </w:rPr>
        <w:t>4</w:t>
      </w:r>
      <w:r w:rsidRPr="00722839">
        <w:rPr>
          <w:lang w:bidi="fa-IR"/>
        </w:rPr>
        <w:fldChar w:fldCharType="end"/>
      </w:r>
      <w:r w:rsidRPr="00722839">
        <w:rPr>
          <w:lang w:bidi="fa-IR"/>
        </w:rPr>
        <w:t xml:space="preserve">. </w:t>
      </w:r>
      <w:r>
        <w:rPr>
          <w:lang w:bidi="fa-IR"/>
        </w:rPr>
        <w:t>Consistent with the ‘problem-reduction’ approach, we assume</w:t>
      </w:r>
      <w:r w:rsidDel="00522010">
        <w:rPr>
          <w:lang w:bidi="fa-IR"/>
        </w:rPr>
        <w:t xml:space="preserve"> </w:t>
      </w:r>
      <w:r>
        <w:rPr>
          <w:lang w:bidi="fa-IR"/>
        </w:rPr>
        <w:t>a 10</w:t>
      </w:r>
      <w:r>
        <w:rPr>
          <w:lang w:bidi="fa-IR"/>
        </w:rPr>
        <w:noBreakHyphen/>
        <w:t>year regulatory period from 2022, with benefits extended out an additional 30 years to reflect the flow of benefits over the life of the dwelling. All costs, including space-related costs, are the same as those used under the problem-reduction approach.</w:t>
      </w:r>
    </w:p>
    <w:p w:rsidR="007C6A5F" w:rsidRDefault="007C6A5F" w:rsidP="007C6A5F">
      <w:pPr>
        <w:pStyle w:val="BodyText"/>
        <w:rPr>
          <w:lang w:bidi="fa-IR"/>
        </w:rPr>
      </w:pPr>
      <w:r>
        <w:rPr>
          <w:lang w:bidi="fa-IR"/>
        </w:rPr>
        <w:t xml:space="preserve">The WTP approach generally places a higher value on accessible housing than the problem reduction approach. Option 1 (Silver) is estimated to deliver a net benefit, while the other options are estimated to deliver a net cost. </w:t>
      </w:r>
    </w:p>
    <w:p w:rsidR="007C6A5F" w:rsidRDefault="007C6A5F" w:rsidP="007C6A5F">
      <w:pPr>
        <w:pStyle w:val="Caption"/>
      </w:pPr>
      <w:r w:rsidRPr="00722839">
        <w:fldChar w:fldCharType="begin"/>
      </w:r>
      <w:r w:rsidRPr="00722839">
        <w:instrText xml:space="preserve"> IF 1 = 1 "</w:instrText>
      </w:r>
      <w:r w:rsidRPr="00722839">
        <w:fldChar w:fldCharType="begin"/>
      </w:r>
      <w:r w:rsidRPr="00722839">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722839">
        <w:instrText xml:space="preserve"> = 0 "</w:instrText>
      </w:r>
      <w:r w:rsidRPr="00722839">
        <w:fldChar w:fldCharType="begin"/>
      </w:r>
      <w:r w:rsidRPr="00722839">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722839">
        <w:instrText xml:space="preserve"> = 0 "" "</w:instrText>
      </w:r>
      <w:r>
        <w:rPr>
          <w:noProof/>
        </w:rPr>
        <w:fldChar w:fldCharType="begin"/>
      </w:r>
      <w:r>
        <w:rPr>
          <w:noProof/>
        </w:rPr>
        <w:instrText xml:space="preserve"> STYLEREF "Heading 1" \l \n </w:instrText>
      </w:r>
      <w:r>
        <w:rPr>
          <w:noProof/>
        </w:rPr>
        <w:fldChar w:fldCharType="separate"/>
      </w:r>
      <w:r w:rsidRPr="00722839">
        <w:rPr>
          <w:noProof/>
        </w:rPr>
        <w:instrText>7</w:instrText>
      </w:r>
      <w:r>
        <w:rPr>
          <w:noProof/>
        </w:rPr>
        <w:fldChar w:fldCharType="end"/>
      </w:r>
      <w:r w:rsidRPr="00722839">
        <w:instrText xml:space="preserve">." </w:instrText>
      </w:r>
      <w:r w:rsidRPr="00722839">
        <w:fldChar w:fldCharType="end"/>
      </w:r>
      <w:r w:rsidRPr="00722839">
        <w:instrText>" "</w:instrText>
      </w:r>
      <w:r w:rsidR="00F56BFF">
        <w:fldChar w:fldCharType="begin"/>
      </w:r>
      <w:r w:rsidR="00F56BFF">
        <w:instrText xml:space="preserve"> STYLEREF "Heading 6" \l \n </w:instrText>
      </w:r>
      <w:r w:rsidR="00F56BFF">
        <w:fldChar w:fldCharType="separate"/>
      </w:r>
      <w:r w:rsidRPr="00722839">
        <w:instrText>B</w:instrText>
      </w:r>
      <w:r w:rsidR="00F56BFF">
        <w:fldChar w:fldCharType="end"/>
      </w:r>
      <w:r w:rsidRPr="00722839">
        <w:instrText xml:space="preserve">." </w:instrText>
      </w:r>
      <w:r w:rsidRPr="00722839">
        <w:fldChar w:fldCharType="end"/>
      </w:r>
      <w:r w:rsidRPr="00722839">
        <w:fldChar w:fldCharType="begin"/>
      </w:r>
      <w:r w:rsidRPr="00722839">
        <w:instrText xml:space="preserve"> SEQ Item \* ARABIC \s </w:instrText>
      </w:r>
      <w:r w:rsidRPr="00722839">
        <w:fldChar w:fldCharType="begin"/>
      </w:r>
      <w:r w:rsidRPr="00722839">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722839">
        <w:instrText xml:space="preserve"> = 0 "</w:instrText>
      </w:r>
      <w:r w:rsidRPr="00722839">
        <w:fldChar w:fldCharType="begin"/>
      </w:r>
      <w:r w:rsidRPr="00722839">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722839">
        <w:instrText xml:space="preserve"> = 0 "" "1" </w:instrText>
      </w:r>
      <w:r w:rsidRPr="00722839">
        <w:fldChar w:fldCharType="end"/>
      </w:r>
      <w:r w:rsidRPr="00722839">
        <w:instrText xml:space="preserve">" "6" </w:instrText>
      </w:r>
      <w:r w:rsidRPr="00722839">
        <w:fldChar w:fldCharType="end"/>
      </w:r>
      <w:r w:rsidRPr="00722839">
        <w:instrText xml:space="preserve"> </w:instrText>
      </w:r>
      <w:r w:rsidRPr="00722839">
        <w:fldChar w:fldCharType="separate"/>
      </w:r>
      <w:r w:rsidR="00272AF3">
        <w:rPr>
          <w:noProof/>
        </w:rPr>
        <w:instrText>4</w:instrText>
      </w:r>
      <w:r w:rsidRPr="00722839">
        <w:fldChar w:fldCharType="end"/>
      </w:r>
      <w:r w:rsidRPr="00722839">
        <w:instrText xml:space="preserve">" "" </w:instrText>
      </w:r>
      <w:r w:rsidRPr="00722839">
        <w:fldChar w:fldCharType="separate"/>
      </w:r>
      <w:bookmarkStart w:id="114" w:name="_Caption8572"/>
      <w:bookmarkStart w:id="115" w:name="_Caption0109"/>
      <w:bookmarkStart w:id="116" w:name="_Caption8861"/>
      <w:bookmarkStart w:id="117" w:name="_Caption3845"/>
      <w:bookmarkStart w:id="118" w:name="_Caption6694"/>
      <w:bookmarkStart w:id="119" w:name="_Caption5352"/>
      <w:bookmarkStart w:id="120" w:name="_Caption3754"/>
      <w:bookmarkStart w:id="121" w:name="_Caption6627"/>
      <w:bookmarkStart w:id="122" w:name="_Caption3861"/>
      <w:bookmarkStart w:id="123" w:name="_Caption6739"/>
      <w:bookmarkStart w:id="124" w:name="_Caption1154"/>
      <w:bookmarkStart w:id="125" w:name="_Caption4576"/>
      <w:bookmarkStart w:id="126" w:name="_Caption7344"/>
      <w:bookmarkStart w:id="127" w:name="_Caption7245"/>
      <w:bookmarkStart w:id="128" w:name="_Caption3377"/>
      <w:bookmarkStart w:id="129" w:name="_Caption5180"/>
      <w:bookmarkStart w:id="130" w:name="_Caption8738"/>
      <w:bookmarkStart w:id="131" w:name="_Caption8164"/>
      <w:bookmarkStart w:id="132" w:name="_Caption6116"/>
      <w:bookmarkStart w:id="133" w:name="_Caption7415"/>
      <w:bookmarkStart w:id="134" w:name="_Caption9046"/>
      <w:bookmarkStart w:id="135" w:name="_Caption3341"/>
      <w:bookmarkStart w:id="136" w:name="_Caption7707"/>
      <w:bookmarkStart w:id="137" w:name="_Caption9107"/>
      <w:bookmarkStart w:id="138" w:name="_Caption9414"/>
      <w:bookmarkStart w:id="139" w:name="_Caption3968"/>
      <w:bookmarkStart w:id="140" w:name="_Caption5143"/>
      <w:bookmarkStart w:id="141" w:name="_Caption5259"/>
      <w:bookmarkStart w:id="142" w:name="_Caption7600"/>
      <w:bookmarkStart w:id="143" w:name="_Caption8380"/>
      <w:bookmarkStart w:id="144" w:name="_Caption4947"/>
      <w:bookmarkStart w:id="145" w:name="_Caption3497"/>
      <w:bookmarkStart w:id="146" w:name="_Caption0779"/>
      <w:bookmarkStart w:id="147" w:name="_Caption2243"/>
      <w:bookmarkStart w:id="148" w:name="_Caption3112"/>
      <w:bookmarkStart w:id="149" w:name="_Caption0850"/>
      <w:bookmarkStart w:id="150" w:name="_Caption3297"/>
      <w:bookmarkStart w:id="151" w:name="_Caption1540"/>
      <w:bookmarkStart w:id="152" w:name="_Caption1174"/>
      <w:bookmarkStart w:id="153" w:name="_Caption2988"/>
      <w:bookmarkStart w:id="154" w:name="_Caption6866"/>
      <w:bookmarkStart w:id="155" w:name="_Caption5564"/>
      <w:bookmarkStart w:id="156" w:name="_Caption6988"/>
      <w:bookmarkStart w:id="157" w:name="_Caption9309"/>
      <w:bookmarkStart w:id="158" w:name="_Caption8273"/>
      <w:bookmarkStart w:id="159" w:name="_Caption5986"/>
      <w:bookmarkStart w:id="160" w:name="_Caption8270"/>
      <w:bookmarkStart w:id="161" w:name="_Caption6178"/>
      <w:bookmarkStart w:id="162" w:name="_Caption5302"/>
      <w:bookmarkStart w:id="163" w:name="_Caption5666"/>
      <w:bookmarkStart w:id="164" w:name="_Caption0162"/>
      <w:bookmarkStart w:id="165" w:name="_Caption4565"/>
      <w:bookmarkStart w:id="166" w:name="_Caption5388"/>
      <w:bookmarkStart w:id="167" w:name="_Caption7641"/>
      <w:bookmarkStart w:id="168" w:name="_Caption7529"/>
      <w:bookmarkStart w:id="169" w:name="_Caption8519"/>
      <w:bookmarkStart w:id="170" w:name="_Caption5925"/>
      <w:bookmarkStart w:id="171" w:name="_Caption3855"/>
      <w:bookmarkStart w:id="172" w:name="_Caption5547"/>
      <w:bookmarkStart w:id="173" w:name="_Caption1414"/>
      <w:bookmarkStart w:id="174" w:name="_Caption3633"/>
      <w:bookmarkStart w:id="175" w:name="_Caption0334"/>
      <w:bookmarkStart w:id="176" w:name="_Caption4800"/>
      <w:bookmarkStart w:id="177" w:name="_Caption0580"/>
      <w:bookmarkStart w:id="178" w:name="_Toc44598479"/>
      <w:bookmarkStart w:id="179" w:name="_Toc45654110"/>
      <w:r w:rsidR="00272AF3">
        <w:rPr>
          <w:noProof/>
        </w:rPr>
        <w:t>4</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722839">
        <w:fldChar w:fldCharType="end"/>
      </w:r>
      <w:bookmarkStart w:id="180" w:name="_Caption2371"/>
      <w:bookmarkStart w:id="181" w:name="_Caption6963"/>
      <w:bookmarkStart w:id="182" w:name="_Toc32321788"/>
      <w:bookmarkStart w:id="183" w:name="_Hlk32310065"/>
      <w:r w:rsidRPr="00722839">
        <w:tab/>
      </w:r>
      <w:bookmarkEnd w:id="180"/>
      <w:bookmarkEnd w:id="181"/>
      <w:r w:rsidRPr="00722839">
        <w:t xml:space="preserve">Estimated net benefits/costs – </w:t>
      </w:r>
      <w:r>
        <w:t>‘</w:t>
      </w:r>
      <w:r w:rsidRPr="00722839">
        <w:t>willingness to pay</w:t>
      </w:r>
      <w:r>
        <w:t>’</w:t>
      </w:r>
      <w:r w:rsidRPr="00722839">
        <w:t xml:space="preserve"> approach</w:t>
      </w:r>
      <w:bookmarkEnd w:id="178"/>
      <w:bookmarkEnd w:id="179"/>
      <w:bookmarkEnd w:id="182"/>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4"/>
        <w:tblDescription w:val="Estimated net benefits/costs – ‘willingness to pay’ approach"/>
      </w:tblPr>
      <w:tblGrid>
        <w:gridCol w:w="2962"/>
        <w:gridCol w:w="995"/>
        <w:gridCol w:w="995"/>
        <w:gridCol w:w="995"/>
        <w:gridCol w:w="995"/>
        <w:gridCol w:w="995"/>
      </w:tblGrid>
      <w:tr w:rsidR="0001417D" w:rsidTr="0001417D">
        <w:trPr>
          <w:trHeight w:val="230"/>
          <w:tblHeader/>
        </w:trPr>
        <w:tc>
          <w:tcPr>
            <w:tcW w:w="2962" w:type="dxa"/>
            <w:shd w:val="clear" w:color="auto" w:fill="6F6652" w:themeFill="accent5"/>
          </w:tcPr>
          <w:p w:rsidR="0001417D" w:rsidRDefault="0001417D" w:rsidP="0001417D">
            <w:pPr>
              <w:pStyle w:val="TableDataColumnHeading"/>
              <w:jc w:val="left"/>
              <w:rPr>
                <w:lang w:val="en-GB"/>
              </w:rPr>
            </w:pPr>
            <w:r>
              <w:rPr>
                <w:lang w:val="en-GB"/>
              </w:rPr>
              <w:t>Benefits/Costs/Net Benefit</w:t>
            </w:r>
          </w:p>
        </w:tc>
        <w:tc>
          <w:tcPr>
            <w:tcW w:w="995" w:type="dxa"/>
            <w:shd w:val="clear" w:color="auto" w:fill="6F6652" w:themeFill="accent5"/>
          </w:tcPr>
          <w:p w:rsidR="0001417D" w:rsidRDefault="0001417D" w:rsidP="0001417D">
            <w:pPr>
              <w:pStyle w:val="TableDataColumnHeading"/>
              <w:rPr>
                <w:lang w:val="en-GB"/>
              </w:rPr>
            </w:pPr>
            <w:r>
              <w:rPr>
                <w:lang w:val="en-GB"/>
              </w:rPr>
              <w:t>Option 1</w:t>
            </w:r>
            <w:r>
              <w:rPr>
                <w:lang w:val="en-GB"/>
              </w:rPr>
              <w:br/>
              <w:t>($ million)</w:t>
            </w:r>
          </w:p>
        </w:tc>
        <w:tc>
          <w:tcPr>
            <w:tcW w:w="995" w:type="dxa"/>
            <w:shd w:val="clear" w:color="auto" w:fill="6F6652" w:themeFill="accent5"/>
          </w:tcPr>
          <w:p w:rsidR="0001417D" w:rsidRDefault="0001417D" w:rsidP="0001417D">
            <w:pPr>
              <w:pStyle w:val="TableDataColumnHeading"/>
              <w:rPr>
                <w:lang w:val="en-GB"/>
              </w:rPr>
            </w:pPr>
            <w:r>
              <w:rPr>
                <w:lang w:val="en-GB"/>
              </w:rPr>
              <w:t>Option 2</w:t>
            </w:r>
            <w:r>
              <w:rPr>
                <w:lang w:val="en-GB"/>
              </w:rPr>
              <w:br/>
              <w:t>($ million)</w:t>
            </w:r>
          </w:p>
        </w:tc>
        <w:tc>
          <w:tcPr>
            <w:tcW w:w="995" w:type="dxa"/>
            <w:shd w:val="clear" w:color="auto" w:fill="6F6652" w:themeFill="accent5"/>
          </w:tcPr>
          <w:p w:rsidR="0001417D" w:rsidRDefault="0001417D" w:rsidP="0001417D">
            <w:pPr>
              <w:pStyle w:val="TableDataColumnHeading"/>
              <w:rPr>
                <w:lang w:val="en-GB"/>
              </w:rPr>
            </w:pPr>
            <w:r>
              <w:rPr>
                <w:lang w:val="en-GB"/>
              </w:rPr>
              <w:t>Option 3</w:t>
            </w:r>
            <w:r>
              <w:rPr>
                <w:lang w:val="en-GB"/>
              </w:rPr>
              <w:br/>
              <w:t>($ million)</w:t>
            </w:r>
          </w:p>
        </w:tc>
        <w:tc>
          <w:tcPr>
            <w:tcW w:w="995" w:type="dxa"/>
            <w:shd w:val="clear" w:color="auto" w:fill="6F6652" w:themeFill="accent5"/>
          </w:tcPr>
          <w:p w:rsidR="0001417D" w:rsidRDefault="0001417D" w:rsidP="0001417D">
            <w:pPr>
              <w:pStyle w:val="TableDataColumnHeading"/>
              <w:rPr>
                <w:lang w:val="en-GB"/>
              </w:rPr>
            </w:pPr>
            <w:r>
              <w:rPr>
                <w:lang w:val="en-GB"/>
              </w:rPr>
              <w:t>Option 4</w:t>
            </w:r>
            <w:r>
              <w:rPr>
                <w:lang w:val="en-GB"/>
              </w:rPr>
              <w:br/>
              <w:t>($ million)</w:t>
            </w:r>
          </w:p>
        </w:tc>
        <w:tc>
          <w:tcPr>
            <w:tcW w:w="995" w:type="dxa"/>
            <w:shd w:val="clear" w:color="auto" w:fill="6F6652" w:themeFill="accent5"/>
          </w:tcPr>
          <w:p w:rsidR="0001417D" w:rsidRDefault="0001417D" w:rsidP="0001417D">
            <w:pPr>
              <w:pStyle w:val="TableDataColumnHeading"/>
              <w:rPr>
                <w:lang w:val="en-GB"/>
              </w:rPr>
            </w:pPr>
            <w:r>
              <w:rPr>
                <w:lang w:val="en-GB"/>
              </w:rPr>
              <w:t>Option 5</w:t>
            </w:r>
            <w:r>
              <w:rPr>
                <w:lang w:val="en-GB"/>
              </w:rPr>
              <w:br/>
              <w:t>($ million)</w:t>
            </w:r>
          </w:p>
        </w:tc>
      </w:tr>
      <w:tr w:rsidR="007C6A5F" w:rsidTr="002E1A6C">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Getting in and out</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 xml:space="preserve"> 0.00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 xml:space="preserve"> 0.00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 xml:space="preserve"> 0.00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 xml:space="preserve"> 0.00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 xml:space="preserve"> 0.00</w:t>
            </w:r>
          </w:p>
        </w:tc>
      </w:tr>
      <w:tr w:rsidR="007C6A5F" w:rsidTr="002E1A6C">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Moving around indoors</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5 354.20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7 335.76</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7 335.76</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2 191.92</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2 462.30</w:t>
            </w:r>
          </w:p>
        </w:tc>
      </w:tr>
      <w:tr w:rsidR="007C6A5F" w:rsidTr="002E1A6C">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Living with limited mobility on same level as an entrance</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 xml:space="preserve"> 330.27</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1 558.63</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1 558.63</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 xml:space="preserve"> 0.00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 xml:space="preserve"> 605.54</w:t>
            </w:r>
          </w:p>
        </w:tc>
      </w:tr>
      <w:tr w:rsidR="007C6A5F" w:rsidTr="002E1A6C">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Minimal modification required for ageing in place</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 xml:space="preserve"> 0.00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6 423.79</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6 423.79</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1 919.42</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1 685.88</w:t>
            </w:r>
          </w:p>
        </w:tc>
      </w:tr>
      <w:tr w:rsidR="007C6A5F" w:rsidTr="002E1A6C">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Societal benefits</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Pr>
                <w:szCs w:val="16"/>
              </w:rPr>
              <w:t>1 031.33</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Pr>
                <w:szCs w:val="16"/>
              </w:rPr>
              <w:t>1 106.60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Pr>
                <w:szCs w:val="16"/>
              </w:rPr>
              <w:t>1 106.60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Pr>
                <w:szCs w:val="16"/>
              </w:rPr>
              <w:t xml:space="preserve"> 326.25</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1 900.96</w:t>
            </w:r>
          </w:p>
        </w:tc>
      </w:tr>
      <w:tr w:rsidR="007C6A5F" w:rsidRPr="00B626F5" w:rsidTr="002E1A6C">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Pr="00F0430C" w:rsidRDefault="007C6A5F" w:rsidP="00C36DA4">
            <w:pPr>
              <w:pStyle w:val="TableDataEntries"/>
              <w:jc w:val="left"/>
              <w:rPr>
                <w:rFonts w:ascii="Franklin Gothic Demi" w:hAnsi="Franklin Gothic Demi"/>
                <w:lang w:val="en-GB"/>
              </w:rPr>
            </w:pPr>
            <w:r w:rsidRPr="00F0430C">
              <w:rPr>
                <w:rFonts w:ascii="Franklin Gothic Demi" w:hAnsi="Franklin Gothic Demi"/>
                <w:lang w:val="en-GB"/>
              </w:rPr>
              <w:t>Total benefits</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0430C" w:rsidRDefault="007C6A5F" w:rsidP="00C36DA4">
            <w:pPr>
              <w:pStyle w:val="TableDataEntries"/>
              <w:rPr>
                <w:rFonts w:ascii="Franklin Gothic Demi" w:hAnsi="Franklin Gothic Demi"/>
                <w:highlight w:val="yellow"/>
                <w:lang w:val="en-GB"/>
              </w:rPr>
            </w:pPr>
            <w:r>
              <w:rPr>
                <w:b/>
                <w:bCs/>
                <w:szCs w:val="16"/>
              </w:rPr>
              <w:t>6 715.81</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0430C" w:rsidRDefault="007C6A5F" w:rsidP="00C36DA4">
            <w:pPr>
              <w:pStyle w:val="TableDataEntries"/>
              <w:rPr>
                <w:rFonts w:ascii="Franklin Gothic Demi" w:hAnsi="Franklin Gothic Demi"/>
                <w:highlight w:val="yellow"/>
                <w:lang w:val="en-GB"/>
              </w:rPr>
            </w:pPr>
            <w:r>
              <w:rPr>
                <w:b/>
                <w:bCs/>
                <w:szCs w:val="16"/>
              </w:rPr>
              <w:t>16 424.79</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0430C" w:rsidRDefault="007C6A5F" w:rsidP="00C36DA4">
            <w:pPr>
              <w:pStyle w:val="TableDataEntries"/>
              <w:rPr>
                <w:rFonts w:ascii="Franklin Gothic Demi" w:hAnsi="Franklin Gothic Demi"/>
                <w:highlight w:val="yellow"/>
                <w:lang w:val="en-GB"/>
              </w:rPr>
            </w:pPr>
            <w:r>
              <w:rPr>
                <w:b/>
                <w:bCs/>
                <w:szCs w:val="16"/>
              </w:rPr>
              <w:t>16 424.79</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0430C" w:rsidRDefault="007C6A5F" w:rsidP="00C36DA4">
            <w:pPr>
              <w:pStyle w:val="TableDataEntries"/>
              <w:rPr>
                <w:rFonts w:ascii="Franklin Gothic Demi" w:hAnsi="Franklin Gothic Demi"/>
                <w:highlight w:val="yellow"/>
                <w:lang w:val="en-GB"/>
              </w:rPr>
            </w:pPr>
            <w:r>
              <w:rPr>
                <w:b/>
                <w:bCs/>
                <w:szCs w:val="16"/>
              </w:rPr>
              <w:t>4 437.60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F0430C" w:rsidRDefault="007C6A5F" w:rsidP="00C36DA4">
            <w:pPr>
              <w:pStyle w:val="TableDataEntries"/>
              <w:rPr>
                <w:rFonts w:ascii="Franklin Gothic Demi" w:hAnsi="Franklin Gothic Demi"/>
                <w:highlight w:val="yellow"/>
                <w:lang w:val="en-GB"/>
              </w:rPr>
            </w:pPr>
            <w:r w:rsidRPr="00F0430C">
              <w:rPr>
                <w:rFonts w:ascii="Franklin Gothic Demi" w:hAnsi="Franklin Gothic Demi"/>
              </w:rPr>
              <w:t>6 654.68</w:t>
            </w:r>
          </w:p>
        </w:tc>
      </w:tr>
      <w:tr w:rsidR="007C6A5F" w:rsidTr="002E1A6C">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Construction costs</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Pr>
                <w:szCs w:val="16"/>
              </w:rPr>
              <w:t>-1 866.72</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Pr>
                <w:szCs w:val="16"/>
              </w:rPr>
              <w:t>-12 384.81</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Pr>
                <w:szCs w:val="16"/>
              </w:rPr>
              <w:t>-15 904.40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Pr>
                <w:szCs w:val="16"/>
              </w:rPr>
              <w:t>-3 602.32</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 xml:space="preserve"> 0.00</w:t>
            </w:r>
          </w:p>
        </w:tc>
      </w:tr>
      <w:tr w:rsidR="007C6A5F" w:rsidTr="002E1A6C">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Opportunity cost of space</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Pr>
                <w:szCs w:val="16"/>
              </w:rPr>
              <w:t>-1 571.81</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Pr>
                <w:szCs w:val="16"/>
              </w:rPr>
              <w:t>-8 831.55</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Pr>
                <w:szCs w:val="16"/>
              </w:rPr>
              <w:t>-11 162.57</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Pr>
                <w:szCs w:val="16"/>
              </w:rPr>
              <w:t>-6 541.11</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 xml:space="preserve"> 0.00</w:t>
            </w:r>
          </w:p>
        </w:tc>
      </w:tr>
      <w:tr w:rsidR="007C6A5F" w:rsidTr="002E1A6C">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Industry re-training costs</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- 28.47</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- 28.47</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- 28.47</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- 28.47</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 xml:space="preserve"> 0.00</w:t>
            </w:r>
          </w:p>
        </w:tc>
      </w:tr>
      <w:tr w:rsidR="007C6A5F" w:rsidTr="002E1A6C">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Subsidy</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 xml:space="preserve"> 0.00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 xml:space="preserve"> 0.00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 xml:space="preserve"> 0.00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 xml:space="preserve"> 0.00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A4049A">
              <w:t>-7 455.55</w:t>
            </w:r>
          </w:p>
        </w:tc>
      </w:tr>
      <w:tr w:rsidR="007C6A5F" w:rsidRPr="00B626F5" w:rsidTr="00B5160B">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Pr="00F0430C" w:rsidRDefault="007C6A5F" w:rsidP="00C36DA4">
            <w:pPr>
              <w:pStyle w:val="TableDataEntries"/>
              <w:jc w:val="left"/>
              <w:rPr>
                <w:rFonts w:ascii="Franklin Gothic Demi" w:hAnsi="Franklin Gothic Demi"/>
                <w:lang w:val="en-GB"/>
              </w:rPr>
            </w:pPr>
            <w:r w:rsidRPr="00F0430C">
              <w:rPr>
                <w:rFonts w:ascii="Franklin Gothic Demi" w:hAnsi="Franklin Gothic Demi"/>
                <w:lang w:val="en-GB"/>
              </w:rPr>
              <w:t>Total costs</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AD55B7" w:rsidRDefault="007C6A5F" w:rsidP="00C36DA4">
            <w:pPr>
              <w:pStyle w:val="TableDataEntries"/>
              <w:rPr>
                <w:rFonts w:ascii="Franklin Gothic Demi" w:hAnsi="Franklin Gothic Demi"/>
                <w:szCs w:val="16"/>
                <w:highlight w:val="yellow"/>
                <w:lang w:val="en-GB"/>
              </w:rPr>
            </w:pPr>
            <w:r>
              <w:rPr>
                <w:b/>
                <w:bCs/>
                <w:szCs w:val="16"/>
              </w:rPr>
              <w:t>-3 467.00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AD55B7" w:rsidRDefault="007C6A5F" w:rsidP="00C36DA4">
            <w:pPr>
              <w:pStyle w:val="TableDataEntries"/>
              <w:rPr>
                <w:rFonts w:ascii="Franklin Gothic Demi" w:hAnsi="Franklin Gothic Demi"/>
                <w:szCs w:val="16"/>
                <w:highlight w:val="yellow"/>
                <w:lang w:val="en-GB"/>
              </w:rPr>
            </w:pPr>
            <w:r>
              <w:rPr>
                <w:b/>
                <w:bCs/>
                <w:szCs w:val="16"/>
              </w:rPr>
              <w:t>-21 244.83</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AD55B7" w:rsidRDefault="007C6A5F" w:rsidP="00C36DA4">
            <w:pPr>
              <w:pStyle w:val="TableDataEntries"/>
              <w:rPr>
                <w:rFonts w:ascii="Franklin Gothic Demi" w:hAnsi="Franklin Gothic Demi"/>
                <w:szCs w:val="16"/>
                <w:highlight w:val="yellow"/>
                <w:lang w:val="en-GB"/>
              </w:rPr>
            </w:pPr>
            <w:r>
              <w:rPr>
                <w:b/>
                <w:bCs/>
                <w:szCs w:val="16"/>
              </w:rPr>
              <w:t>-27 095.43</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AD55B7" w:rsidRDefault="007C6A5F" w:rsidP="00C36DA4">
            <w:pPr>
              <w:pStyle w:val="TableDataEntries"/>
              <w:rPr>
                <w:rFonts w:ascii="Franklin Gothic Demi" w:hAnsi="Franklin Gothic Demi"/>
                <w:szCs w:val="16"/>
                <w:highlight w:val="yellow"/>
              </w:rPr>
            </w:pPr>
            <w:r>
              <w:rPr>
                <w:b/>
                <w:bCs/>
                <w:szCs w:val="16"/>
              </w:rPr>
              <w:t>-10 171.90</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687613" w:rsidRDefault="007C6A5F" w:rsidP="00C36DA4">
            <w:pPr>
              <w:pStyle w:val="TableDataEntries"/>
              <w:rPr>
                <w:rFonts w:ascii="Franklin Gothic Demi" w:hAnsi="Franklin Gothic Demi"/>
                <w:highlight w:val="yellow"/>
                <w:lang w:val="en-GB"/>
              </w:rPr>
            </w:pPr>
            <w:r w:rsidRPr="00F0430C">
              <w:rPr>
                <w:rFonts w:ascii="Franklin Gothic Demi" w:hAnsi="Franklin Gothic Demi"/>
              </w:rPr>
              <w:t>-7 455.55</w:t>
            </w:r>
          </w:p>
        </w:tc>
      </w:tr>
      <w:tr w:rsidR="007C6A5F" w:rsidRPr="00B626F5" w:rsidTr="00B5160B">
        <w:trPr>
          <w:trHeight w:val="230"/>
        </w:trPr>
        <w:tc>
          <w:tcPr>
            <w:tcW w:w="2962" w:type="dxa"/>
            <w:tcBorders>
              <w:top w:val="single" w:sz="8" w:space="0" w:color="FFFFFF" w:themeColor="background1"/>
              <w:bottom w:val="single" w:sz="4" w:space="0" w:color="6F6652" w:themeColor="accent5"/>
            </w:tcBorders>
            <w:shd w:val="clear" w:color="auto" w:fill="C2DADB" w:themeFill="accent6" w:themeFillTint="99"/>
          </w:tcPr>
          <w:p w:rsidR="007C6A5F" w:rsidRPr="00F0430C" w:rsidRDefault="007C6A5F" w:rsidP="00C36DA4">
            <w:pPr>
              <w:pStyle w:val="TableDataEntries"/>
              <w:jc w:val="left"/>
              <w:rPr>
                <w:rFonts w:ascii="Franklin Gothic Demi" w:hAnsi="Franklin Gothic Demi"/>
                <w:lang w:val="en-GB"/>
              </w:rPr>
            </w:pPr>
            <w:r w:rsidRPr="00F0430C">
              <w:rPr>
                <w:rFonts w:ascii="Franklin Gothic Demi" w:hAnsi="Franklin Gothic Demi"/>
                <w:lang w:val="en-GB"/>
              </w:rPr>
              <w:t>Net benefit/costs</w:t>
            </w:r>
          </w:p>
        </w:tc>
        <w:tc>
          <w:tcPr>
            <w:tcW w:w="995" w:type="dxa"/>
            <w:tcBorders>
              <w:top w:val="single" w:sz="8" w:space="0" w:color="FFFFFF" w:themeColor="background1"/>
              <w:bottom w:val="single" w:sz="4" w:space="0" w:color="6F6652" w:themeColor="accent5"/>
            </w:tcBorders>
            <w:shd w:val="clear" w:color="auto" w:fill="C2DADB" w:themeFill="accent6" w:themeFillTint="99"/>
          </w:tcPr>
          <w:p w:rsidR="007C6A5F" w:rsidRPr="00AD55B7" w:rsidRDefault="007C6A5F" w:rsidP="00C36DA4">
            <w:pPr>
              <w:pStyle w:val="TableDataEntries"/>
              <w:rPr>
                <w:rFonts w:ascii="Franklin Gothic Demi" w:hAnsi="Franklin Gothic Demi"/>
                <w:szCs w:val="16"/>
                <w:lang w:val="en-GB"/>
              </w:rPr>
            </w:pPr>
            <w:r>
              <w:rPr>
                <w:b/>
                <w:bCs/>
                <w:szCs w:val="16"/>
              </w:rPr>
              <w:t>3 248.81</w:t>
            </w:r>
          </w:p>
        </w:tc>
        <w:tc>
          <w:tcPr>
            <w:tcW w:w="995" w:type="dxa"/>
            <w:tcBorders>
              <w:top w:val="single" w:sz="8" w:space="0" w:color="FFFFFF" w:themeColor="background1"/>
              <w:bottom w:val="single" w:sz="4" w:space="0" w:color="6F6652" w:themeColor="accent5"/>
            </w:tcBorders>
            <w:shd w:val="clear" w:color="auto" w:fill="C2DADB" w:themeFill="accent6" w:themeFillTint="99"/>
          </w:tcPr>
          <w:p w:rsidR="007C6A5F" w:rsidRPr="00AD55B7" w:rsidRDefault="007C6A5F" w:rsidP="00C36DA4">
            <w:pPr>
              <w:pStyle w:val="TableDataEntries"/>
              <w:rPr>
                <w:rFonts w:ascii="Franklin Gothic Demi" w:hAnsi="Franklin Gothic Demi"/>
                <w:szCs w:val="16"/>
                <w:lang w:val="en-GB"/>
              </w:rPr>
            </w:pPr>
            <w:r>
              <w:rPr>
                <w:b/>
                <w:bCs/>
                <w:szCs w:val="16"/>
              </w:rPr>
              <w:t>-4 820.04</w:t>
            </w:r>
          </w:p>
        </w:tc>
        <w:tc>
          <w:tcPr>
            <w:tcW w:w="995" w:type="dxa"/>
            <w:tcBorders>
              <w:top w:val="single" w:sz="8" w:space="0" w:color="FFFFFF" w:themeColor="background1"/>
              <w:bottom w:val="single" w:sz="4" w:space="0" w:color="6F6652" w:themeColor="accent5"/>
            </w:tcBorders>
            <w:shd w:val="clear" w:color="auto" w:fill="C2DADB" w:themeFill="accent6" w:themeFillTint="99"/>
          </w:tcPr>
          <w:p w:rsidR="007C6A5F" w:rsidRPr="00AD55B7" w:rsidRDefault="007C6A5F" w:rsidP="00C36DA4">
            <w:pPr>
              <w:pStyle w:val="TableDataEntries"/>
              <w:rPr>
                <w:rFonts w:ascii="Franklin Gothic Demi" w:hAnsi="Franklin Gothic Demi"/>
                <w:szCs w:val="16"/>
                <w:lang w:val="en-GB"/>
              </w:rPr>
            </w:pPr>
            <w:r>
              <w:rPr>
                <w:b/>
                <w:bCs/>
                <w:szCs w:val="16"/>
              </w:rPr>
              <w:t>-10 670.65</w:t>
            </w:r>
          </w:p>
        </w:tc>
        <w:tc>
          <w:tcPr>
            <w:tcW w:w="995" w:type="dxa"/>
            <w:tcBorders>
              <w:top w:val="single" w:sz="8" w:space="0" w:color="FFFFFF" w:themeColor="background1"/>
              <w:bottom w:val="single" w:sz="4" w:space="0" w:color="6F6652" w:themeColor="accent5"/>
            </w:tcBorders>
            <w:shd w:val="clear" w:color="auto" w:fill="C2DADB" w:themeFill="accent6" w:themeFillTint="99"/>
          </w:tcPr>
          <w:p w:rsidR="007C6A5F" w:rsidRPr="00AD55B7" w:rsidRDefault="007C6A5F" w:rsidP="00C36DA4">
            <w:pPr>
              <w:pStyle w:val="TableDataEntries"/>
              <w:rPr>
                <w:rFonts w:ascii="Franklin Gothic Demi" w:hAnsi="Franklin Gothic Demi"/>
                <w:szCs w:val="16"/>
              </w:rPr>
            </w:pPr>
            <w:r>
              <w:rPr>
                <w:b/>
                <w:bCs/>
                <w:szCs w:val="16"/>
              </w:rPr>
              <w:t>-5 734.30</w:t>
            </w:r>
          </w:p>
        </w:tc>
        <w:tc>
          <w:tcPr>
            <w:tcW w:w="995" w:type="dxa"/>
            <w:tcBorders>
              <w:top w:val="single" w:sz="8" w:space="0" w:color="FFFFFF" w:themeColor="background1"/>
              <w:bottom w:val="single" w:sz="4" w:space="0" w:color="6F6652" w:themeColor="accent5"/>
            </w:tcBorders>
            <w:shd w:val="clear" w:color="auto" w:fill="C2DADB" w:themeFill="accent6" w:themeFillTint="99"/>
          </w:tcPr>
          <w:p w:rsidR="007C6A5F" w:rsidRPr="00F0430C" w:rsidRDefault="007C6A5F" w:rsidP="00C36DA4">
            <w:pPr>
              <w:pStyle w:val="TableDataEntries"/>
              <w:rPr>
                <w:rFonts w:ascii="Franklin Gothic Demi" w:hAnsi="Franklin Gothic Demi"/>
                <w:lang w:val="en-GB"/>
              </w:rPr>
            </w:pPr>
            <w:r w:rsidRPr="00F0430C">
              <w:rPr>
                <w:rFonts w:ascii="Franklin Gothic Demi" w:hAnsi="Franklin Gothic Demi"/>
              </w:rPr>
              <w:t>- 800.87</w:t>
            </w:r>
          </w:p>
        </w:tc>
      </w:tr>
    </w:tbl>
    <w:p w:rsidR="007C6A5F" w:rsidRDefault="007C6A5F" w:rsidP="007C6A5F">
      <w:pPr>
        <w:pStyle w:val="Note"/>
        <w:rPr>
          <w:lang w:bidi="fa-IR"/>
        </w:rPr>
      </w:pPr>
      <w:r w:rsidRPr="007D1B4F">
        <w:rPr>
          <w:i/>
        </w:rPr>
        <w:t>Note:</w:t>
      </w:r>
      <w:r w:rsidRPr="00E879B8">
        <w:t xml:space="preserve"> </w:t>
      </w:r>
      <w:r>
        <w:t>Costs and benefits are presented in net present value terms covering a 10</w:t>
      </w:r>
      <w:r>
        <w:noBreakHyphen/>
        <w:t>year regulatory period from 2022 to 2031, using a discount rate of 7 per cent. Benefits are extended out an additional 30 years, reflecting the flow of benefits over the life of dwellings constructed during the regulatory period. Where benefits reflect zero values, this reflects the element is currently assumed to be provided under that Option.</w:t>
      </w:r>
    </w:p>
    <w:p w:rsidR="007C6A5F" w:rsidRDefault="007C6A5F" w:rsidP="007C6A5F">
      <w:pPr>
        <w:pStyle w:val="Source"/>
        <w:rPr>
          <w:lang w:bidi="fa-IR"/>
        </w:rPr>
      </w:pPr>
      <w:r w:rsidRPr="00D02575">
        <w:rPr>
          <w:i/>
          <w:lang w:bidi="fa-IR"/>
        </w:rPr>
        <w:t>Source:</w:t>
      </w:r>
      <w:r>
        <w:rPr>
          <w:lang w:bidi="fa-IR"/>
        </w:rPr>
        <w:t xml:space="preserve"> CIE estimates.</w:t>
      </w:r>
    </w:p>
    <w:p w:rsidR="007C6A5F" w:rsidRDefault="007C6A5F" w:rsidP="007C6A5F">
      <w:pPr>
        <w:pStyle w:val="BodyText"/>
        <w:rPr>
          <w:lang w:bidi="fa-IR"/>
        </w:rPr>
      </w:pPr>
      <w:r>
        <w:rPr>
          <w:lang w:bidi="fa-IR"/>
        </w:rPr>
        <w:t>The key difference between the WTP approach and the ‘problem-reduction’ approach is that WTP includes, for Options 1-4, benefits to households that do not currently contain any persons with limited mobility. The survey results suggest that many of these</w:t>
      </w:r>
      <w:r w:rsidR="00850A2E">
        <w:rPr>
          <w:lang w:bidi="fa-IR"/>
        </w:rPr>
        <w:t xml:space="preserve"> </w:t>
      </w:r>
      <w:r>
        <w:rPr>
          <w:lang w:bidi="fa-IR"/>
        </w:rPr>
        <w:t xml:space="preserve">households value accessibility features. Option 5 does not include benefits to these households. For Option 5, the ‘WTP approach includes benefits only to renters with limited mobility, consistent with the ‘problem-reduction’ approach, and arrives at benefit estimates that are of a similar order of magnitude to those for Option 5 under the ‘problem-reduction’ approach. </w:t>
      </w:r>
    </w:p>
    <w:p w:rsidR="007C6A5F" w:rsidRDefault="007C6A5F" w:rsidP="007C6A5F">
      <w:pPr>
        <w:pStyle w:val="BodyText"/>
        <w:rPr>
          <w:lang w:bidi="fa-IR"/>
        </w:rPr>
      </w:pPr>
      <w:r>
        <w:rPr>
          <w:lang w:bidi="fa-IR"/>
        </w:rPr>
        <w:t xml:space="preserve">When WTP benefits in Options 1-4 are aggregated only over households containing a person with mobility-related disability in new homes, the results are similar to those derived using the ‘problem-reduction’ approach (see table </w:t>
      </w:r>
      <w:r>
        <w:rPr>
          <w:lang w:bidi="fa-IR"/>
        </w:rPr>
        <w:fldChar w:fldCharType="begin"/>
      </w:r>
      <w:r>
        <w:rPr>
          <w:lang w:bidi="fa-IR"/>
        </w:rPr>
        <w:instrText xml:space="preserve"> REF _Caption1137 </w:instrText>
      </w:r>
      <w:r>
        <w:rPr>
          <w:lang w:bidi="fa-IR"/>
        </w:rPr>
        <w:fldChar w:fldCharType="separate"/>
      </w:r>
      <w:r>
        <w:rPr>
          <w:noProof/>
        </w:rPr>
        <w:t>5</w:t>
      </w:r>
      <w:r>
        <w:rPr>
          <w:lang w:bidi="fa-IR"/>
        </w:rPr>
        <w:fldChar w:fldCharType="end"/>
      </w:r>
      <w:r>
        <w:rPr>
          <w:lang w:bidi="fa-IR"/>
        </w:rPr>
        <w:t>).</w:t>
      </w:r>
    </w:p>
    <w:p w:rsidR="007C6A5F" w:rsidRDefault="007C6A5F" w:rsidP="007C6A5F">
      <w:pPr>
        <w:pStyle w:val="Caption"/>
        <w:ind w:left="284" w:hanging="284"/>
      </w:pPr>
      <w:r w:rsidRPr="00695C93">
        <w:lastRenderedPageBreak/>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rsidRPr="00695C93">
        <w:instrText xml:space="preserve">." </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end"/>
      </w:r>
      <w:r w:rsidRPr="00695C93">
        <w:instrText xml:space="preserve"> </w:instrText>
      </w:r>
      <w:r w:rsidRPr="00695C93">
        <w:fldChar w:fldCharType="separate"/>
      </w:r>
      <w:r w:rsidR="00272AF3">
        <w:rPr>
          <w:noProof/>
        </w:rPr>
        <w:instrText>5</w:instrText>
      </w:r>
      <w:r w:rsidRPr="00695C93">
        <w:fldChar w:fldCharType="end"/>
      </w:r>
      <w:r w:rsidRPr="00695C93">
        <w:instrText xml:space="preserve">" "" </w:instrText>
      </w:r>
      <w:r w:rsidRPr="00695C93">
        <w:fldChar w:fldCharType="separate"/>
      </w:r>
      <w:bookmarkStart w:id="184" w:name="_Caption5717"/>
      <w:bookmarkStart w:id="185" w:name="_Caption8674"/>
      <w:bookmarkStart w:id="186" w:name="_Caption0853"/>
      <w:bookmarkStart w:id="187" w:name="_Caption1137"/>
      <w:bookmarkStart w:id="188" w:name="_Caption7935"/>
      <w:bookmarkStart w:id="189" w:name="_Caption8134"/>
      <w:bookmarkStart w:id="190" w:name="_Caption8123"/>
      <w:bookmarkStart w:id="191" w:name="_Toc44598480"/>
      <w:bookmarkStart w:id="192" w:name="_Toc45654111"/>
      <w:r w:rsidR="00272AF3">
        <w:rPr>
          <w:noProof/>
        </w:rPr>
        <w:t>5</w:t>
      </w:r>
      <w:bookmarkEnd w:id="184"/>
      <w:bookmarkEnd w:id="185"/>
      <w:bookmarkEnd w:id="186"/>
      <w:bookmarkEnd w:id="187"/>
      <w:bookmarkEnd w:id="188"/>
      <w:bookmarkEnd w:id="189"/>
      <w:bookmarkEnd w:id="190"/>
      <w:r w:rsidRPr="00695C93">
        <w:fldChar w:fldCharType="end"/>
      </w:r>
      <w:r w:rsidRPr="00695C93">
        <w:tab/>
      </w:r>
      <w:r>
        <w:t xml:space="preserve">Estimated net benefits/costs – ‘willingness to pay’ approach applied only to households containing </w:t>
      </w:r>
      <w:r>
        <w:rPr>
          <w:lang w:bidi="fa-IR"/>
        </w:rPr>
        <w:t>a person with mobility-related disability</w:t>
      </w:r>
      <w:bookmarkEnd w:id="191"/>
      <w:bookmarkEnd w:id="192"/>
      <w:r>
        <w:rPr>
          <w:lang w:bidi="fa-IR"/>
        </w:rPr>
        <w:t xml:space="preserve"> </w:t>
      </w:r>
    </w:p>
    <w:tbl>
      <w:tblPr>
        <w:tblStyle w:val="TableGridLight"/>
        <w:tblW w:w="7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5"/>
        <w:tblDescription w:val="Estimated net benefits/costs – ‘willingness to pay’ approach applied only to households containing a person with mobility-related disability"/>
      </w:tblPr>
      <w:tblGrid>
        <w:gridCol w:w="2552"/>
        <w:gridCol w:w="992"/>
        <w:gridCol w:w="1134"/>
        <w:gridCol w:w="1134"/>
        <w:gridCol w:w="1170"/>
        <w:gridCol w:w="957"/>
      </w:tblGrid>
      <w:tr w:rsidR="00736114" w:rsidRPr="00C62AE6" w:rsidTr="00D87F1F">
        <w:trPr>
          <w:trHeight w:val="250"/>
          <w:tblHeader/>
        </w:trPr>
        <w:tc>
          <w:tcPr>
            <w:tcW w:w="2552" w:type="dxa"/>
            <w:shd w:val="clear" w:color="auto" w:fill="6F6652" w:themeFill="accent5"/>
            <w:noWrap/>
            <w:hideMark/>
          </w:tcPr>
          <w:p w:rsidR="00736114" w:rsidRPr="00C33CE4" w:rsidRDefault="00736114" w:rsidP="00736114">
            <w:pPr>
              <w:pStyle w:val="TableDataColumnHeading"/>
              <w:jc w:val="left"/>
            </w:pPr>
            <w:r>
              <w:rPr>
                <w:lang w:val="en-GB"/>
              </w:rPr>
              <w:t>Benefits/Costs/Net Benefit</w:t>
            </w:r>
          </w:p>
        </w:tc>
        <w:tc>
          <w:tcPr>
            <w:tcW w:w="992" w:type="dxa"/>
            <w:shd w:val="clear" w:color="auto" w:fill="6F6652" w:themeFill="accent5"/>
            <w:noWrap/>
            <w:hideMark/>
          </w:tcPr>
          <w:p w:rsidR="00736114" w:rsidRPr="009000CB" w:rsidRDefault="00736114" w:rsidP="00736114">
            <w:pPr>
              <w:pStyle w:val="TableDataColumnHeading"/>
            </w:pPr>
            <w:r>
              <w:rPr>
                <w:lang w:val="en-GB"/>
              </w:rPr>
              <w:t>Option 1</w:t>
            </w:r>
            <w:r>
              <w:rPr>
                <w:lang w:val="en-GB"/>
              </w:rPr>
              <w:br/>
              <w:t>($ million)</w:t>
            </w:r>
          </w:p>
        </w:tc>
        <w:tc>
          <w:tcPr>
            <w:tcW w:w="1134" w:type="dxa"/>
            <w:shd w:val="clear" w:color="auto" w:fill="6F6652" w:themeFill="accent5"/>
            <w:noWrap/>
            <w:hideMark/>
          </w:tcPr>
          <w:p w:rsidR="00736114" w:rsidRPr="009000CB" w:rsidRDefault="00736114" w:rsidP="00736114">
            <w:pPr>
              <w:pStyle w:val="TableDataColumnHeading"/>
            </w:pPr>
            <w:r>
              <w:rPr>
                <w:lang w:val="en-GB"/>
              </w:rPr>
              <w:t>Option 2</w:t>
            </w:r>
            <w:r>
              <w:rPr>
                <w:lang w:val="en-GB"/>
              </w:rPr>
              <w:br/>
              <w:t>($ million)</w:t>
            </w:r>
          </w:p>
        </w:tc>
        <w:tc>
          <w:tcPr>
            <w:tcW w:w="1134" w:type="dxa"/>
            <w:shd w:val="clear" w:color="auto" w:fill="6F6652" w:themeFill="accent5"/>
            <w:noWrap/>
            <w:hideMark/>
          </w:tcPr>
          <w:p w:rsidR="00736114" w:rsidRPr="009000CB" w:rsidRDefault="00736114" w:rsidP="00736114">
            <w:pPr>
              <w:pStyle w:val="TableDataColumnHeading"/>
            </w:pPr>
            <w:r>
              <w:rPr>
                <w:lang w:val="en-GB"/>
              </w:rPr>
              <w:t>Option 3</w:t>
            </w:r>
            <w:r>
              <w:rPr>
                <w:lang w:val="en-GB"/>
              </w:rPr>
              <w:br/>
              <w:t>($ million)</w:t>
            </w:r>
          </w:p>
        </w:tc>
        <w:tc>
          <w:tcPr>
            <w:tcW w:w="1170" w:type="dxa"/>
            <w:shd w:val="clear" w:color="auto" w:fill="6F6652" w:themeFill="accent5"/>
            <w:noWrap/>
            <w:hideMark/>
          </w:tcPr>
          <w:p w:rsidR="00736114" w:rsidRPr="009000CB" w:rsidRDefault="00736114" w:rsidP="00736114">
            <w:pPr>
              <w:pStyle w:val="TableDataColumnHeading"/>
            </w:pPr>
            <w:r>
              <w:rPr>
                <w:lang w:val="en-GB"/>
              </w:rPr>
              <w:t>Option 4</w:t>
            </w:r>
            <w:r>
              <w:rPr>
                <w:lang w:val="en-GB"/>
              </w:rPr>
              <w:br/>
              <w:t>($ million)</w:t>
            </w:r>
          </w:p>
        </w:tc>
        <w:tc>
          <w:tcPr>
            <w:tcW w:w="957" w:type="dxa"/>
            <w:shd w:val="clear" w:color="auto" w:fill="6F6652" w:themeFill="accent5"/>
            <w:noWrap/>
            <w:hideMark/>
          </w:tcPr>
          <w:p w:rsidR="00736114" w:rsidRPr="009000CB" w:rsidRDefault="00736114" w:rsidP="00736114">
            <w:pPr>
              <w:pStyle w:val="TableDataColumnHeading"/>
            </w:pPr>
            <w:r>
              <w:rPr>
                <w:lang w:val="en-GB"/>
              </w:rPr>
              <w:t>Option 5</w:t>
            </w:r>
            <w:r>
              <w:rPr>
                <w:lang w:val="en-GB"/>
              </w:rPr>
              <w:br/>
              <w:t>($ million)</w:t>
            </w:r>
          </w:p>
        </w:tc>
      </w:tr>
      <w:tr w:rsidR="00AD487F" w:rsidRPr="00C62AE6" w:rsidTr="00D87F1F">
        <w:trPr>
          <w:trHeight w:val="250"/>
        </w:trPr>
        <w:tc>
          <w:tcPr>
            <w:tcW w:w="2552" w:type="dxa"/>
            <w:tcBorders>
              <w:top w:val="single" w:sz="8" w:space="0" w:color="FFFFFF" w:themeColor="background1"/>
              <w:bottom w:val="single" w:sz="8" w:space="0" w:color="FFFFFF" w:themeColor="background1"/>
            </w:tcBorders>
            <w:shd w:val="clear" w:color="auto" w:fill="E9E8E5" w:themeFill="background2"/>
            <w:noWrap/>
            <w:hideMark/>
          </w:tcPr>
          <w:p w:rsidR="007C6A5F" w:rsidRPr="00C62AE6" w:rsidRDefault="007C6A5F" w:rsidP="00C36DA4">
            <w:pPr>
              <w:pStyle w:val="TableDataEntries"/>
              <w:jc w:val="left"/>
            </w:pPr>
            <w:r w:rsidRPr="00C62AE6">
              <w:t>Getting in and out</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sidRPr="00DB1DA1">
              <w:rPr>
                <w:szCs w:val="16"/>
              </w:rPr>
              <w:t xml:space="preserve"> 0.00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sidRPr="00DB1DA1">
              <w:rPr>
                <w:szCs w:val="16"/>
              </w:rPr>
              <w:t xml:space="preserve"> 0.00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sidRPr="00DB1DA1">
              <w:rPr>
                <w:szCs w:val="16"/>
              </w:rPr>
              <w:t xml:space="preserve"> 0.00</w:t>
            </w:r>
          </w:p>
        </w:tc>
        <w:tc>
          <w:tcPr>
            <w:tcW w:w="1170"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sidRPr="00DB1DA1">
              <w:rPr>
                <w:szCs w:val="16"/>
              </w:rPr>
              <w:t xml:space="preserve"> 0.00</w:t>
            </w:r>
          </w:p>
        </w:tc>
        <w:tc>
          <w:tcPr>
            <w:tcW w:w="957"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sidRPr="00DB1DA1">
              <w:rPr>
                <w:szCs w:val="16"/>
              </w:rPr>
              <w:t xml:space="preserve"> 0.00</w:t>
            </w:r>
          </w:p>
        </w:tc>
      </w:tr>
      <w:tr w:rsidR="00AD487F" w:rsidRPr="00C62AE6" w:rsidTr="00D87F1F">
        <w:trPr>
          <w:trHeight w:val="250"/>
        </w:trPr>
        <w:tc>
          <w:tcPr>
            <w:tcW w:w="2552" w:type="dxa"/>
            <w:tcBorders>
              <w:top w:val="single" w:sz="8" w:space="0" w:color="FFFFFF" w:themeColor="background1"/>
              <w:bottom w:val="single" w:sz="8" w:space="0" w:color="FFFFFF" w:themeColor="background1"/>
            </w:tcBorders>
            <w:shd w:val="clear" w:color="auto" w:fill="E9E8E5" w:themeFill="background2"/>
            <w:noWrap/>
            <w:hideMark/>
          </w:tcPr>
          <w:p w:rsidR="007C6A5F" w:rsidRPr="00C62AE6" w:rsidRDefault="007C6A5F" w:rsidP="00C36DA4">
            <w:pPr>
              <w:pStyle w:val="TableDataEntries"/>
              <w:jc w:val="left"/>
            </w:pPr>
            <w:r w:rsidRPr="00C62AE6">
              <w:t>Moving around indoors</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sidRPr="00DB1DA1">
              <w:rPr>
                <w:szCs w:val="16"/>
              </w:rPr>
              <w:t>1 782.39</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sidRPr="00DB1DA1">
              <w:rPr>
                <w:szCs w:val="16"/>
              </w:rPr>
              <w:t>2 712.76</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sidRPr="00DB1DA1">
              <w:rPr>
                <w:szCs w:val="16"/>
              </w:rPr>
              <w:t>2 712.76</w:t>
            </w:r>
          </w:p>
        </w:tc>
        <w:tc>
          <w:tcPr>
            <w:tcW w:w="1170"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sidRPr="00DB1DA1">
              <w:rPr>
                <w:szCs w:val="16"/>
              </w:rPr>
              <w:t xml:space="preserve"> 810.57</w:t>
            </w:r>
          </w:p>
        </w:tc>
        <w:tc>
          <w:tcPr>
            <w:tcW w:w="957"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sidRPr="00DB1DA1">
              <w:rPr>
                <w:szCs w:val="16"/>
              </w:rPr>
              <w:t>2 462.30</w:t>
            </w:r>
          </w:p>
        </w:tc>
      </w:tr>
      <w:tr w:rsidR="00AD487F" w:rsidRPr="00C62AE6" w:rsidTr="00D87F1F">
        <w:trPr>
          <w:trHeight w:val="250"/>
        </w:trPr>
        <w:tc>
          <w:tcPr>
            <w:tcW w:w="2552" w:type="dxa"/>
            <w:tcBorders>
              <w:top w:val="single" w:sz="8" w:space="0" w:color="FFFFFF" w:themeColor="background1"/>
              <w:bottom w:val="single" w:sz="8" w:space="0" w:color="FFFFFF" w:themeColor="background1"/>
            </w:tcBorders>
            <w:shd w:val="clear" w:color="auto" w:fill="E9E8E5" w:themeFill="background2"/>
            <w:noWrap/>
            <w:hideMark/>
          </w:tcPr>
          <w:p w:rsidR="007C6A5F" w:rsidRPr="00C62AE6" w:rsidRDefault="007C6A5F" w:rsidP="00C36DA4">
            <w:pPr>
              <w:pStyle w:val="TableDataEntries"/>
              <w:jc w:val="left"/>
            </w:pPr>
            <w:r w:rsidRPr="00C62AE6">
              <w:t>Living with limited mobility on same level as an entrance</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sidRPr="00DB1DA1">
              <w:rPr>
                <w:szCs w:val="16"/>
              </w:rPr>
              <w:t xml:space="preserve"> 125.03</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sidRPr="00DB1DA1">
              <w:rPr>
                <w:szCs w:val="16"/>
              </w:rPr>
              <w:t xml:space="preserve"> 658.68</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sidRPr="00DB1DA1">
              <w:rPr>
                <w:szCs w:val="16"/>
              </w:rPr>
              <w:t xml:space="preserve"> 658.68</w:t>
            </w:r>
          </w:p>
        </w:tc>
        <w:tc>
          <w:tcPr>
            <w:tcW w:w="1170"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sidRPr="00DB1DA1">
              <w:rPr>
                <w:szCs w:val="16"/>
              </w:rPr>
              <w:t xml:space="preserve"> 0.00</w:t>
            </w:r>
          </w:p>
        </w:tc>
        <w:tc>
          <w:tcPr>
            <w:tcW w:w="957"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sidRPr="00DB1DA1">
              <w:rPr>
                <w:szCs w:val="16"/>
              </w:rPr>
              <w:t xml:space="preserve"> 605.54</w:t>
            </w:r>
          </w:p>
        </w:tc>
      </w:tr>
      <w:tr w:rsidR="00AD487F" w:rsidRPr="00C62AE6" w:rsidTr="00D87F1F">
        <w:trPr>
          <w:trHeight w:val="250"/>
        </w:trPr>
        <w:tc>
          <w:tcPr>
            <w:tcW w:w="2552" w:type="dxa"/>
            <w:tcBorders>
              <w:top w:val="single" w:sz="8" w:space="0" w:color="FFFFFF" w:themeColor="background1"/>
              <w:bottom w:val="single" w:sz="8" w:space="0" w:color="FFFFFF" w:themeColor="background1"/>
            </w:tcBorders>
            <w:shd w:val="clear" w:color="auto" w:fill="E9E8E5" w:themeFill="background2"/>
            <w:noWrap/>
            <w:hideMark/>
          </w:tcPr>
          <w:p w:rsidR="007C6A5F" w:rsidRPr="00C62AE6" w:rsidRDefault="007C6A5F" w:rsidP="00C36DA4">
            <w:pPr>
              <w:pStyle w:val="TableDataEntries"/>
              <w:jc w:val="left"/>
            </w:pPr>
            <w:r w:rsidRPr="00C62AE6">
              <w:t>Minimal modification required for ageing in place</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sidRPr="00DB1DA1">
              <w:rPr>
                <w:szCs w:val="16"/>
              </w:rPr>
              <w:t xml:space="preserve"> 0.00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sidRPr="00DB1DA1">
              <w:rPr>
                <w:szCs w:val="16"/>
              </w:rPr>
              <w:t>1 905.69</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sidRPr="00DB1DA1">
              <w:rPr>
                <w:szCs w:val="16"/>
              </w:rPr>
              <w:t>1 905.69</w:t>
            </w:r>
          </w:p>
        </w:tc>
        <w:tc>
          <w:tcPr>
            <w:tcW w:w="1170"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sidRPr="00DB1DA1">
              <w:rPr>
                <w:szCs w:val="16"/>
              </w:rPr>
              <w:t xml:space="preserve"> 569.42</w:t>
            </w:r>
          </w:p>
        </w:tc>
        <w:tc>
          <w:tcPr>
            <w:tcW w:w="957"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sidRPr="00DB1DA1">
              <w:rPr>
                <w:szCs w:val="16"/>
              </w:rPr>
              <w:t>1 685.88</w:t>
            </w:r>
          </w:p>
        </w:tc>
      </w:tr>
      <w:tr w:rsidR="00AD487F" w:rsidRPr="00C62AE6" w:rsidTr="00D87F1F">
        <w:trPr>
          <w:trHeight w:val="250"/>
        </w:trPr>
        <w:tc>
          <w:tcPr>
            <w:tcW w:w="2552" w:type="dxa"/>
            <w:tcBorders>
              <w:top w:val="single" w:sz="8" w:space="0" w:color="FFFFFF" w:themeColor="background1"/>
              <w:bottom w:val="single" w:sz="8" w:space="0" w:color="FFFFFF" w:themeColor="background1"/>
            </w:tcBorders>
            <w:shd w:val="clear" w:color="auto" w:fill="E9E8E5" w:themeFill="background2"/>
            <w:noWrap/>
            <w:hideMark/>
          </w:tcPr>
          <w:p w:rsidR="007C6A5F" w:rsidRPr="00C62AE6" w:rsidRDefault="007C6A5F" w:rsidP="00C36DA4">
            <w:pPr>
              <w:pStyle w:val="TableDataEntries"/>
              <w:jc w:val="left"/>
            </w:pPr>
            <w:r>
              <w:t>Societal</w:t>
            </w:r>
            <w:r w:rsidRPr="00C62AE6">
              <w:t xml:space="preserve"> benefits</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Pr>
                <w:szCs w:val="16"/>
              </w:rPr>
              <w:t>1 031.33</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Pr>
                <w:szCs w:val="16"/>
              </w:rPr>
              <w:t>1 106.60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Pr>
                <w:szCs w:val="16"/>
              </w:rPr>
              <w:t>1 106.60</w:t>
            </w:r>
          </w:p>
        </w:tc>
        <w:tc>
          <w:tcPr>
            <w:tcW w:w="1170"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Pr>
                <w:szCs w:val="16"/>
              </w:rPr>
              <w:t xml:space="preserve"> 326.25</w:t>
            </w:r>
          </w:p>
        </w:tc>
        <w:tc>
          <w:tcPr>
            <w:tcW w:w="957"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highlight w:val="yellow"/>
              </w:rPr>
            </w:pPr>
            <w:r w:rsidRPr="00DB1DA1">
              <w:rPr>
                <w:szCs w:val="16"/>
              </w:rPr>
              <w:t>1 900.96</w:t>
            </w:r>
          </w:p>
        </w:tc>
      </w:tr>
      <w:tr w:rsidR="00AD487F" w:rsidRPr="00396B30" w:rsidTr="00D87F1F">
        <w:trPr>
          <w:trHeight w:val="250"/>
        </w:trPr>
        <w:tc>
          <w:tcPr>
            <w:tcW w:w="2552" w:type="dxa"/>
            <w:tcBorders>
              <w:top w:val="single" w:sz="8" w:space="0" w:color="FFFFFF" w:themeColor="background1"/>
              <w:bottom w:val="single" w:sz="8" w:space="0" w:color="FFFFFF" w:themeColor="background1"/>
            </w:tcBorders>
            <w:shd w:val="clear" w:color="auto" w:fill="E9E8E5" w:themeFill="background2"/>
            <w:noWrap/>
            <w:hideMark/>
          </w:tcPr>
          <w:p w:rsidR="007C6A5F" w:rsidRPr="00396B30" w:rsidRDefault="007C6A5F" w:rsidP="00C36DA4">
            <w:pPr>
              <w:pStyle w:val="TableDataEntries"/>
              <w:jc w:val="left"/>
              <w:rPr>
                <w:rFonts w:ascii="Franklin Gothic Demi" w:hAnsi="Franklin Gothic Demi"/>
              </w:rPr>
            </w:pPr>
            <w:r w:rsidRPr="00396B30">
              <w:rPr>
                <w:rFonts w:ascii="Franklin Gothic Demi" w:hAnsi="Franklin Gothic Demi"/>
              </w:rPr>
              <w:t>Total benefits</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rFonts w:ascii="Franklin Gothic Demi" w:hAnsi="Franklin Gothic Demi"/>
                <w:szCs w:val="16"/>
                <w:highlight w:val="yellow"/>
              </w:rPr>
            </w:pPr>
            <w:r>
              <w:rPr>
                <w:b/>
                <w:bCs/>
                <w:szCs w:val="16"/>
              </w:rPr>
              <w:t>2 938.75</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A69AF" w:rsidRDefault="007C6A5F" w:rsidP="00C36DA4">
            <w:pPr>
              <w:pStyle w:val="TableDataEntries"/>
              <w:rPr>
                <w:rFonts w:ascii="Franklin Gothic Demi" w:hAnsi="Franklin Gothic Demi"/>
                <w:highlight w:val="yellow"/>
              </w:rPr>
            </w:pPr>
            <w:r>
              <w:rPr>
                <w:b/>
                <w:bCs/>
                <w:szCs w:val="16"/>
              </w:rPr>
              <w:t>6 383.73</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A69AF" w:rsidRDefault="007C6A5F" w:rsidP="00C36DA4">
            <w:pPr>
              <w:pStyle w:val="TableDataEntries"/>
              <w:rPr>
                <w:rFonts w:ascii="Franklin Gothic Demi" w:hAnsi="Franklin Gothic Demi"/>
                <w:highlight w:val="yellow"/>
              </w:rPr>
            </w:pPr>
            <w:r>
              <w:rPr>
                <w:b/>
                <w:bCs/>
                <w:szCs w:val="16"/>
              </w:rPr>
              <w:t>6 383.73</w:t>
            </w:r>
          </w:p>
        </w:tc>
        <w:tc>
          <w:tcPr>
            <w:tcW w:w="1170"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rFonts w:ascii="Franklin Gothic Demi" w:hAnsi="Franklin Gothic Demi"/>
                <w:szCs w:val="16"/>
                <w:highlight w:val="yellow"/>
              </w:rPr>
            </w:pPr>
            <w:r>
              <w:rPr>
                <w:b/>
                <w:bCs/>
                <w:szCs w:val="16"/>
              </w:rPr>
              <w:t>1 706.24</w:t>
            </w:r>
          </w:p>
        </w:tc>
        <w:tc>
          <w:tcPr>
            <w:tcW w:w="957"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rFonts w:ascii="Franklin Gothic Demi" w:hAnsi="Franklin Gothic Demi"/>
                <w:szCs w:val="16"/>
                <w:highlight w:val="yellow"/>
              </w:rPr>
            </w:pPr>
            <w:r w:rsidRPr="00DB1DA1">
              <w:rPr>
                <w:rFonts w:ascii="Franklin Gothic Demi" w:hAnsi="Franklin Gothic Demi"/>
                <w:szCs w:val="16"/>
              </w:rPr>
              <w:t>6 654.68</w:t>
            </w:r>
          </w:p>
        </w:tc>
      </w:tr>
      <w:tr w:rsidR="00AD487F" w:rsidRPr="00C62AE6" w:rsidTr="00D87F1F">
        <w:trPr>
          <w:trHeight w:val="250"/>
        </w:trPr>
        <w:tc>
          <w:tcPr>
            <w:tcW w:w="2552" w:type="dxa"/>
            <w:tcBorders>
              <w:top w:val="single" w:sz="8" w:space="0" w:color="FFFFFF" w:themeColor="background1"/>
              <w:bottom w:val="single" w:sz="8" w:space="0" w:color="FFFFFF" w:themeColor="background1"/>
            </w:tcBorders>
            <w:shd w:val="clear" w:color="auto" w:fill="E9E8E5" w:themeFill="background2"/>
            <w:noWrap/>
            <w:hideMark/>
          </w:tcPr>
          <w:p w:rsidR="007C6A5F" w:rsidRPr="00C62AE6" w:rsidRDefault="007C6A5F" w:rsidP="00C36DA4">
            <w:pPr>
              <w:pStyle w:val="TableDataEntries"/>
              <w:jc w:val="left"/>
            </w:pPr>
            <w:r w:rsidRPr="00C62AE6">
              <w:t>Additional construction costs</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rPr>
            </w:pPr>
            <w:r>
              <w:rPr>
                <w:szCs w:val="16"/>
              </w:rPr>
              <w:t>-1 866.72</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2A6584" w:rsidRDefault="007C6A5F" w:rsidP="00C36DA4">
            <w:pPr>
              <w:pStyle w:val="TableDataEntries"/>
              <w:rPr>
                <w:szCs w:val="16"/>
              </w:rPr>
            </w:pPr>
            <w:r>
              <w:rPr>
                <w:szCs w:val="16"/>
              </w:rPr>
              <w:t>-12 384.81</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2A6584" w:rsidRDefault="007C6A5F" w:rsidP="00C36DA4">
            <w:pPr>
              <w:pStyle w:val="TableDataEntries"/>
              <w:rPr>
                <w:szCs w:val="16"/>
              </w:rPr>
            </w:pPr>
            <w:r>
              <w:rPr>
                <w:szCs w:val="16"/>
              </w:rPr>
              <w:t>-15 904.40</w:t>
            </w:r>
          </w:p>
        </w:tc>
        <w:tc>
          <w:tcPr>
            <w:tcW w:w="1170"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rPr>
            </w:pPr>
            <w:r>
              <w:rPr>
                <w:szCs w:val="16"/>
              </w:rPr>
              <w:t>-3 602.32</w:t>
            </w:r>
          </w:p>
        </w:tc>
        <w:tc>
          <w:tcPr>
            <w:tcW w:w="957"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rPr>
            </w:pPr>
            <w:r w:rsidRPr="00DB1DA1">
              <w:rPr>
                <w:szCs w:val="16"/>
              </w:rPr>
              <w:t xml:space="preserve"> 0.00</w:t>
            </w:r>
          </w:p>
        </w:tc>
      </w:tr>
      <w:tr w:rsidR="00AD487F" w:rsidRPr="00C62AE6" w:rsidTr="00D87F1F">
        <w:trPr>
          <w:trHeight w:val="250"/>
        </w:trPr>
        <w:tc>
          <w:tcPr>
            <w:tcW w:w="2552" w:type="dxa"/>
            <w:tcBorders>
              <w:top w:val="single" w:sz="8" w:space="0" w:color="FFFFFF" w:themeColor="background1"/>
              <w:bottom w:val="single" w:sz="8" w:space="0" w:color="FFFFFF" w:themeColor="background1"/>
            </w:tcBorders>
            <w:shd w:val="clear" w:color="auto" w:fill="E9E8E5" w:themeFill="background2"/>
            <w:noWrap/>
            <w:hideMark/>
          </w:tcPr>
          <w:p w:rsidR="007C6A5F" w:rsidRPr="00C62AE6" w:rsidRDefault="007C6A5F" w:rsidP="00C36DA4">
            <w:pPr>
              <w:pStyle w:val="TableDataEntries"/>
              <w:jc w:val="left"/>
            </w:pPr>
            <w:r w:rsidRPr="00C62AE6">
              <w:t>Opportunity cost of space</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rPr>
            </w:pPr>
            <w:r>
              <w:rPr>
                <w:szCs w:val="16"/>
              </w:rPr>
              <w:t>-1 571.81</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rPr>
            </w:pPr>
            <w:r>
              <w:rPr>
                <w:szCs w:val="16"/>
              </w:rPr>
              <w:t>-8 831.55</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rPr>
            </w:pPr>
            <w:r>
              <w:rPr>
                <w:szCs w:val="16"/>
              </w:rPr>
              <w:t>-11 162.57</w:t>
            </w:r>
          </w:p>
        </w:tc>
        <w:tc>
          <w:tcPr>
            <w:tcW w:w="1170"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rPr>
            </w:pPr>
            <w:r>
              <w:rPr>
                <w:szCs w:val="16"/>
              </w:rPr>
              <w:t>-6 541.11</w:t>
            </w:r>
          </w:p>
        </w:tc>
        <w:tc>
          <w:tcPr>
            <w:tcW w:w="957"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rPr>
            </w:pPr>
            <w:r w:rsidRPr="00DB1DA1">
              <w:rPr>
                <w:szCs w:val="16"/>
              </w:rPr>
              <w:t xml:space="preserve"> 0.00</w:t>
            </w:r>
          </w:p>
        </w:tc>
      </w:tr>
      <w:tr w:rsidR="00AD487F" w:rsidRPr="00C62AE6" w:rsidTr="00D87F1F">
        <w:trPr>
          <w:trHeight w:val="250"/>
        </w:trPr>
        <w:tc>
          <w:tcPr>
            <w:tcW w:w="2552" w:type="dxa"/>
            <w:tcBorders>
              <w:top w:val="single" w:sz="8" w:space="0" w:color="FFFFFF" w:themeColor="background1"/>
              <w:bottom w:val="single" w:sz="8" w:space="0" w:color="FFFFFF" w:themeColor="background1"/>
            </w:tcBorders>
            <w:shd w:val="clear" w:color="auto" w:fill="E9E8E5" w:themeFill="background2"/>
            <w:noWrap/>
            <w:hideMark/>
          </w:tcPr>
          <w:p w:rsidR="007C6A5F" w:rsidRPr="00C62AE6" w:rsidRDefault="007C6A5F" w:rsidP="00C36DA4">
            <w:pPr>
              <w:pStyle w:val="TableDataEntries"/>
              <w:jc w:val="left"/>
            </w:pPr>
            <w:r w:rsidRPr="00C62AE6">
              <w:t>Industry re-training costs</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rPr>
            </w:pPr>
            <w:r w:rsidRPr="00DB1DA1">
              <w:rPr>
                <w:szCs w:val="16"/>
              </w:rPr>
              <w:t>- 28.47</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rPr>
            </w:pPr>
            <w:r w:rsidRPr="00DB1DA1">
              <w:rPr>
                <w:szCs w:val="16"/>
              </w:rPr>
              <w:t>- 28.47</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rPr>
            </w:pPr>
            <w:r w:rsidRPr="00DB1DA1">
              <w:rPr>
                <w:szCs w:val="16"/>
              </w:rPr>
              <w:t>- 28.47</w:t>
            </w:r>
          </w:p>
        </w:tc>
        <w:tc>
          <w:tcPr>
            <w:tcW w:w="1170"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rPr>
            </w:pPr>
            <w:r w:rsidRPr="00DB1DA1">
              <w:rPr>
                <w:szCs w:val="16"/>
              </w:rPr>
              <w:t>- 28.47</w:t>
            </w:r>
          </w:p>
        </w:tc>
        <w:tc>
          <w:tcPr>
            <w:tcW w:w="957"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rPr>
            </w:pPr>
            <w:r w:rsidRPr="00DB1DA1">
              <w:rPr>
                <w:szCs w:val="16"/>
              </w:rPr>
              <w:t xml:space="preserve"> 0.00</w:t>
            </w:r>
          </w:p>
        </w:tc>
      </w:tr>
      <w:tr w:rsidR="00AD487F" w:rsidRPr="00C62AE6" w:rsidTr="00D87F1F">
        <w:trPr>
          <w:trHeight w:val="250"/>
        </w:trPr>
        <w:tc>
          <w:tcPr>
            <w:tcW w:w="2552" w:type="dxa"/>
            <w:tcBorders>
              <w:top w:val="single" w:sz="8" w:space="0" w:color="FFFFFF" w:themeColor="background1"/>
              <w:bottom w:val="single" w:sz="8" w:space="0" w:color="FFFFFF" w:themeColor="background1"/>
            </w:tcBorders>
            <w:shd w:val="clear" w:color="auto" w:fill="E9E8E5" w:themeFill="background2"/>
            <w:noWrap/>
            <w:hideMark/>
          </w:tcPr>
          <w:p w:rsidR="007C6A5F" w:rsidRPr="00C62AE6" w:rsidRDefault="007C6A5F" w:rsidP="00C36DA4">
            <w:pPr>
              <w:pStyle w:val="TableDataEntries"/>
              <w:jc w:val="left"/>
            </w:pPr>
            <w:r w:rsidRPr="00C62AE6">
              <w:t>Subsidy</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rPr>
            </w:pPr>
            <w:r w:rsidRPr="00DB1DA1">
              <w:rPr>
                <w:szCs w:val="16"/>
              </w:rPr>
              <w:t xml:space="preserve"> 0.00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rPr>
            </w:pPr>
            <w:r w:rsidRPr="00DB1DA1">
              <w:rPr>
                <w:szCs w:val="16"/>
              </w:rPr>
              <w:t xml:space="preserve"> 0.00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rPr>
            </w:pPr>
            <w:r w:rsidRPr="00DB1DA1">
              <w:rPr>
                <w:szCs w:val="16"/>
              </w:rPr>
              <w:t xml:space="preserve"> 0.00</w:t>
            </w:r>
          </w:p>
        </w:tc>
        <w:tc>
          <w:tcPr>
            <w:tcW w:w="1170"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rPr>
            </w:pPr>
            <w:r w:rsidRPr="00DB1DA1">
              <w:rPr>
                <w:szCs w:val="16"/>
              </w:rPr>
              <w:t xml:space="preserve"> 0.00</w:t>
            </w:r>
          </w:p>
        </w:tc>
        <w:tc>
          <w:tcPr>
            <w:tcW w:w="957"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szCs w:val="16"/>
              </w:rPr>
            </w:pPr>
            <w:r w:rsidRPr="00DB1DA1">
              <w:rPr>
                <w:szCs w:val="16"/>
              </w:rPr>
              <w:t>-7 455.55</w:t>
            </w:r>
          </w:p>
        </w:tc>
      </w:tr>
      <w:tr w:rsidR="00AD487F" w:rsidRPr="00396B30" w:rsidTr="00D87F1F">
        <w:trPr>
          <w:trHeight w:val="250"/>
        </w:trPr>
        <w:tc>
          <w:tcPr>
            <w:tcW w:w="2552" w:type="dxa"/>
            <w:tcBorders>
              <w:top w:val="single" w:sz="8" w:space="0" w:color="FFFFFF" w:themeColor="background1"/>
              <w:bottom w:val="single" w:sz="8" w:space="0" w:color="FFFFFF" w:themeColor="background1"/>
            </w:tcBorders>
            <w:shd w:val="clear" w:color="auto" w:fill="E9E8E5" w:themeFill="background2"/>
            <w:noWrap/>
            <w:hideMark/>
          </w:tcPr>
          <w:p w:rsidR="007C6A5F" w:rsidRPr="00396B30" w:rsidRDefault="007C6A5F" w:rsidP="00C36DA4">
            <w:pPr>
              <w:pStyle w:val="TableDataEntries"/>
              <w:jc w:val="left"/>
              <w:rPr>
                <w:rFonts w:ascii="Franklin Gothic Demi" w:hAnsi="Franklin Gothic Demi"/>
              </w:rPr>
            </w:pPr>
            <w:r w:rsidRPr="00396B30">
              <w:rPr>
                <w:rFonts w:ascii="Franklin Gothic Demi" w:hAnsi="Franklin Gothic Demi"/>
              </w:rPr>
              <w:t>Total costs</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rFonts w:ascii="Franklin Gothic Demi" w:hAnsi="Franklin Gothic Demi"/>
                <w:szCs w:val="16"/>
              </w:rPr>
            </w:pPr>
            <w:r>
              <w:rPr>
                <w:b/>
                <w:bCs/>
                <w:szCs w:val="16"/>
              </w:rPr>
              <w:t>-3 467.00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2A6584" w:rsidRDefault="007C6A5F" w:rsidP="00C36DA4">
            <w:pPr>
              <w:pStyle w:val="TableDataEntries"/>
              <w:rPr>
                <w:rFonts w:ascii="Franklin Gothic Demi" w:hAnsi="Franklin Gothic Demi"/>
                <w:szCs w:val="16"/>
              </w:rPr>
            </w:pPr>
            <w:r>
              <w:rPr>
                <w:b/>
                <w:bCs/>
                <w:szCs w:val="16"/>
              </w:rPr>
              <w:t>-21 244.83</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2A6584" w:rsidRDefault="007C6A5F" w:rsidP="00C36DA4">
            <w:pPr>
              <w:pStyle w:val="TableDataEntries"/>
              <w:rPr>
                <w:rFonts w:ascii="Franklin Gothic Demi" w:hAnsi="Franklin Gothic Demi"/>
                <w:szCs w:val="16"/>
              </w:rPr>
            </w:pPr>
            <w:r>
              <w:rPr>
                <w:b/>
                <w:bCs/>
                <w:szCs w:val="16"/>
              </w:rPr>
              <w:t>-27 095.43</w:t>
            </w:r>
          </w:p>
        </w:tc>
        <w:tc>
          <w:tcPr>
            <w:tcW w:w="1170"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rFonts w:ascii="Franklin Gothic Demi" w:hAnsi="Franklin Gothic Demi"/>
                <w:szCs w:val="16"/>
              </w:rPr>
            </w:pPr>
            <w:r>
              <w:rPr>
                <w:b/>
                <w:bCs/>
                <w:szCs w:val="16"/>
              </w:rPr>
              <w:t>-10 171.90</w:t>
            </w:r>
          </w:p>
        </w:tc>
        <w:tc>
          <w:tcPr>
            <w:tcW w:w="957" w:type="dxa"/>
            <w:tcBorders>
              <w:top w:val="single" w:sz="8" w:space="0" w:color="FFFFFF" w:themeColor="background1"/>
              <w:bottom w:val="single" w:sz="8" w:space="0" w:color="FFFFFF" w:themeColor="background1"/>
            </w:tcBorders>
            <w:shd w:val="clear" w:color="auto" w:fill="E9E8E5" w:themeFill="background2"/>
            <w:noWrap/>
            <w:hideMark/>
          </w:tcPr>
          <w:p w:rsidR="007C6A5F" w:rsidRPr="00DB1DA1" w:rsidRDefault="007C6A5F" w:rsidP="00C36DA4">
            <w:pPr>
              <w:pStyle w:val="TableDataEntries"/>
              <w:rPr>
                <w:rFonts w:ascii="Franklin Gothic Demi" w:hAnsi="Franklin Gothic Demi"/>
                <w:szCs w:val="16"/>
              </w:rPr>
            </w:pPr>
            <w:r w:rsidRPr="00DB1DA1">
              <w:rPr>
                <w:rFonts w:ascii="Franklin Gothic Demi" w:hAnsi="Franklin Gothic Demi"/>
                <w:szCs w:val="16"/>
              </w:rPr>
              <w:t>-7 455.55</w:t>
            </w:r>
          </w:p>
        </w:tc>
      </w:tr>
      <w:tr w:rsidR="00AD487F" w:rsidRPr="00B036C5" w:rsidTr="00D87F1F">
        <w:trPr>
          <w:trHeight w:val="250"/>
        </w:trPr>
        <w:tc>
          <w:tcPr>
            <w:tcW w:w="2552"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B036C5" w:rsidRDefault="007C6A5F" w:rsidP="00C36DA4">
            <w:pPr>
              <w:pStyle w:val="TableDataEntries"/>
              <w:jc w:val="left"/>
              <w:rPr>
                <w:rFonts w:ascii="Franklin Gothic Demi" w:hAnsi="Franklin Gothic Demi"/>
              </w:rPr>
            </w:pPr>
            <w:r w:rsidRPr="00B036C5">
              <w:rPr>
                <w:rFonts w:ascii="Franklin Gothic Demi" w:hAnsi="Franklin Gothic Demi"/>
              </w:rPr>
              <w:t>Net benefit/costs</w:t>
            </w:r>
          </w:p>
        </w:tc>
        <w:tc>
          <w:tcPr>
            <w:tcW w:w="992"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DB1DA1" w:rsidRDefault="007C6A5F" w:rsidP="00C36DA4">
            <w:pPr>
              <w:pStyle w:val="TableDataEntries"/>
              <w:rPr>
                <w:rFonts w:ascii="Franklin Gothic Demi" w:hAnsi="Franklin Gothic Demi"/>
                <w:szCs w:val="16"/>
              </w:rPr>
            </w:pPr>
            <w:r>
              <w:rPr>
                <w:b/>
                <w:bCs/>
                <w:szCs w:val="16"/>
              </w:rPr>
              <w:t>- 528.25</w:t>
            </w:r>
          </w:p>
        </w:tc>
        <w:tc>
          <w:tcPr>
            <w:tcW w:w="1134"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2A6584" w:rsidRDefault="007C6A5F" w:rsidP="00C36DA4">
            <w:pPr>
              <w:pStyle w:val="TableDataEntries"/>
              <w:rPr>
                <w:rFonts w:ascii="Franklin Gothic Demi" w:hAnsi="Franklin Gothic Demi"/>
                <w:szCs w:val="16"/>
              </w:rPr>
            </w:pPr>
            <w:r>
              <w:rPr>
                <w:b/>
                <w:bCs/>
                <w:szCs w:val="16"/>
              </w:rPr>
              <w:t>-14 861.10</w:t>
            </w:r>
          </w:p>
        </w:tc>
        <w:tc>
          <w:tcPr>
            <w:tcW w:w="1134"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2A6584" w:rsidRDefault="007C6A5F" w:rsidP="00C36DA4">
            <w:pPr>
              <w:pStyle w:val="TableDataEntries"/>
              <w:rPr>
                <w:rFonts w:ascii="Franklin Gothic Demi" w:hAnsi="Franklin Gothic Demi"/>
                <w:szCs w:val="16"/>
              </w:rPr>
            </w:pPr>
            <w:r>
              <w:rPr>
                <w:b/>
                <w:bCs/>
                <w:szCs w:val="16"/>
              </w:rPr>
              <w:t>-20 711.71</w:t>
            </w:r>
          </w:p>
        </w:tc>
        <w:tc>
          <w:tcPr>
            <w:tcW w:w="1170"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DB1DA1" w:rsidRDefault="007C6A5F" w:rsidP="00C36DA4">
            <w:pPr>
              <w:pStyle w:val="TableDataEntries"/>
              <w:rPr>
                <w:rFonts w:ascii="Franklin Gothic Demi" w:hAnsi="Franklin Gothic Demi"/>
                <w:szCs w:val="16"/>
              </w:rPr>
            </w:pPr>
            <w:r>
              <w:rPr>
                <w:b/>
                <w:bCs/>
                <w:szCs w:val="16"/>
              </w:rPr>
              <w:t>-8 465.65</w:t>
            </w:r>
          </w:p>
        </w:tc>
        <w:tc>
          <w:tcPr>
            <w:tcW w:w="957"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DB1DA1" w:rsidRDefault="007C6A5F" w:rsidP="00C36DA4">
            <w:pPr>
              <w:pStyle w:val="TableDataEntries"/>
              <w:rPr>
                <w:rFonts w:ascii="Franklin Gothic Demi" w:hAnsi="Franklin Gothic Demi"/>
                <w:szCs w:val="16"/>
              </w:rPr>
            </w:pPr>
            <w:r w:rsidRPr="00DB1DA1">
              <w:rPr>
                <w:rFonts w:ascii="Franklin Gothic Demi" w:hAnsi="Franklin Gothic Demi"/>
                <w:szCs w:val="16"/>
              </w:rPr>
              <w:t>- 800.87</w:t>
            </w:r>
          </w:p>
        </w:tc>
      </w:tr>
    </w:tbl>
    <w:p w:rsidR="007C6A5F" w:rsidRDefault="007C6A5F" w:rsidP="007C6A5F">
      <w:pPr>
        <w:pStyle w:val="Note"/>
        <w:rPr>
          <w:lang w:bidi="fa-IR"/>
        </w:rPr>
      </w:pPr>
      <w:r w:rsidRPr="007D1B4F">
        <w:rPr>
          <w:i/>
        </w:rPr>
        <w:t>Note:</w:t>
      </w:r>
      <w:r w:rsidRPr="00E879B8">
        <w:t xml:space="preserve"> </w:t>
      </w:r>
      <w:r>
        <w:t>Costs and benefits are presented in net present value terms covering a 10</w:t>
      </w:r>
      <w:r>
        <w:noBreakHyphen/>
        <w:t>year regulatory period from 2022 to 2031, using a discount rate of 7 per cent. Benefits are extended out an additional 30 years, reflecting the flow of benefits over the life of dwellings constructed during the regulatory period. Where benefits reflect zero values, this reflects the element is currently assumed to be provided under that Option.</w:t>
      </w:r>
    </w:p>
    <w:p w:rsidR="007C6A5F" w:rsidRPr="00C33CE4" w:rsidRDefault="007C6A5F" w:rsidP="007C6A5F">
      <w:pPr>
        <w:pStyle w:val="Source"/>
        <w:rPr>
          <w:lang w:bidi="fa-IR"/>
        </w:rPr>
      </w:pPr>
      <w:r w:rsidRPr="00C62AE6">
        <w:rPr>
          <w:i/>
          <w:lang w:bidi="fa-IR"/>
        </w:rPr>
        <w:t>Source:</w:t>
      </w:r>
      <w:r>
        <w:rPr>
          <w:lang w:bidi="fa-IR"/>
        </w:rPr>
        <w:t xml:space="preserve"> CIE estimates.</w:t>
      </w:r>
    </w:p>
    <w:p w:rsidR="007C6A5F" w:rsidRDefault="007C6A5F" w:rsidP="007C6A5F">
      <w:pPr>
        <w:pStyle w:val="BodyText"/>
        <w:rPr>
          <w:lang w:eastAsia="en-US" w:bidi="fa-IR"/>
        </w:rPr>
      </w:pPr>
      <w:r>
        <w:rPr>
          <w:lang w:eastAsia="en-US" w:bidi="fa-IR"/>
        </w:rPr>
        <w:t>The differences between the households over which non-societal benefits are estimated and aggregated under the various options and approaches are summarised in table </w:t>
      </w:r>
      <w:r>
        <w:rPr>
          <w:lang w:eastAsia="en-US" w:bidi="fa-IR"/>
        </w:rPr>
        <w:fldChar w:fldCharType="begin"/>
      </w:r>
      <w:r>
        <w:rPr>
          <w:lang w:eastAsia="en-US" w:bidi="fa-IR"/>
        </w:rPr>
        <w:instrText xml:space="preserve"> REF _Caption5097 </w:instrText>
      </w:r>
      <w:r>
        <w:rPr>
          <w:lang w:eastAsia="en-US" w:bidi="fa-IR"/>
        </w:rPr>
        <w:fldChar w:fldCharType="separate"/>
      </w:r>
      <w:r>
        <w:rPr>
          <w:noProof/>
        </w:rPr>
        <w:t>6</w:t>
      </w:r>
      <w:r>
        <w:rPr>
          <w:lang w:eastAsia="en-US" w:bidi="fa-IR"/>
        </w:rPr>
        <w:fldChar w:fldCharType="end"/>
      </w:r>
      <w:r>
        <w:rPr>
          <w:lang w:eastAsia="en-US" w:bidi="fa-IR"/>
        </w:rPr>
        <w:t>. When aggregating benefits over all new homes under the WTP approach, we take account of the fact that the households containing people with mobility-related disability and older persons tend to place a higher value on accessibility features than other households.</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8</w:instrText>
      </w:r>
      <w:r>
        <w:rPr>
          <w:noProof/>
        </w:rPr>
        <w:fldChar w:fldCharType="end"/>
      </w:r>
      <w:r w:rsidRPr="00695C93">
        <w:instrText xml:space="preserve">." </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end"/>
      </w:r>
      <w:r w:rsidRPr="00695C93">
        <w:instrText xml:space="preserve"> </w:instrText>
      </w:r>
      <w:r w:rsidRPr="00695C93">
        <w:fldChar w:fldCharType="separate"/>
      </w:r>
      <w:r w:rsidR="00272AF3">
        <w:rPr>
          <w:noProof/>
        </w:rPr>
        <w:instrText>6</w:instrText>
      </w:r>
      <w:r w:rsidRPr="00695C93">
        <w:fldChar w:fldCharType="end"/>
      </w:r>
      <w:r w:rsidRPr="00695C93">
        <w:instrText xml:space="preserve">" "" </w:instrText>
      </w:r>
      <w:r w:rsidRPr="00695C93">
        <w:fldChar w:fldCharType="separate"/>
      </w:r>
      <w:bookmarkStart w:id="193" w:name="_Caption8336"/>
      <w:bookmarkStart w:id="194" w:name="_Caption0759"/>
      <w:bookmarkStart w:id="195" w:name="_Caption3235"/>
      <w:bookmarkStart w:id="196" w:name="_Caption7905"/>
      <w:bookmarkStart w:id="197" w:name="_Caption5490"/>
      <w:bookmarkStart w:id="198" w:name="_Caption6792"/>
      <w:bookmarkStart w:id="199" w:name="_Caption5097"/>
      <w:bookmarkStart w:id="200" w:name="_Caption0201"/>
      <w:bookmarkStart w:id="201" w:name="_Caption3931"/>
      <w:bookmarkStart w:id="202" w:name="_Caption3711"/>
      <w:bookmarkStart w:id="203" w:name="_Caption9372"/>
      <w:bookmarkStart w:id="204" w:name="_Caption2519"/>
      <w:bookmarkStart w:id="205" w:name="_Caption5895"/>
      <w:bookmarkStart w:id="206" w:name="_Caption1887"/>
      <w:bookmarkStart w:id="207" w:name="_Caption3294"/>
      <w:bookmarkStart w:id="208" w:name="_Caption4936"/>
      <w:bookmarkStart w:id="209" w:name="_Caption2377"/>
      <w:bookmarkStart w:id="210" w:name="_Toc44598481"/>
      <w:bookmarkStart w:id="211" w:name="_Toc45654112"/>
      <w:r w:rsidR="00272AF3">
        <w:rPr>
          <w:noProof/>
        </w:rPr>
        <w:t>6</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695C93">
        <w:fldChar w:fldCharType="end"/>
      </w:r>
      <w:r w:rsidRPr="00695C93">
        <w:tab/>
      </w:r>
      <w:r>
        <w:t>Summary of main beneficiaries by approach</w:t>
      </w:r>
      <w:bookmarkEnd w:id="210"/>
      <w:bookmarkEnd w:id="211"/>
    </w:p>
    <w:tbl>
      <w:tblPr>
        <w:tblStyle w:val="TableGridLight"/>
        <w:tblW w:w="7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6"/>
        <w:tblDescription w:val="Summary of main beneficiaries by approach"/>
      </w:tblPr>
      <w:tblGrid>
        <w:gridCol w:w="1984"/>
        <w:gridCol w:w="1984"/>
        <w:gridCol w:w="1984"/>
        <w:gridCol w:w="1984"/>
      </w:tblGrid>
      <w:tr w:rsidR="007C6A5F" w:rsidRPr="007319BE" w:rsidTr="00D87F1F">
        <w:trPr>
          <w:trHeight w:val="300"/>
          <w:tblHeader/>
        </w:trPr>
        <w:tc>
          <w:tcPr>
            <w:tcW w:w="1984" w:type="dxa"/>
            <w:tcBorders>
              <w:bottom w:val="single" w:sz="8" w:space="0" w:color="FFFFFF" w:themeColor="background1"/>
            </w:tcBorders>
            <w:shd w:val="clear" w:color="auto" w:fill="6F6652" w:themeFill="accent5"/>
            <w:hideMark/>
          </w:tcPr>
          <w:p w:rsidR="007C6A5F" w:rsidRPr="007319BE" w:rsidRDefault="007C6A5F" w:rsidP="00C36DA4">
            <w:pPr>
              <w:pStyle w:val="TableTextColumnHeading"/>
            </w:pPr>
            <w:r w:rsidRPr="007319BE">
              <w:t>Approach</w:t>
            </w:r>
          </w:p>
        </w:tc>
        <w:tc>
          <w:tcPr>
            <w:tcW w:w="1984" w:type="dxa"/>
            <w:tcBorders>
              <w:bottom w:val="single" w:sz="8" w:space="0" w:color="FFFFFF" w:themeColor="background1"/>
            </w:tcBorders>
            <w:shd w:val="clear" w:color="auto" w:fill="6F6652" w:themeFill="accent5"/>
            <w:hideMark/>
          </w:tcPr>
          <w:p w:rsidR="007C6A5F" w:rsidRPr="007319BE" w:rsidRDefault="007C6A5F" w:rsidP="00C36DA4">
            <w:pPr>
              <w:pStyle w:val="TableTextColumnHeading"/>
            </w:pPr>
            <w:r w:rsidRPr="007319BE">
              <w:t>Options 1-3</w:t>
            </w:r>
          </w:p>
        </w:tc>
        <w:tc>
          <w:tcPr>
            <w:tcW w:w="1984" w:type="dxa"/>
            <w:tcBorders>
              <w:bottom w:val="single" w:sz="8" w:space="0" w:color="FFFFFF" w:themeColor="background1"/>
            </w:tcBorders>
            <w:shd w:val="clear" w:color="auto" w:fill="6F6652" w:themeFill="accent5"/>
            <w:hideMark/>
          </w:tcPr>
          <w:p w:rsidR="007C6A5F" w:rsidRPr="007319BE" w:rsidRDefault="007C6A5F" w:rsidP="00C36DA4">
            <w:pPr>
              <w:pStyle w:val="TableTextColumnHeading"/>
            </w:pPr>
            <w:r w:rsidRPr="007319BE">
              <w:t>Option 4</w:t>
            </w:r>
          </w:p>
        </w:tc>
        <w:tc>
          <w:tcPr>
            <w:tcW w:w="1984" w:type="dxa"/>
            <w:tcBorders>
              <w:bottom w:val="single" w:sz="8" w:space="0" w:color="FFFFFF" w:themeColor="background1"/>
            </w:tcBorders>
            <w:shd w:val="clear" w:color="auto" w:fill="6F6652" w:themeFill="accent5"/>
            <w:hideMark/>
          </w:tcPr>
          <w:p w:rsidR="007C6A5F" w:rsidRPr="007319BE" w:rsidRDefault="007C6A5F" w:rsidP="00C36DA4">
            <w:pPr>
              <w:pStyle w:val="TableTextColumnHeading"/>
            </w:pPr>
            <w:r w:rsidRPr="007319BE">
              <w:t>Option 5</w:t>
            </w:r>
          </w:p>
        </w:tc>
      </w:tr>
      <w:tr w:rsidR="007C6A5F" w:rsidRPr="007319BE" w:rsidTr="00B5160B">
        <w:trPr>
          <w:trHeight w:val="380"/>
        </w:trPr>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Pr="007319BE" w:rsidRDefault="007C6A5F" w:rsidP="00C36DA4">
            <w:pPr>
              <w:pStyle w:val="TableTextEntries"/>
            </w:pPr>
            <w:r>
              <w:t>‘</w:t>
            </w:r>
            <w:r w:rsidRPr="007319BE">
              <w:t>Problem-reduction</w:t>
            </w:r>
            <w:r>
              <w:t>’</w:t>
            </w:r>
            <w:r w:rsidRPr="007319BE">
              <w:t xml:space="preserve"> </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Pr="00317781" w:rsidRDefault="007C6A5F" w:rsidP="00C36DA4">
            <w:pPr>
              <w:pStyle w:val="TableTextEntries"/>
            </w:pPr>
            <w:r w:rsidRPr="00F36A14">
              <w:t>R</w:t>
            </w:r>
            <w:r w:rsidRPr="00317781">
              <w:t>enters with a mobility</w:t>
            </w:r>
            <w:r w:rsidRPr="00317781">
              <w:noBreakHyphen/>
              <w:t xml:space="preserve">related disability, of new homes plus </w:t>
            </w:r>
            <w:r>
              <w:t xml:space="preserve">occupants with </w:t>
            </w:r>
            <w:r w:rsidRPr="00317781">
              <w:t>newly-acquired disabilities in accessible housing</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Pr="00317781" w:rsidRDefault="007C6A5F" w:rsidP="00C36DA4">
            <w:pPr>
              <w:pStyle w:val="TableTextEntries"/>
            </w:pPr>
            <w:r w:rsidRPr="00F36A14">
              <w:t>R</w:t>
            </w:r>
            <w:r w:rsidRPr="00317781">
              <w:t>enters with a mobility</w:t>
            </w:r>
            <w:r w:rsidRPr="00317781">
              <w:noBreakHyphen/>
              <w:t>related disability of new apartments plus</w:t>
            </w:r>
            <w:r>
              <w:t xml:space="preserve"> occupants with </w:t>
            </w:r>
            <w:r w:rsidRPr="00317781">
              <w:t>newly-acquired disabilities in accessible apartments</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Pr="00317781" w:rsidRDefault="007C6A5F" w:rsidP="00C36DA4">
            <w:pPr>
              <w:pStyle w:val="TableTextEntries"/>
            </w:pPr>
            <w:r w:rsidRPr="00F36A14">
              <w:t>R</w:t>
            </w:r>
            <w:r w:rsidRPr="00317781">
              <w:t>enters with a mobility</w:t>
            </w:r>
            <w:r w:rsidRPr="00317781">
              <w:noBreakHyphen/>
              <w:t>related disability of new homes (assumed from year 1 to be all renters with a mobility limitation currently in unsuitable homes)</w:t>
            </w:r>
          </w:p>
        </w:tc>
      </w:tr>
      <w:tr w:rsidR="007C6A5F" w:rsidRPr="007319BE" w:rsidTr="00B5160B">
        <w:trPr>
          <w:trHeight w:val="731"/>
        </w:trPr>
        <w:tc>
          <w:tcPr>
            <w:tcW w:w="1984" w:type="dxa"/>
            <w:tcBorders>
              <w:top w:val="single" w:sz="8" w:space="0" w:color="FFFFFF" w:themeColor="background1"/>
              <w:bottom w:val="single" w:sz="4" w:space="0" w:color="6F6652" w:themeColor="accent5"/>
            </w:tcBorders>
            <w:shd w:val="clear" w:color="auto" w:fill="E9E8E5" w:themeFill="background2"/>
            <w:hideMark/>
          </w:tcPr>
          <w:p w:rsidR="007C6A5F" w:rsidRPr="007319BE" w:rsidRDefault="007C6A5F" w:rsidP="00C36DA4">
            <w:pPr>
              <w:pStyle w:val="TableTextEntries"/>
            </w:pPr>
            <w:r>
              <w:t>‘Willingness to pay’</w:t>
            </w:r>
          </w:p>
        </w:tc>
        <w:tc>
          <w:tcPr>
            <w:tcW w:w="1984" w:type="dxa"/>
            <w:tcBorders>
              <w:top w:val="single" w:sz="8" w:space="0" w:color="FFFFFF" w:themeColor="background1"/>
              <w:bottom w:val="single" w:sz="4" w:space="0" w:color="6F6652" w:themeColor="accent5"/>
            </w:tcBorders>
            <w:shd w:val="clear" w:color="auto" w:fill="E9E8E5" w:themeFill="background2"/>
            <w:hideMark/>
          </w:tcPr>
          <w:p w:rsidR="007C6A5F" w:rsidRPr="007319BE" w:rsidRDefault="007C6A5F" w:rsidP="00C36DA4">
            <w:pPr>
              <w:pStyle w:val="TableTextEntries"/>
            </w:pPr>
            <w:r w:rsidRPr="007319BE">
              <w:t>All purchasers (other than the first for each home) and renters of new homes</w:t>
            </w:r>
          </w:p>
        </w:tc>
        <w:tc>
          <w:tcPr>
            <w:tcW w:w="1984" w:type="dxa"/>
            <w:tcBorders>
              <w:top w:val="single" w:sz="8" w:space="0" w:color="FFFFFF" w:themeColor="background1"/>
              <w:bottom w:val="single" w:sz="4" w:space="0" w:color="6F6652" w:themeColor="accent5"/>
            </w:tcBorders>
            <w:shd w:val="clear" w:color="auto" w:fill="E9E8E5" w:themeFill="background2"/>
            <w:hideMark/>
          </w:tcPr>
          <w:p w:rsidR="007C6A5F" w:rsidRPr="007319BE" w:rsidRDefault="007C6A5F" w:rsidP="00C36DA4">
            <w:pPr>
              <w:pStyle w:val="TableTextEntries"/>
            </w:pPr>
            <w:r w:rsidRPr="007319BE">
              <w:t>All purchasers (other than the first for each apartment) and renters of new apartments</w:t>
            </w:r>
          </w:p>
        </w:tc>
        <w:tc>
          <w:tcPr>
            <w:tcW w:w="1984" w:type="dxa"/>
            <w:tcBorders>
              <w:top w:val="single" w:sz="8" w:space="0" w:color="FFFFFF" w:themeColor="background1"/>
              <w:bottom w:val="single" w:sz="4" w:space="0" w:color="6F6652" w:themeColor="accent5"/>
            </w:tcBorders>
            <w:shd w:val="clear" w:color="auto" w:fill="E9E8E5" w:themeFill="background2"/>
            <w:hideMark/>
          </w:tcPr>
          <w:p w:rsidR="007C6A5F" w:rsidRPr="007319BE" w:rsidRDefault="007C6A5F" w:rsidP="00C36DA4">
            <w:pPr>
              <w:pStyle w:val="TableTextEntries"/>
            </w:pPr>
            <w:r>
              <w:t>R</w:t>
            </w:r>
            <w:r w:rsidRPr="007319BE">
              <w:t xml:space="preserve">enters </w:t>
            </w:r>
            <w:r>
              <w:t>with a mobility</w:t>
            </w:r>
            <w:r>
              <w:noBreakHyphen/>
              <w:t xml:space="preserve">related disability </w:t>
            </w:r>
            <w:r w:rsidRPr="007319BE">
              <w:t xml:space="preserve">of new homes (assumed from year 1 to be all renters with </w:t>
            </w:r>
            <w:r>
              <w:t xml:space="preserve">a </w:t>
            </w:r>
            <w:r w:rsidRPr="007319BE">
              <w:t>mobility limitation currently in unsuitable homes)</w:t>
            </w:r>
          </w:p>
        </w:tc>
      </w:tr>
    </w:tbl>
    <w:p w:rsidR="007C6A5F" w:rsidRPr="007319BE" w:rsidRDefault="007C6A5F" w:rsidP="007C6A5F">
      <w:pPr>
        <w:pStyle w:val="Source"/>
        <w:rPr>
          <w:lang w:bidi="fa-IR"/>
        </w:rPr>
      </w:pPr>
      <w:r w:rsidRPr="007319BE">
        <w:rPr>
          <w:i/>
          <w:lang w:bidi="fa-IR"/>
        </w:rPr>
        <w:t>Source:</w:t>
      </w:r>
      <w:r>
        <w:rPr>
          <w:lang w:bidi="fa-IR"/>
        </w:rPr>
        <w:t xml:space="preserve"> CIE.</w:t>
      </w:r>
    </w:p>
    <w:p w:rsidR="007C6A5F" w:rsidRDefault="007C6A5F" w:rsidP="007C6A5F">
      <w:pPr>
        <w:pStyle w:val="Heading3"/>
        <w:numPr>
          <w:ilvl w:val="2"/>
          <w:numId w:val="5"/>
        </w:numPr>
        <w:rPr>
          <w:lang w:eastAsia="en-US" w:bidi="fa-IR"/>
        </w:rPr>
      </w:pPr>
      <w:r>
        <w:rPr>
          <w:lang w:eastAsia="en-US" w:bidi="fa-IR"/>
        </w:rPr>
        <w:lastRenderedPageBreak/>
        <w:t>Qualitative assessment of enhanced voluntary Guidance</w:t>
      </w:r>
    </w:p>
    <w:p w:rsidR="007C6A5F" w:rsidRDefault="007C6A5F" w:rsidP="007C6A5F">
      <w:pPr>
        <w:pStyle w:val="BodyText"/>
        <w:rPr>
          <w:lang w:eastAsia="en-US" w:bidi="fa-IR"/>
        </w:rPr>
      </w:pPr>
      <w:r>
        <w:rPr>
          <w:lang w:eastAsia="en-US" w:bidi="fa-IR"/>
        </w:rPr>
        <w:t>If the results of the WTP study reflect buyers’ true preferences, it suggests that addressing market imperfections, such as information barriers or mismatch, may play a significant role in solving the issue. An enhanced approach to voluntary guidance would help to overcome these imperfections directly and, based on the survey results, may see high uptake of accessibility features under this option.</w:t>
      </w:r>
    </w:p>
    <w:p w:rsidR="007C6A5F" w:rsidRDefault="007C6A5F" w:rsidP="007C6A5F">
      <w:pPr>
        <w:pStyle w:val="BodyText"/>
        <w:rPr>
          <w:lang w:eastAsia="en-US" w:bidi="fa-IR"/>
        </w:rPr>
      </w:pPr>
      <w:r>
        <w:rPr>
          <w:lang w:eastAsia="en-US" w:bidi="fa-IR"/>
        </w:rPr>
        <w:t>This option would also have a lower risk of imposing excessive costs, such as dwellings on lots where the costs of complying with the proposed standards are high; or where some buyers have a strong preference for other layouts that do not accord with design elements.</w:t>
      </w:r>
    </w:p>
    <w:p w:rsidR="007C6A5F" w:rsidRPr="00772FBF" w:rsidRDefault="007C6A5F" w:rsidP="007C6A5F">
      <w:pPr>
        <w:pStyle w:val="BodyText"/>
        <w:rPr>
          <w:lang w:bidi="fa-IR"/>
        </w:rPr>
      </w:pPr>
      <w:r>
        <w:rPr>
          <w:lang w:eastAsia="en-US" w:bidi="fa-IR"/>
        </w:rPr>
        <w:t>Furthermore, the additional cost of developing a voluntary handbook would be minimal, given the work to underpin a voluntary handbook has already been completed through the development of possible NCC changes.</w:t>
      </w:r>
    </w:p>
    <w:p w:rsidR="007C6A5F" w:rsidRDefault="007C6A5F" w:rsidP="007C6A5F">
      <w:pPr>
        <w:pStyle w:val="Heading2"/>
        <w:numPr>
          <w:ilvl w:val="1"/>
          <w:numId w:val="5"/>
        </w:numPr>
        <w:rPr>
          <w:lang w:bidi="fa-IR"/>
        </w:rPr>
      </w:pPr>
      <w:bookmarkStart w:id="212" w:name="_Toc32321739"/>
      <w:bookmarkStart w:id="213" w:name="_Toc44598426"/>
      <w:bookmarkStart w:id="214" w:name="_Toc45654057"/>
      <w:bookmarkEnd w:id="183"/>
      <w:r>
        <w:rPr>
          <w:lang w:bidi="fa-IR"/>
        </w:rPr>
        <w:t>Conclusions</w:t>
      </w:r>
      <w:bookmarkEnd w:id="212"/>
      <w:bookmarkEnd w:id="213"/>
      <w:bookmarkEnd w:id="214"/>
    </w:p>
    <w:p w:rsidR="007C6A5F" w:rsidRDefault="007C6A5F" w:rsidP="007C6A5F">
      <w:pPr>
        <w:pStyle w:val="BodyText"/>
        <w:rPr>
          <w:lang w:bidi="fa-IR"/>
        </w:rPr>
      </w:pPr>
      <w:r>
        <w:rPr>
          <w:lang w:bidi="fa-IR"/>
        </w:rPr>
        <w:t>A key finding is that the CBA results (and the policy conclusions drawn from them) depend on the approach used to measure the benefits.</w:t>
      </w:r>
    </w:p>
    <w:p w:rsidR="007C6A5F" w:rsidRDefault="007C6A5F" w:rsidP="005A6F87">
      <w:pPr>
        <w:pStyle w:val="ListBullet"/>
        <w:numPr>
          <w:ilvl w:val="0"/>
          <w:numId w:val="17"/>
        </w:numPr>
        <w:rPr>
          <w:lang w:bidi="fa-IR"/>
        </w:rPr>
      </w:pPr>
      <w:r>
        <w:rPr>
          <w:lang w:bidi="fa-IR"/>
        </w:rPr>
        <w:t>Under the approach based on the extent to which the proposed option would address the various ‘problems’ created by housing that does not meet the needs of people with mobility</w:t>
      </w:r>
      <w:r>
        <w:rPr>
          <w:lang w:bidi="fa-IR"/>
        </w:rPr>
        <w:noBreakHyphen/>
        <w:t>related disabilities, we estimate that all of the regulatory options considered would impose a net cost on the community.</w:t>
      </w:r>
    </w:p>
    <w:p w:rsidR="007C6A5F" w:rsidRDefault="007C6A5F" w:rsidP="005A6F87">
      <w:pPr>
        <w:pStyle w:val="ListBullet2"/>
        <w:numPr>
          <w:ilvl w:val="1"/>
          <w:numId w:val="17"/>
        </w:numPr>
        <w:ind w:left="568" w:hanging="284"/>
        <w:rPr>
          <w:lang w:bidi="fa-IR"/>
        </w:rPr>
      </w:pPr>
      <w:r>
        <w:rPr>
          <w:lang w:bidi="fa-IR"/>
        </w:rPr>
        <w:t>The net cost under Option 1 is estimated to be relatively modest and under some scenarios tested (including a low discount rate), this option is estimated to deliver a net benefit.</w:t>
      </w:r>
    </w:p>
    <w:p w:rsidR="007C6A5F" w:rsidRDefault="007C6A5F" w:rsidP="005A6F87">
      <w:pPr>
        <w:pStyle w:val="ListBullet2"/>
        <w:numPr>
          <w:ilvl w:val="1"/>
          <w:numId w:val="17"/>
        </w:numPr>
        <w:ind w:left="568" w:hanging="284"/>
        <w:rPr>
          <w:lang w:bidi="fa-IR"/>
        </w:rPr>
      </w:pPr>
      <w:r>
        <w:rPr>
          <w:lang w:bidi="fa-IR"/>
        </w:rPr>
        <w:t>Option 2 (Gold) and Option 3 (Gold+) would result in a net cost to the community, even when the community’s preference for more equitable outcomes is taken into account.</w:t>
      </w:r>
    </w:p>
    <w:p w:rsidR="007C6A5F" w:rsidRDefault="007C6A5F" w:rsidP="005A6F87">
      <w:pPr>
        <w:pStyle w:val="ListBullet"/>
        <w:numPr>
          <w:ilvl w:val="0"/>
          <w:numId w:val="17"/>
        </w:numPr>
        <w:rPr>
          <w:lang w:bidi="fa-IR"/>
        </w:rPr>
      </w:pPr>
      <w:r>
        <w:rPr>
          <w:lang w:bidi="fa-IR"/>
        </w:rPr>
        <w:t>Under the approach based on the community’s stated preference for accessible design features, Option 1 is estimated to deliver a net benefit.</w:t>
      </w:r>
    </w:p>
    <w:p w:rsidR="007C6A5F" w:rsidRDefault="007C6A5F" w:rsidP="007C6A5F">
      <w:pPr>
        <w:pStyle w:val="BodyText"/>
        <w:rPr>
          <w:lang w:bidi="fa-IR"/>
        </w:rPr>
      </w:pPr>
      <w:r>
        <w:rPr>
          <w:lang w:bidi="fa-IR"/>
        </w:rPr>
        <w:t>A key difference between these approaches is on the issue of whether there are benefits from accessible housing that flow to households that do not have specific accessibility needs.</w:t>
      </w:r>
    </w:p>
    <w:p w:rsidR="007C6A5F" w:rsidRDefault="007C6A5F" w:rsidP="005A6F87">
      <w:pPr>
        <w:pStyle w:val="ListBullet"/>
        <w:numPr>
          <w:ilvl w:val="0"/>
          <w:numId w:val="17"/>
        </w:numPr>
        <w:rPr>
          <w:lang w:bidi="fa-IR"/>
        </w:rPr>
      </w:pPr>
      <w:r>
        <w:rPr>
          <w:lang w:bidi="fa-IR"/>
        </w:rPr>
        <w:t>Under the ‘problem reduction’ approach, there are implicitly no benefits accruing to households that do not have current accessibility needs, as this does not contribute to reducing an identifiable problem.</w:t>
      </w:r>
    </w:p>
    <w:p w:rsidR="007C6A5F" w:rsidRDefault="007C6A5F" w:rsidP="005A6F87">
      <w:pPr>
        <w:pStyle w:val="ListBullet"/>
        <w:numPr>
          <w:ilvl w:val="0"/>
          <w:numId w:val="17"/>
        </w:numPr>
        <w:rPr>
          <w:lang w:bidi="fa-IR"/>
        </w:rPr>
      </w:pPr>
      <w:r>
        <w:rPr>
          <w:lang w:bidi="fa-IR"/>
        </w:rPr>
        <w:t>On the other hand, households indicated in the stated preference survey that they have a relatively high ‘willingness to pay’ for accessibility features, even if their household does not contain anyone with a mobility limitation.</w:t>
      </w:r>
    </w:p>
    <w:p w:rsidR="007C6A5F" w:rsidRDefault="007C6A5F" w:rsidP="007C6A5F">
      <w:pPr>
        <w:pStyle w:val="BodyText"/>
        <w:rPr>
          <w:lang w:bidi="fa-IR"/>
        </w:rPr>
      </w:pPr>
      <w:r>
        <w:rPr>
          <w:lang w:bidi="fa-IR"/>
        </w:rPr>
        <w:t xml:space="preserve">However, a relatively high WTP for accessibility features does not align with anecdotal feedback from industry stakeholders. Industry stakeholders noted that although there was growing interest in (and willingness to pay for) accessibility features among older </w:t>
      </w:r>
      <w:r>
        <w:rPr>
          <w:lang w:bidi="fa-IR"/>
        </w:rPr>
        <w:lastRenderedPageBreak/>
        <w:t>homebuyers, there was little interest from younger buyers. The market failures that prevent households from choosing these design features also appear to be declining over time.</w:t>
      </w:r>
    </w:p>
    <w:p w:rsidR="007C6A5F" w:rsidRDefault="007C6A5F" w:rsidP="007C6A5F">
      <w:pPr>
        <w:pStyle w:val="BodyText"/>
        <w:rPr>
          <w:lang w:bidi="fa-IR"/>
        </w:rPr>
      </w:pPr>
      <w:r>
        <w:rPr>
          <w:lang w:bidi="fa-IR"/>
        </w:rPr>
        <w:t>According to OBPR guidance material:</w:t>
      </w:r>
    </w:p>
    <w:p w:rsidR="007C6A5F" w:rsidRDefault="007C6A5F" w:rsidP="007C6A5F">
      <w:pPr>
        <w:pStyle w:val="Quote"/>
        <w:rPr>
          <w:lang w:bidi="fa-IR"/>
        </w:rPr>
      </w:pPr>
      <w:r>
        <w:t>“As a general rule, estimates of individuals’ valuations of goods and services derived from observing their behaviour in markets tend to be more credible than those from survey questionnaires (Boardman et al. 2010). Observing purchasing decisions directly reveals preferences, whereas surveys elicit statements about preferences.”</w:t>
      </w:r>
      <w:r>
        <w:rPr>
          <w:rStyle w:val="FootnoteReference"/>
        </w:rPr>
        <w:footnoteReference w:id="6"/>
      </w:r>
    </w:p>
    <w:p w:rsidR="007C6A5F" w:rsidRDefault="007C6A5F" w:rsidP="007C6A5F">
      <w:pPr>
        <w:pStyle w:val="BodyText"/>
        <w:rPr>
          <w:lang w:bidi="fa-IR"/>
        </w:rPr>
      </w:pPr>
      <w:r>
        <w:rPr>
          <w:lang w:bidi="fa-IR"/>
        </w:rPr>
        <w:t xml:space="preserve">Given these considerations, it is possible that survey respondents may have overstated their true willingness to pay for accessible design features due to the questions being hypothetical, though it is also possible that willingness to pay revealed by the market is understated due to information barriers. Although every effort has been made to minimise potential biases introduced by the survey design, consistent with best practice approaches, the results from hypothetical choice surveys should always be triangulated with other evidence to check for any bias that may be present. </w:t>
      </w:r>
    </w:p>
    <w:p w:rsidR="007C6A5F" w:rsidRDefault="007C6A5F" w:rsidP="007C6A5F">
      <w:pPr>
        <w:pStyle w:val="BodyText"/>
        <w:rPr>
          <w:lang w:bidi="fa-IR"/>
        </w:rPr>
      </w:pPr>
      <w:r>
        <w:rPr>
          <w:lang w:bidi="fa-IR"/>
        </w:rPr>
        <w:t>Furthermore, under the WTP approach, most of the benefits appear to accrue to households that do not have current accessibility needs. This approach therefore implies that the proposed regulatory options deliver a lot of benefits, without solving any immediate problem.</w:t>
      </w:r>
    </w:p>
    <w:p w:rsidR="007C6A5F" w:rsidRDefault="007C6A5F" w:rsidP="007C6A5F">
      <w:pPr>
        <w:pStyle w:val="BodyText"/>
        <w:rPr>
          <w:lang w:bidi="fa-IR"/>
        </w:rPr>
      </w:pPr>
      <w:r>
        <w:rPr>
          <w:lang w:bidi="fa-IR"/>
        </w:rPr>
        <w:t xml:space="preserve">We therefore lean towards the approach based on our estimates of the extent to which the proposed changes to the NCC will address the various issues associated with a lack of accessible housing. </w:t>
      </w:r>
    </w:p>
    <w:p w:rsidR="007C6A5F" w:rsidRDefault="007C6A5F" w:rsidP="007C6A5F">
      <w:pPr>
        <w:pStyle w:val="BodyText"/>
        <w:rPr>
          <w:lang w:bidi="fa-IR"/>
        </w:rPr>
      </w:pPr>
      <w:r>
        <w:rPr>
          <w:lang w:bidi="fa-IR"/>
        </w:rPr>
        <w:t xml:space="preserve">Based on the (in some cases limited) information available, we estimate that the various costs associated with a lack of accessible housing are significant. However, these are complex matters and the indicators used to identify the number of people affected and other information relied on to estimate the size of the issue are imperfect. </w:t>
      </w:r>
    </w:p>
    <w:p w:rsidR="007C6A5F" w:rsidRDefault="007C6A5F" w:rsidP="007C6A5F">
      <w:pPr>
        <w:pStyle w:val="BodyText"/>
        <w:rPr>
          <w:lang w:bidi="fa-IR"/>
        </w:rPr>
      </w:pPr>
      <w:r>
        <w:rPr>
          <w:lang w:bidi="fa-IR"/>
        </w:rPr>
        <w:t>Furthermore, including an accessibility standard in the NCC would address these issues relatively slowly, as new accessible housing — as a share of the total housing stock — increases slowly over time. We estimate that the main near to medium</w:t>
      </w:r>
      <w:r>
        <w:rPr>
          <w:lang w:bidi="fa-IR"/>
        </w:rPr>
        <w:noBreakHyphen/>
        <w:t xml:space="preserve">term benefits are due to the increased availability of accessible rental properties. </w:t>
      </w:r>
    </w:p>
    <w:p w:rsidR="007C6A5F" w:rsidRDefault="007C6A5F" w:rsidP="007C6A5F">
      <w:pPr>
        <w:pStyle w:val="BodyText"/>
        <w:rPr>
          <w:lang w:bidi="fa-IR"/>
        </w:rPr>
      </w:pPr>
      <w:r>
        <w:rPr>
          <w:lang w:bidi="fa-IR"/>
        </w:rPr>
        <w:t>Renters are a group that have limited options for meeting their accessibility needs. However, a subsidy program could help to address the particular issues faced by renters in a more targeted way (although the costs of a subsidy program could still be significant). Our estimates suggest that this approach would broadly break</w:t>
      </w:r>
      <w:r>
        <w:rPr>
          <w:lang w:bidi="fa-IR"/>
        </w:rPr>
        <w:noBreakHyphen/>
        <w:t>even. That said, subsidised accommodation specifically for members of the community with mobility</w:t>
      </w:r>
      <w:r>
        <w:rPr>
          <w:lang w:bidi="fa-IR"/>
        </w:rPr>
        <w:noBreakHyphen/>
        <w:t>related disability would not achieve the broader aspirations of many advocates, including:</w:t>
      </w:r>
    </w:p>
    <w:p w:rsidR="007C6A5F" w:rsidRDefault="007C6A5F" w:rsidP="005A6F87">
      <w:pPr>
        <w:pStyle w:val="ListBullet"/>
        <w:numPr>
          <w:ilvl w:val="0"/>
          <w:numId w:val="17"/>
        </w:numPr>
        <w:rPr>
          <w:lang w:bidi="fa-IR"/>
        </w:rPr>
      </w:pPr>
      <w:r>
        <w:rPr>
          <w:lang w:bidi="fa-IR"/>
        </w:rPr>
        <w:t>giving members of the community with accessibility needs the same choice of housing available to other members of the community, and</w:t>
      </w:r>
    </w:p>
    <w:p w:rsidR="007C6A5F" w:rsidRDefault="007C6A5F" w:rsidP="005A6F87">
      <w:pPr>
        <w:pStyle w:val="ListBullet"/>
        <w:numPr>
          <w:ilvl w:val="0"/>
          <w:numId w:val="17"/>
        </w:numPr>
        <w:rPr>
          <w:lang w:bidi="fa-IR"/>
        </w:rPr>
      </w:pPr>
      <w:r>
        <w:rPr>
          <w:lang w:bidi="fa-IR"/>
        </w:rPr>
        <w:t>improving opportunities for people with accessibility needs to visit family and friends.</w:t>
      </w:r>
    </w:p>
    <w:p w:rsidR="007C6A5F" w:rsidRDefault="007C6A5F" w:rsidP="007C6A5F">
      <w:pPr>
        <w:pStyle w:val="ListBullet"/>
        <w:numPr>
          <w:ilvl w:val="0"/>
          <w:numId w:val="0"/>
        </w:numPr>
        <w:tabs>
          <w:tab w:val="left" w:pos="0"/>
        </w:tabs>
        <w:rPr>
          <w:lang w:bidi="fa-IR"/>
        </w:rPr>
      </w:pPr>
      <w:r>
        <w:rPr>
          <w:lang w:bidi="fa-IR"/>
        </w:rPr>
        <w:lastRenderedPageBreak/>
        <w:t>Although we have not been able to estimate the costs and benefits of an enhanced voluntary approach to guidance, the proposal developed by ABCB could be included in a non-regulatory handbook at minimal cost. Together with some other relatively low</w:t>
      </w:r>
      <w:r>
        <w:rPr>
          <w:lang w:bidi="fa-IR"/>
        </w:rPr>
        <w:noBreakHyphen/>
        <w:t>cost measures to overcome barriers to the uptake of universal design principles, this approach could encourage additional uptake, with lower risk of imposing excessive costs on some new dwellings.</w:t>
      </w:r>
    </w:p>
    <w:p w:rsidR="007C6A5F" w:rsidRDefault="007C6A5F" w:rsidP="007C6A5F">
      <w:pPr>
        <w:pStyle w:val="Heading2"/>
        <w:numPr>
          <w:ilvl w:val="1"/>
          <w:numId w:val="5"/>
        </w:numPr>
        <w:rPr>
          <w:lang w:bidi="fa-IR"/>
        </w:rPr>
      </w:pPr>
      <w:bookmarkStart w:id="215" w:name="_Toc44598427"/>
      <w:bookmarkStart w:id="216" w:name="_Toc45654058"/>
      <w:r>
        <w:rPr>
          <w:lang w:bidi="fa-IR"/>
        </w:rPr>
        <w:t>Preliminary recommendation</w:t>
      </w:r>
      <w:bookmarkEnd w:id="215"/>
      <w:bookmarkEnd w:id="216"/>
    </w:p>
    <w:p w:rsidR="007C6A5F" w:rsidRDefault="007C6A5F" w:rsidP="007C6A5F">
      <w:pPr>
        <w:pStyle w:val="KeyPoint"/>
        <w:rPr>
          <w:lang w:bidi="fa-IR"/>
        </w:rPr>
      </w:pPr>
      <w:r>
        <w:rPr>
          <w:lang w:bidi="fa-IR"/>
        </w:rPr>
        <w:t>Based on the preliminary evidence gathered for the Consultation RIS, the costs associated with including an accessible housing standard in the NCC are estimated to outweigh the benefits under the central estimates for all of the Options tested.</w:t>
      </w:r>
    </w:p>
    <w:p w:rsidR="007C6A5F" w:rsidRDefault="007C6A5F" w:rsidP="007C6A5F">
      <w:pPr>
        <w:pStyle w:val="KeyPoint"/>
        <w:rPr>
          <w:lang w:bidi="fa-IR"/>
        </w:rPr>
      </w:pPr>
      <w:r>
        <w:rPr>
          <w:lang w:bidi="fa-IR"/>
        </w:rPr>
        <w:t>Given the uncertainty around the feasibility of some Options, we recommend that consultation be used to seek feedback and more information on the assumptions, methods and suitability of alternatives.</w:t>
      </w:r>
    </w:p>
    <w:bookmarkEnd w:id="9"/>
    <w:p w:rsidR="007C6A5F" w:rsidRDefault="007C6A5F" w:rsidP="007C6A5F">
      <w:pPr>
        <w:spacing w:before="140"/>
        <w:rPr>
          <w:rFonts w:asciiTheme="majorHAnsi" w:eastAsia="Times New Roman" w:hAnsiTheme="majorHAnsi"/>
          <w:b/>
          <w:i/>
          <w:color w:val="F61D12" w:themeColor="accent2"/>
          <w:kern w:val="28"/>
          <w:sz w:val="30"/>
          <w:szCs w:val="26"/>
          <w:lang w:bidi="fa-IR"/>
        </w:rPr>
      </w:pPr>
      <w:r>
        <w:rPr>
          <w:lang w:bidi="fa-IR"/>
        </w:rPr>
        <w:br w:type="page"/>
      </w:r>
    </w:p>
    <w:p w:rsidR="007C6A5F" w:rsidRPr="00A577E2" w:rsidRDefault="007C6A5F" w:rsidP="007C6A5F">
      <w:pPr>
        <w:pStyle w:val="Heading2"/>
        <w:numPr>
          <w:ilvl w:val="1"/>
          <w:numId w:val="5"/>
        </w:numPr>
        <w:rPr>
          <w:lang w:bidi="fa-IR"/>
        </w:rPr>
      </w:pPr>
      <w:bookmarkStart w:id="217" w:name="_Toc44598428"/>
      <w:bookmarkStart w:id="218" w:name="_Toc45654059"/>
      <w:r w:rsidRPr="00A577E2">
        <w:rPr>
          <w:lang w:bidi="fa-IR"/>
        </w:rPr>
        <w:lastRenderedPageBreak/>
        <w:t>Consultation questions</w:t>
      </w:r>
      <w:bookmarkEnd w:id="217"/>
      <w:bookmarkEnd w:id="218"/>
    </w:p>
    <w:p w:rsidR="007C6A5F" w:rsidRDefault="007C6A5F" w:rsidP="007C6A5F">
      <w:pPr>
        <w:pStyle w:val="BodyText"/>
        <w:rPr>
          <w:lang w:bidi="fa-IR"/>
        </w:rPr>
      </w:pPr>
      <w:r>
        <w:rPr>
          <w:lang w:bidi="fa-IR"/>
        </w:rPr>
        <w:t>Consultation questions for stakeholders are summarised below.</w:t>
      </w:r>
    </w:p>
    <w:p w:rsidR="007C6A5F" w:rsidRPr="00C54B5C" w:rsidRDefault="007C6A5F" w:rsidP="007C6A5F">
      <w:pPr>
        <w:pStyle w:val="Heading3"/>
        <w:numPr>
          <w:ilvl w:val="2"/>
          <w:numId w:val="5"/>
        </w:numPr>
        <w:rPr>
          <w:lang w:bidi="fa-IR"/>
        </w:rPr>
      </w:pPr>
      <w:bookmarkStart w:id="219" w:name="_Toc32321740"/>
      <w:r>
        <w:rPr>
          <w:lang w:bidi="fa-IR"/>
        </w:rPr>
        <w:t>Chapter 2: Statement of the problem</w:t>
      </w:r>
    </w:p>
    <w:p w:rsidR="00BF1A13" w:rsidRDefault="00BF1A13" w:rsidP="00BF1A13">
      <w:pPr>
        <w:pStyle w:val="ListBullet"/>
      </w:pPr>
      <w:r>
        <w:t xml:space="preserve">Do you agree the problem is adequately established? </w:t>
      </w:r>
    </w:p>
    <w:p w:rsidR="00BF1A13" w:rsidRDefault="00BF1A13" w:rsidP="00BF1A13">
      <w:pPr>
        <w:pStyle w:val="ListBullet2"/>
        <w:ind w:left="567" w:hanging="283"/>
      </w:pPr>
      <w:r>
        <w:t>Does it establish a case for action?</w:t>
      </w:r>
    </w:p>
    <w:p w:rsidR="00BF1A13" w:rsidRDefault="00BF1A13" w:rsidP="00BF1A13">
      <w:pPr>
        <w:pStyle w:val="ListBullet2"/>
        <w:ind w:left="567" w:hanging="283"/>
      </w:pPr>
      <w:r>
        <w:t>A</w:t>
      </w:r>
      <w:r w:rsidRPr="00C12F65">
        <w:t>re other problems not identified under the status quo</w:t>
      </w:r>
      <w:r>
        <w:t>?</w:t>
      </w:r>
    </w:p>
    <w:p w:rsidR="00BF1A13" w:rsidRPr="00107E78" w:rsidRDefault="00BF1A13" w:rsidP="00BF1A13">
      <w:pPr>
        <w:pStyle w:val="ListBullet"/>
      </w:pPr>
      <w:r w:rsidRPr="003404BB">
        <w:t>In general, d</w:t>
      </w:r>
      <w:r w:rsidRPr="00076DAA">
        <w:t xml:space="preserve">o you agree </w:t>
      </w:r>
      <w:r w:rsidRPr="003404BB">
        <w:t xml:space="preserve">the RIS adequately describes </w:t>
      </w:r>
      <w:r w:rsidRPr="00076DAA">
        <w:t>the extent of the</w:t>
      </w:r>
      <w:r w:rsidRPr="003404BB">
        <w:t>se</w:t>
      </w:r>
      <w:r w:rsidRPr="00076DAA">
        <w:t xml:space="preserve"> problem</w:t>
      </w:r>
      <w:r w:rsidRPr="003404BB">
        <w:t>s</w:t>
      </w:r>
      <w:r>
        <w:t>, and d</w:t>
      </w:r>
      <w:r w:rsidRPr="00076DAA">
        <w:t xml:space="preserve">o you have </w:t>
      </w:r>
      <w:r>
        <w:t xml:space="preserve">other </w:t>
      </w:r>
      <w:r w:rsidRPr="00076DAA">
        <w:t xml:space="preserve">evidence </w:t>
      </w:r>
      <w:r w:rsidRPr="00D57D2E">
        <w:t>which could assist</w:t>
      </w:r>
      <w:r w:rsidRPr="00076DAA">
        <w:t>?</w:t>
      </w:r>
    </w:p>
    <w:p w:rsidR="00BF1A13" w:rsidRDefault="00BF1A13" w:rsidP="00BF1A13">
      <w:pPr>
        <w:pStyle w:val="ListBullet"/>
        <w:spacing w:before="50"/>
      </w:pPr>
      <w:r>
        <w:rPr>
          <w:rStyle w:val="the-question"/>
          <w:lang w:val="en"/>
        </w:rPr>
        <w:t>The impact of a lack of accessible housing on equity, dignity and employment outcomes is difficult to fully measure. How does a lack of accessible housing contribute to these issues?</w:t>
      </w:r>
    </w:p>
    <w:p w:rsidR="00BF1A13" w:rsidRDefault="00BF1A13" w:rsidP="00BF1A13">
      <w:pPr>
        <w:pStyle w:val="ListBullet"/>
        <w:spacing w:before="50"/>
      </w:pPr>
      <w:r w:rsidRPr="00107E78">
        <w:t xml:space="preserve">Are the assumptions made to estimate the costs to the community from a lack of accessible housing (set out in Appendices A to H) </w:t>
      </w:r>
      <w:r>
        <w:t xml:space="preserve">appropriate </w:t>
      </w:r>
      <w:r w:rsidRPr="00AC22BB">
        <w:t>and is there other evidence that could be considered?</w:t>
      </w:r>
    </w:p>
    <w:p w:rsidR="00BF1A13" w:rsidRDefault="00BF1A13" w:rsidP="00BF1A13">
      <w:pPr>
        <w:pStyle w:val="ListBullet"/>
        <w:spacing w:before="50"/>
      </w:pPr>
      <w:r w:rsidRPr="006E4DDB">
        <w:t xml:space="preserve">What other </w:t>
      </w:r>
      <w:r w:rsidR="003916EA">
        <w:t>information</w:t>
      </w:r>
      <w:r w:rsidRPr="006E4DDB">
        <w:t xml:space="preserve"> could be used to estimate the costs associated with a lack of accessible housing to make estimates more reliable? </w:t>
      </w:r>
    </w:p>
    <w:p w:rsidR="00BF1A13" w:rsidRDefault="00BF1A13" w:rsidP="00BF1A13">
      <w:pPr>
        <w:pStyle w:val="ListBullet"/>
      </w:pPr>
      <w:r>
        <w:t>For home modifications made to improve the accessibility of a home, do stakeholders have data on the type and cost of those home modifications that actually proceed?</w:t>
      </w:r>
    </w:p>
    <w:p w:rsidR="00BF1A13" w:rsidRPr="00076DAA" w:rsidRDefault="00BF1A13" w:rsidP="00BF1A13">
      <w:pPr>
        <w:pStyle w:val="ListBullet"/>
      </w:pPr>
      <w:r w:rsidRPr="00076DAA">
        <w:t xml:space="preserve">In your opinion, what </w:t>
      </w:r>
      <w:r w:rsidRPr="00C05F93">
        <w:t xml:space="preserve">is the main contributor to </w:t>
      </w:r>
      <w:r w:rsidRPr="00076DAA">
        <w:t>a lack of uptake of universal des</w:t>
      </w:r>
      <w:r>
        <w:t>ign principles in new dwellings</w:t>
      </w:r>
      <w:r w:rsidRPr="00076DAA">
        <w:t>:</w:t>
      </w:r>
    </w:p>
    <w:p w:rsidR="00BF1A13" w:rsidRPr="00076DAA" w:rsidRDefault="00BF1A13" w:rsidP="00BF1A13">
      <w:pPr>
        <w:pStyle w:val="ListBullet2"/>
      </w:pPr>
      <w:r>
        <w:t>B</w:t>
      </w:r>
      <w:r w:rsidRPr="00076DAA">
        <w:t xml:space="preserve">uyers failing to think about their future accessibility needs? </w:t>
      </w:r>
    </w:p>
    <w:p w:rsidR="00BF1A13" w:rsidRDefault="00BF1A13" w:rsidP="00BF1A13">
      <w:pPr>
        <w:pStyle w:val="ListBullet2"/>
      </w:pPr>
      <w:r w:rsidRPr="00076DAA">
        <w:t xml:space="preserve">Volume builders are reluctant to deviate from standard plans? </w:t>
      </w:r>
    </w:p>
    <w:p w:rsidR="00BF1A13" w:rsidRDefault="00BF1A13" w:rsidP="00BF1A13">
      <w:pPr>
        <w:pStyle w:val="ListBullet2"/>
      </w:pPr>
      <w:r w:rsidRPr="00C05F93">
        <w:t>Other barriers</w:t>
      </w:r>
      <w:r>
        <w:t>?</w:t>
      </w:r>
    </w:p>
    <w:p w:rsidR="007C6A5F" w:rsidRDefault="007C6A5F" w:rsidP="007C6A5F">
      <w:pPr>
        <w:pStyle w:val="Heading3"/>
        <w:numPr>
          <w:ilvl w:val="2"/>
          <w:numId w:val="5"/>
        </w:numPr>
      </w:pPr>
      <w:r>
        <w:t>Chapter 3: Objectives and options</w:t>
      </w:r>
    </w:p>
    <w:p w:rsidR="00BF1A13" w:rsidRPr="00EA7D5C" w:rsidRDefault="00BF1A13" w:rsidP="00BF1A13">
      <w:pPr>
        <w:pStyle w:val="ListBullet"/>
      </w:pPr>
      <w:r>
        <w:t>Which of the</w:t>
      </w:r>
      <w:r w:rsidRPr="00EA7D5C">
        <w:t xml:space="preserve"> options considered in the Consultation RIS </w:t>
      </w:r>
      <w:r>
        <w:t>in your opinion are feasible</w:t>
      </w:r>
      <w:r w:rsidRPr="00EA7D5C">
        <w:t>?</w:t>
      </w:r>
    </w:p>
    <w:p w:rsidR="00BF1A13" w:rsidRDefault="00BF1A13" w:rsidP="00BF1A13">
      <w:pPr>
        <w:pStyle w:val="ListBullet"/>
      </w:pPr>
      <w:r>
        <w:t>A</w:t>
      </w:r>
      <w:r w:rsidRPr="00EA7D5C">
        <w:t xml:space="preserve">re there other </w:t>
      </w:r>
      <w:r>
        <w:t xml:space="preserve">feasible regulatory or non-regulatory </w:t>
      </w:r>
      <w:r w:rsidRPr="00EA7D5C">
        <w:t xml:space="preserve">options </w:t>
      </w:r>
      <w:r>
        <w:t>with the potential to meet the objective</w:t>
      </w:r>
      <w:r w:rsidRPr="00EA7D5C">
        <w:t xml:space="preserve"> that should be considered</w:t>
      </w:r>
      <w:r>
        <w:t>?</w:t>
      </w:r>
    </w:p>
    <w:p w:rsidR="00BF1A13" w:rsidRDefault="00BF1A13" w:rsidP="00BF1A13">
      <w:pPr>
        <w:pStyle w:val="ListBullet2"/>
      </w:pPr>
      <w:r>
        <w:t>A</w:t>
      </w:r>
      <w:r w:rsidRPr="00EA7D5C">
        <w:t xml:space="preserve">pplying the </w:t>
      </w:r>
      <w:r>
        <w:t xml:space="preserve">accessibility standards </w:t>
      </w:r>
      <w:r w:rsidRPr="00EA7D5C">
        <w:t xml:space="preserve">to </w:t>
      </w:r>
      <w:r>
        <w:t xml:space="preserve">only </w:t>
      </w:r>
      <w:r w:rsidRPr="00EA7D5C">
        <w:t>Class 1</w:t>
      </w:r>
      <w:r>
        <w:t>a</w:t>
      </w:r>
      <w:r w:rsidRPr="00EA7D5C">
        <w:t xml:space="preserve"> or Class 2 dwellings?</w:t>
      </w:r>
    </w:p>
    <w:p w:rsidR="00BF1A13" w:rsidRDefault="00BF1A13" w:rsidP="00BF1A13">
      <w:pPr>
        <w:pStyle w:val="ListBullet2"/>
      </w:pPr>
      <w:r>
        <w:t>A</w:t>
      </w:r>
      <w:r w:rsidRPr="00EA7D5C">
        <w:t xml:space="preserve">pplying the </w:t>
      </w:r>
      <w:r>
        <w:t xml:space="preserve">accessibility standards </w:t>
      </w:r>
      <w:r w:rsidRPr="00EA7D5C">
        <w:t xml:space="preserve">to </w:t>
      </w:r>
      <w:r>
        <w:t xml:space="preserve">only a proportion of </w:t>
      </w:r>
      <w:r w:rsidRPr="00EA7D5C">
        <w:t>Class 1</w:t>
      </w:r>
      <w:r>
        <w:t>a</w:t>
      </w:r>
      <w:r w:rsidRPr="00EA7D5C">
        <w:t xml:space="preserve"> or Class 2 dwellings</w:t>
      </w:r>
      <w:r>
        <w:t>?</w:t>
      </w:r>
      <w:r w:rsidRPr="00EA7D5C">
        <w:t xml:space="preserve"> How would this be done in practice?</w:t>
      </w:r>
    </w:p>
    <w:p w:rsidR="00BF1A13" w:rsidRDefault="00BF1A13" w:rsidP="00BF1A13">
      <w:pPr>
        <w:pStyle w:val="ListBullet2"/>
      </w:pPr>
      <w:r>
        <w:t xml:space="preserve">Applying a different combination of the LHDG elements? </w:t>
      </w:r>
    </w:p>
    <w:p w:rsidR="00BF1A13" w:rsidRDefault="00BF1A13" w:rsidP="00BF1A13">
      <w:pPr>
        <w:pStyle w:val="ListBullet2"/>
      </w:pPr>
      <w:r>
        <w:t xml:space="preserve">Applying a subset of the LHDG elements (e.g. step-free entry, wider doorways)? </w:t>
      </w:r>
    </w:p>
    <w:p w:rsidR="00BF1A13" w:rsidRDefault="00BF1A13" w:rsidP="00BF1A13">
      <w:pPr>
        <w:pStyle w:val="ListBullet2"/>
      </w:pPr>
      <w:r>
        <w:t>Another option?</w:t>
      </w:r>
    </w:p>
    <w:p w:rsidR="00BF1A13" w:rsidRDefault="00BF1A13" w:rsidP="00BF1A13">
      <w:pPr>
        <w:pStyle w:val="ListBullet"/>
      </w:pPr>
      <w:r>
        <w:t>Do all o</w:t>
      </w:r>
      <w:r w:rsidRPr="003A574E">
        <w:t>f the options</w:t>
      </w:r>
      <w:r>
        <w:t>,</w:t>
      </w:r>
      <w:r w:rsidRPr="003A574E">
        <w:t xml:space="preserve"> </w:t>
      </w:r>
      <w:r>
        <w:t>in your opinion, have the ability to meet the objective?</w:t>
      </w:r>
    </w:p>
    <w:p w:rsidR="00BF1A13" w:rsidRDefault="00BF1A13" w:rsidP="00BF1A13">
      <w:pPr>
        <w:pStyle w:val="ListBullet2"/>
        <w:ind w:left="567" w:hanging="283"/>
      </w:pPr>
      <w:r>
        <w:t>How could these be enhanced?</w:t>
      </w:r>
    </w:p>
    <w:p w:rsidR="00BF1A13" w:rsidRDefault="00BF1A13" w:rsidP="00BF1A13">
      <w:pPr>
        <w:pStyle w:val="ListBullet"/>
      </w:pPr>
      <w:r w:rsidRPr="00107E78">
        <w:t>Are there any less intuitive or unintended consequences likely to arise from</w:t>
      </w:r>
      <w:r>
        <w:t xml:space="preserve"> any of these </w:t>
      </w:r>
      <w:r w:rsidRPr="00107E78">
        <w:t>options</w:t>
      </w:r>
      <w:r>
        <w:t>?</w:t>
      </w:r>
    </w:p>
    <w:p w:rsidR="00BF1A13" w:rsidRDefault="00BF1A13" w:rsidP="00BF1A13">
      <w:pPr>
        <w:pStyle w:val="ListBullet"/>
      </w:pPr>
      <w:r w:rsidRPr="00A82F9F">
        <w:lastRenderedPageBreak/>
        <w:t>Of the options discussed above, in your opinion which would be most effective at achieving the objective?</w:t>
      </w:r>
    </w:p>
    <w:p w:rsidR="007C6A5F" w:rsidRDefault="007C6A5F" w:rsidP="007C6A5F">
      <w:pPr>
        <w:pStyle w:val="Heading3"/>
        <w:numPr>
          <w:ilvl w:val="2"/>
          <w:numId w:val="5"/>
        </w:numPr>
        <w:rPr>
          <w:lang w:bidi="fa-IR"/>
        </w:rPr>
      </w:pPr>
      <w:r>
        <w:rPr>
          <w:lang w:bidi="fa-IR"/>
        </w:rPr>
        <w:t>Chapter 5: Estimating the costs</w:t>
      </w:r>
    </w:p>
    <w:p w:rsidR="00BF1A13" w:rsidRDefault="00BF1A13" w:rsidP="00BF1A13">
      <w:pPr>
        <w:pStyle w:val="ListBullet"/>
      </w:pPr>
      <w:r w:rsidRPr="00F4098C">
        <w:t xml:space="preserve">Are the </w:t>
      </w:r>
      <w:r>
        <w:t xml:space="preserve">scenarios of possible impact (DCWC </w:t>
      </w:r>
      <w:r w:rsidRPr="00F4098C">
        <w:t>descriptions</w:t>
      </w:r>
      <w:r>
        <w:t xml:space="preserve">) broadly representative of </w:t>
      </w:r>
      <w:r w:rsidRPr="00740AB9">
        <w:t xml:space="preserve">the scale of the adjustments required for designs to comply </w:t>
      </w:r>
      <w:r>
        <w:t xml:space="preserve">with </w:t>
      </w:r>
      <w:r w:rsidRPr="00F4098C">
        <w:t xml:space="preserve">the proposed </w:t>
      </w:r>
      <w:r>
        <w:t>accessibility standards (</w:t>
      </w:r>
      <w:r w:rsidRPr="00F4098C">
        <w:t>Options 1-3</w:t>
      </w:r>
      <w:r>
        <w:t>)?</w:t>
      </w:r>
    </w:p>
    <w:p w:rsidR="00BF1A13" w:rsidRDefault="00BF1A13" w:rsidP="00BF1A13">
      <w:pPr>
        <w:pStyle w:val="ListBullet"/>
      </w:pPr>
      <w:r w:rsidRPr="004F3527">
        <w:t xml:space="preserve">For each of the </w:t>
      </w:r>
      <w:r>
        <w:t>building types</w:t>
      </w:r>
      <w:r w:rsidRPr="004F3527">
        <w:t xml:space="preserve">, </w:t>
      </w:r>
      <w:r>
        <w:t xml:space="preserve">are the weighted average cost estimates broadly representative of the additional construction costs to comply with the proposed accessibility standards (Options 1-3)? </w:t>
      </w:r>
    </w:p>
    <w:p w:rsidR="00BF1A13" w:rsidRDefault="00BF1A13" w:rsidP="00BF1A13">
      <w:pPr>
        <w:pStyle w:val="ListBullet"/>
      </w:pPr>
      <w:r>
        <w:t>Can you provide evidence to inform the cost weightings? (See Appendix I)</w:t>
      </w:r>
    </w:p>
    <w:p w:rsidR="00BF1A13" w:rsidRDefault="00BF1A13" w:rsidP="00BF1A13">
      <w:pPr>
        <w:pStyle w:val="ListBullet"/>
      </w:pPr>
      <w:r>
        <w:t>Do you agree with the approach taken to valuing the opportunity cost of the additional space required?</w:t>
      </w:r>
    </w:p>
    <w:p w:rsidR="00BF1A13" w:rsidRDefault="00BF1A13" w:rsidP="00BF1A13">
      <w:pPr>
        <w:pStyle w:val="ListBullet2"/>
        <w:ind w:left="567" w:hanging="283"/>
      </w:pPr>
      <w:r>
        <w:t>What alternative methodologies could be considered?</w:t>
      </w:r>
    </w:p>
    <w:p w:rsidR="00BF1A13" w:rsidRDefault="00BF1A13" w:rsidP="00BF1A13">
      <w:pPr>
        <w:pStyle w:val="ListBullet"/>
      </w:pPr>
      <w:r>
        <w:t>Are additional excavation costs likely to be incurred in order to provide homes that comply with Options 1-3?</w:t>
      </w:r>
    </w:p>
    <w:p w:rsidR="00BF1A13" w:rsidRDefault="00BF1A13" w:rsidP="00BF1A13">
      <w:pPr>
        <w:pStyle w:val="ListBullet"/>
      </w:pPr>
      <w:r>
        <w:t>Are the cost estimates presented in table 5.12 reasonable? If not, what are your alternative estimates and the basis for the estimates?</w:t>
      </w:r>
    </w:p>
    <w:p w:rsidR="00BF1A13" w:rsidRDefault="00BF1A13" w:rsidP="00BF1A13">
      <w:pPr>
        <w:pStyle w:val="ListBullet"/>
      </w:pPr>
      <w:r>
        <w:t>Are there any other costs (e.g. transition costs) not identified for builders in transitioning to a new accessibility standard under regulatory Options 1-3?</w:t>
      </w:r>
    </w:p>
    <w:p w:rsidR="00BF1A13" w:rsidRDefault="00BF1A13" w:rsidP="00BF1A13">
      <w:pPr>
        <w:pStyle w:val="ListBullet"/>
      </w:pPr>
      <w:r w:rsidRPr="00320F51">
        <w:rPr>
          <w:rStyle w:val="the-question"/>
          <w:lang w:val="en"/>
        </w:rPr>
        <w:t xml:space="preserve">Can you provide any other </w:t>
      </w:r>
      <w:r>
        <w:rPr>
          <w:rStyle w:val="the-question"/>
          <w:lang w:val="en"/>
        </w:rPr>
        <w:t xml:space="preserve">relevant </w:t>
      </w:r>
      <w:r w:rsidRPr="00320F51">
        <w:rPr>
          <w:rStyle w:val="the-question"/>
          <w:lang w:val="en"/>
        </w:rPr>
        <w:t xml:space="preserve">information on </w:t>
      </w:r>
      <w:r>
        <w:t xml:space="preserve">the </w:t>
      </w:r>
      <w:r w:rsidRPr="00320F51">
        <w:rPr>
          <w:rStyle w:val="the-question"/>
          <w:lang w:val="en"/>
        </w:rPr>
        <w:t xml:space="preserve">costs </w:t>
      </w:r>
      <w:r>
        <w:rPr>
          <w:rStyle w:val="the-question"/>
          <w:lang w:val="en"/>
        </w:rPr>
        <w:t xml:space="preserve">to inform the impacts </w:t>
      </w:r>
      <w:r w:rsidRPr="00320F51">
        <w:rPr>
          <w:rStyle w:val="the-question"/>
          <w:lang w:val="en"/>
        </w:rPr>
        <w:t>of the options?</w:t>
      </w:r>
    </w:p>
    <w:p w:rsidR="007C6A5F" w:rsidRDefault="007C6A5F" w:rsidP="007C6A5F">
      <w:pPr>
        <w:pStyle w:val="Heading3"/>
        <w:numPr>
          <w:ilvl w:val="2"/>
          <w:numId w:val="5"/>
        </w:numPr>
      </w:pPr>
      <w:r>
        <w:t>Chapter 6: Estimating the benefits</w:t>
      </w:r>
    </w:p>
    <w:p w:rsidR="00BF1A13" w:rsidRDefault="00BF1A13" w:rsidP="00BF1A13">
      <w:pPr>
        <w:pStyle w:val="ListBullet"/>
      </w:pPr>
      <w:r>
        <w:t>Are our assumptions relating to the occupation of accessible housing by owner occupiers and renters over time reasonable</w:t>
      </w:r>
      <w:r w:rsidRPr="00A82F9F">
        <w:t>? What additional evidence could we consider to make these assumptions more robust?</w:t>
      </w:r>
    </w:p>
    <w:p w:rsidR="00BF1A13" w:rsidRDefault="00BF1A13" w:rsidP="00BF1A13">
      <w:pPr>
        <w:pStyle w:val="ListBullet"/>
        <w:rPr>
          <w:rStyle w:val="the-question"/>
        </w:rPr>
      </w:pPr>
      <w:r w:rsidRPr="00320F51">
        <w:rPr>
          <w:rStyle w:val="the-question"/>
        </w:rPr>
        <w:t xml:space="preserve">Do you agree with the assumption of the extent features are currently not provided in new dwellings? </w:t>
      </w:r>
    </w:p>
    <w:p w:rsidR="00BF1A13" w:rsidRDefault="00BF1A13" w:rsidP="00BF1A13">
      <w:pPr>
        <w:pStyle w:val="ListBullet"/>
      </w:pPr>
      <w:r>
        <w:rPr>
          <w:rStyle w:val="the-question"/>
          <w:lang w:val="en"/>
        </w:rPr>
        <w:t>Do you have any evidence of the extent that accessibility features similar to those required by Options 1-3 are provided in new dwellings under current arrangements?</w:t>
      </w:r>
    </w:p>
    <w:p w:rsidR="00BF1A13" w:rsidRDefault="00BF1A13" w:rsidP="00BF1A13">
      <w:pPr>
        <w:pStyle w:val="ListBullet"/>
      </w:pPr>
      <w:r>
        <w:t>Where dwellings have some accessibility features but not others, would this reduce the size of the problem? In your opinion, by how much? (please provide your reasoning/data for your estimate).</w:t>
      </w:r>
    </w:p>
    <w:p w:rsidR="00BF1A13" w:rsidRPr="00C05F93" w:rsidRDefault="00BF1A13" w:rsidP="00BF1A13">
      <w:pPr>
        <w:pStyle w:val="ListBullet"/>
        <w:rPr>
          <w:rStyle w:val="the-question"/>
          <w:lang w:bidi="fa-IR"/>
        </w:rPr>
      </w:pPr>
      <w:r>
        <w:rPr>
          <w:rStyle w:val="the-question"/>
          <w:lang w:val="en"/>
        </w:rPr>
        <w:t>Do you agree with the assumption that additional features required under accessibility standards in Option 2 and Option 3 would increase the number of beneficiaries compared to Option 1?</w:t>
      </w:r>
    </w:p>
    <w:p w:rsidR="00BF1A13" w:rsidRPr="00320F51" w:rsidRDefault="00BF1A13" w:rsidP="00BF1A13">
      <w:pPr>
        <w:pStyle w:val="ListBullet"/>
        <w:rPr>
          <w:rStyle w:val="the-question"/>
        </w:rPr>
      </w:pPr>
      <w:r w:rsidRPr="00B14FC7">
        <w:rPr>
          <w:rStyle w:val="the-question"/>
          <w:lang w:val="en"/>
        </w:rPr>
        <w:t xml:space="preserve">To avoid attributing benefits to accessibility features already installed in dwellings under current arrangements, the </w:t>
      </w:r>
      <w:r w:rsidR="003916EA">
        <w:rPr>
          <w:rStyle w:val="the-question"/>
          <w:lang w:val="en"/>
        </w:rPr>
        <w:t>impacts</w:t>
      </w:r>
      <w:r w:rsidRPr="00B14FC7">
        <w:rPr>
          <w:rStyle w:val="the-question"/>
          <w:lang w:val="en"/>
        </w:rPr>
        <w:t xml:space="preserve"> of the proposal have been reduced in proportion to those elements assumed prevalence and weighted average cost. What additional evidence could we consider to make this assumption more robust?</w:t>
      </w:r>
    </w:p>
    <w:p w:rsidR="00BF1A13" w:rsidRDefault="00BF1A13" w:rsidP="00BF1A13">
      <w:pPr>
        <w:pStyle w:val="ListBullet"/>
      </w:pPr>
      <w:r w:rsidRPr="009F3909">
        <w:lastRenderedPageBreak/>
        <w:t xml:space="preserve">There is a mismatch between the amount of accessible housing being built and the apparent willingness of many survey respondents (including households without any members with limited mobility), to pay above cost for the </w:t>
      </w:r>
      <w:r>
        <w:t>Option 1</w:t>
      </w:r>
      <w:r w:rsidRPr="009F3909">
        <w:t xml:space="preserve">. </w:t>
      </w:r>
      <w:r>
        <w:t xml:space="preserve">What explanations are </w:t>
      </w:r>
      <w:r w:rsidRPr="009F3909">
        <w:t xml:space="preserve">there that could </w:t>
      </w:r>
      <w:r>
        <w:t>explain</w:t>
      </w:r>
      <w:r w:rsidRPr="009F3909">
        <w:t xml:space="preserve"> this mismatch? Is </w:t>
      </w:r>
      <w:r>
        <w:t>this a reflection of the market failure?</w:t>
      </w:r>
    </w:p>
    <w:p w:rsidR="003916EA" w:rsidRPr="009F3909" w:rsidRDefault="003916EA" w:rsidP="003916EA">
      <w:pPr>
        <w:pStyle w:val="Heading3"/>
      </w:pPr>
      <w:r>
        <w:t>Chapter 7</w:t>
      </w:r>
      <w:r w:rsidR="00E97DEF">
        <w:t>: Cost benefit analysis</w:t>
      </w:r>
    </w:p>
    <w:p w:rsidR="00BF1A13" w:rsidRDefault="00BF1A13" w:rsidP="00BF1A13">
      <w:pPr>
        <w:pStyle w:val="ListBullet"/>
      </w:pPr>
      <w:r>
        <w:t>To what extent would better information provision and promotion of an enhanced non-regulatory approach (Option 6) be effective in encouraging additional uptake of universal design principles in new dwellings?</w:t>
      </w:r>
    </w:p>
    <w:p w:rsidR="00BF1A13" w:rsidRPr="00320F51" w:rsidRDefault="00BF1A13" w:rsidP="00BF1A13">
      <w:pPr>
        <w:pStyle w:val="ListBullet"/>
        <w:rPr>
          <w:rStyle w:val="the-question"/>
          <w:lang w:bidi="fa-IR"/>
        </w:rPr>
      </w:pPr>
      <w:r w:rsidRPr="00107E78">
        <w:rPr>
          <w:lang w:bidi="fa-IR"/>
        </w:rPr>
        <w:t xml:space="preserve">Which </w:t>
      </w:r>
      <w:r>
        <w:rPr>
          <w:lang w:bidi="fa-IR"/>
        </w:rPr>
        <w:t xml:space="preserve">option </w:t>
      </w:r>
      <w:r w:rsidRPr="00107E78">
        <w:rPr>
          <w:lang w:bidi="fa-IR"/>
        </w:rPr>
        <w:t>is your preferred option?</w:t>
      </w:r>
    </w:p>
    <w:p w:rsidR="007C6A5F" w:rsidRDefault="007C6A5F" w:rsidP="007C6A5F">
      <w:pPr>
        <w:pStyle w:val="BodyText"/>
        <w:rPr>
          <w:lang w:bidi="fa-IR"/>
        </w:rPr>
      </w:pPr>
    </w:p>
    <w:p w:rsidR="007C6A5F" w:rsidRPr="00F51AF6" w:rsidRDefault="007C6A5F" w:rsidP="005A6F87">
      <w:pPr>
        <w:pStyle w:val="Heading1"/>
        <w:numPr>
          <w:ilvl w:val="0"/>
          <w:numId w:val="50"/>
        </w:numPr>
      </w:pPr>
      <w:bookmarkStart w:id="220" w:name="_Toc44598429"/>
      <w:bookmarkStart w:id="221" w:name="_Toc45654060"/>
      <w:r>
        <w:lastRenderedPageBreak/>
        <w:t>Background and introduction</w:t>
      </w:r>
      <w:bookmarkEnd w:id="219"/>
      <w:bookmarkEnd w:id="220"/>
      <w:bookmarkEnd w:id="221"/>
    </w:p>
    <w:p w:rsidR="007C6A5F" w:rsidRDefault="007C6A5F" w:rsidP="007C6A5F">
      <w:pPr>
        <w:pStyle w:val="Heading2"/>
        <w:numPr>
          <w:ilvl w:val="1"/>
          <w:numId w:val="5"/>
        </w:numPr>
      </w:pPr>
      <w:bookmarkStart w:id="222" w:name="_Toc22117097"/>
      <w:bookmarkStart w:id="223" w:name="_Toc32321741"/>
      <w:bookmarkStart w:id="224" w:name="_Toc44598430"/>
      <w:bookmarkStart w:id="225" w:name="_Toc45654061"/>
      <w:r>
        <w:t>Background</w:t>
      </w:r>
      <w:bookmarkEnd w:id="222"/>
      <w:bookmarkEnd w:id="223"/>
      <w:bookmarkEnd w:id="224"/>
      <w:bookmarkEnd w:id="225"/>
    </w:p>
    <w:p w:rsidR="007C6A5F" w:rsidRDefault="007C6A5F" w:rsidP="007C6A5F">
      <w:pPr>
        <w:pStyle w:val="BodyText"/>
      </w:pPr>
      <w:r>
        <w:rPr>
          <w:shd w:val="clear" w:color="auto" w:fill="FFFFFF"/>
        </w:rPr>
        <w:t xml:space="preserve">In late 2009, the National Dialogue on Universal Housing Design brought together key stakeholders from the residential building and property industry, the ageing, disability and community support sector and all levels of government to discuss how housing could be designed and built to better respond to the changing needs and abilities of people over their lifetime. </w:t>
      </w:r>
      <w:r>
        <w:t>Members of the Dialogue were:</w:t>
      </w:r>
    </w:p>
    <w:p w:rsidR="007C6A5F" w:rsidRDefault="007C6A5F" w:rsidP="005A6F87">
      <w:pPr>
        <w:pStyle w:val="ListBullet"/>
        <w:numPr>
          <w:ilvl w:val="0"/>
          <w:numId w:val="17"/>
        </w:numPr>
        <w:rPr>
          <w:shd w:val="clear" w:color="auto" w:fill="FFFFFF"/>
        </w:rPr>
      </w:pPr>
      <w:r>
        <w:rPr>
          <w:shd w:val="clear" w:color="auto" w:fill="FFFFFF"/>
        </w:rPr>
        <w:t>Australian Human Rights Commission</w:t>
      </w:r>
    </w:p>
    <w:p w:rsidR="007C6A5F" w:rsidRDefault="007C6A5F" w:rsidP="005A6F87">
      <w:pPr>
        <w:pStyle w:val="ListBullet"/>
        <w:numPr>
          <w:ilvl w:val="0"/>
          <w:numId w:val="17"/>
        </w:numPr>
        <w:rPr>
          <w:shd w:val="clear" w:color="auto" w:fill="FFFFFF"/>
        </w:rPr>
      </w:pPr>
      <w:r>
        <w:rPr>
          <w:shd w:val="clear" w:color="auto" w:fill="FFFFFF"/>
        </w:rPr>
        <w:t>Australian Institute of Architects</w:t>
      </w:r>
    </w:p>
    <w:p w:rsidR="007C6A5F" w:rsidRDefault="007C6A5F" w:rsidP="005A6F87">
      <w:pPr>
        <w:pStyle w:val="ListBullet"/>
        <w:numPr>
          <w:ilvl w:val="0"/>
          <w:numId w:val="17"/>
        </w:numPr>
        <w:rPr>
          <w:shd w:val="clear" w:color="auto" w:fill="FFFFFF"/>
        </w:rPr>
      </w:pPr>
      <w:r w:rsidRPr="005C585E">
        <w:rPr>
          <w:shd w:val="clear" w:color="auto" w:fill="FFFFFF"/>
        </w:rPr>
        <w:t>Australian Local Government Association</w:t>
      </w:r>
    </w:p>
    <w:p w:rsidR="007C6A5F" w:rsidRDefault="007C6A5F" w:rsidP="005A6F87">
      <w:pPr>
        <w:pStyle w:val="ListBullet"/>
        <w:numPr>
          <w:ilvl w:val="0"/>
          <w:numId w:val="17"/>
        </w:numPr>
        <w:rPr>
          <w:shd w:val="clear" w:color="auto" w:fill="FFFFFF"/>
        </w:rPr>
      </w:pPr>
      <w:r w:rsidRPr="005C585E">
        <w:rPr>
          <w:shd w:val="clear" w:color="auto" w:fill="FFFFFF"/>
        </w:rPr>
        <w:t>Australian Network for Universal Housing Design</w:t>
      </w:r>
      <w:r>
        <w:rPr>
          <w:shd w:val="clear" w:color="auto" w:fill="FFFFFF"/>
        </w:rPr>
        <w:t xml:space="preserve"> (ANUHD)</w:t>
      </w:r>
    </w:p>
    <w:p w:rsidR="007C6A5F" w:rsidRDefault="007C6A5F" w:rsidP="005A6F87">
      <w:pPr>
        <w:pStyle w:val="ListBullet"/>
        <w:numPr>
          <w:ilvl w:val="0"/>
          <w:numId w:val="17"/>
        </w:numPr>
        <w:rPr>
          <w:shd w:val="clear" w:color="auto" w:fill="FFFFFF"/>
        </w:rPr>
      </w:pPr>
      <w:r w:rsidRPr="005C585E">
        <w:rPr>
          <w:shd w:val="clear" w:color="auto" w:fill="FFFFFF"/>
        </w:rPr>
        <w:t>Building Commission Victoria</w:t>
      </w:r>
    </w:p>
    <w:p w:rsidR="007C6A5F" w:rsidRDefault="007C6A5F" w:rsidP="005A6F87">
      <w:pPr>
        <w:pStyle w:val="ListBullet"/>
        <w:numPr>
          <w:ilvl w:val="0"/>
          <w:numId w:val="17"/>
        </w:numPr>
        <w:rPr>
          <w:shd w:val="clear" w:color="auto" w:fill="FFFFFF"/>
        </w:rPr>
      </w:pPr>
      <w:r w:rsidRPr="005C585E">
        <w:rPr>
          <w:shd w:val="clear" w:color="auto" w:fill="FFFFFF"/>
        </w:rPr>
        <w:t>COTA Australia</w:t>
      </w:r>
    </w:p>
    <w:p w:rsidR="007C6A5F" w:rsidRDefault="007C6A5F" w:rsidP="005A6F87">
      <w:pPr>
        <w:pStyle w:val="ListBullet"/>
        <w:numPr>
          <w:ilvl w:val="0"/>
          <w:numId w:val="17"/>
        </w:numPr>
        <w:rPr>
          <w:shd w:val="clear" w:color="auto" w:fill="FFFFFF"/>
        </w:rPr>
      </w:pPr>
      <w:r w:rsidRPr="005C585E">
        <w:rPr>
          <w:shd w:val="clear" w:color="auto" w:fill="FFFFFF"/>
        </w:rPr>
        <w:t>Grocon</w:t>
      </w:r>
    </w:p>
    <w:p w:rsidR="007C6A5F" w:rsidRDefault="007C6A5F" w:rsidP="005A6F87">
      <w:pPr>
        <w:pStyle w:val="ListBullet"/>
        <w:numPr>
          <w:ilvl w:val="0"/>
          <w:numId w:val="17"/>
        </w:numPr>
        <w:rPr>
          <w:shd w:val="clear" w:color="auto" w:fill="FFFFFF"/>
        </w:rPr>
      </w:pPr>
      <w:r w:rsidRPr="005C585E">
        <w:rPr>
          <w:shd w:val="clear" w:color="auto" w:fill="FFFFFF"/>
        </w:rPr>
        <w:t>Housing Industry Association</w:t>
      </w:r>
    </w:p>
    <w:p w:rsidR="007C6A5F" w:rsidRDefault="007C6A5F" w:rsidP="005A6F87">
      <w:pPr>
        <w:pStyle w:val="ListBullet"/>
        <w:numPr>
          <w:ilvl w:val="0"/>
          <w:numId w:val="17"/>
        </w:numPr>
        <w:rPr>
          <w:shd w:val="clear" w:color="auto" w:fill="FFFFFF"/>
        </w:rPr>
      </w:pPr>
      <w:r w:rsidRPr="005C585E">
        <w:rPr>
          <w:shd w:val="clear" w:color="auto" w:fill="FFFFFF"/>
        </w:rPr>
        <w:t>Lend Lease</w:t>
      </w:r>
    </w:p>
    <w:p w:rsidR="007C6A5F" w:rsidRDefault="007C6A5F" w:rsidP="005A6F87">
      <w:pPr>
        <w:pStyle w:val="ListBullet"/>
        <w:numPr>
          <w:ilvl w:val="0"/>
          <w:numId w:val="17"/>
        </w:numPr>
        <w:rPr>
          <w:shd w:val="clear" w:color="auto" w:fill="FFFFFF"/>
        </w:rPr>
      </w:pPr>
      <w:r w:rsidRPr="005C585E">
        <w:rPr>
          <w:shd w:val="clear" w:color="auto" w:fill="FFFFFF"/>
        </w:rPr>
        <w:t>Master Builders Australia</w:t>
      </w:r>
    </w:p>
    <w:p w:rsidR="007C6A5F" w:rsidRDefault="007C6A5F" w:rsidP="005A6F87">
      <w:pPr>
        <w:pStyle w:val="ListBullet"/>
        <w:numPr>
          <w:ilvl w:val="0"/>
          <w:numId w:val="17"/>
        </w:numPr>
        <w:rPr>
          <w:shd w:val="clear" w:color="auto" w:fill="FFFFFF"/>
        </w:rPr>
      </w:pPr>
      <w:r w:rsidRPr="005C585E">
        <w:rPr>
          <w:shd w:val="clear" w:color="auto" w:fill="FFFFFF"/>
        </w:rPr>
        <w:t>National People with Disabilities and Carers Council</w:t>
      </w:r>
    </w:p>
    <w:p w:rsidR="007C6A5F" w:rsidRDefault="007C6A5F" w:rsidP="005A6F87">
      <w:pPr>
        <w:pStyle w:val="ListBullet"/>
        <w:numPr>
          <w:ilvl w:val="0"/>
          <w:numId w:val="17"/>
        </w:numPr>
        <w:rPr>
          <w:shd w:val="clear" w:color="auto" w:fill="FFFFFF"/>
        </w:rPr>
      </w:pPr>
      <w:r w:rsidRPr="005C585E">
        <w:rPr>
          <w:shd w:val="clear" w:color="auto" w:fill="FFFFFF"/>
        </w:rPr>
        <w:t>Office of the Disability Council of NSW</w:t>
      </w:r>
    </w:p>
    <w:p w:rsidR="007C6A5F" w:rsidRDefault="007C6A5F" w:rsidP="005A6F87">
      <w:pPr>
        <w:pStyle w:val="ListBullet"/>
        <w:numPr>
          <w:ilvl w:val="0"/>
          <w:numId w:val="17"/>
        </w:numPr>
        <w:rPr>
          <w:shd w:val="clear" w:color="auto" w:fill="FFFFFF"/>
        </w:rPr>
      </w:pPr>
      <w:r w:rsidRPr="005C585E">
        <w:rPr>
          <w:shd w:val="clear" w:color="auto" w:fill="FFFFFF"/>
        </w:rPr>
        <w:t>Property Council of Australia</w:t>
      </w:r>
    </w:p>
    <w:p w:rsidR="007C6A5F" w:rsidRDefault="007C6A5F" w:rsidP="005A6F87">
      <w:pPr>
        <w:pStyle w:val="ListBullet"/>
        <w:numPr>
          <w:ilvl w:val="0"/>
          <w:numId w:val="17"/>
        </w:numPr>
        <w:rPr>
          <w:shd w:val="clear" w:color="auto" w:fill="FFFFFF"/>
        </w:rPr>
      </w:pPr>
      <w:r w:rsidRPr="005C585E">
        <w:rPr>
          <w:shd w:val="clear" w:color="auto" w:fill="FFFFFF"/>
        </w:rPr>
        <w:t>Real Estate Institute of Australia</w:t>
      </w:r>
    </w:p>
    <w:p w:rsidR="007C6A5F" w:rsidRPr="005C585E" w:rsidRDefault="007C6A5F" w:rsidP="005A6F87">
      <w:pPr>
        <w:pStyle w:val="ListBullet"/>
        <w:numPr>
          <w:ilvl w:val="0"/>
          <w:numId w:val="17"/>
        </w:numPr>
        <w:rPr>
          <w:shd w:val="clear" w:color="auto" w:fill="FFFFFF"/>
        </w:rPr>
      </w:pPr>
      <w:r w:rsidRPr="005C585E">
        <w:rPr>
          <w:shd w:val="clear" w:color="auto" w:fill="FFFFFF"/>
        </w:rPr>
        <w:t>Stockland.</w:t>
      </w:r>
    </w:p>
    <w:p w:rsidR="007C6A5F" w:rsidRDefault="007C6A5F" w:rsidP="007C6A5F">
      <w:pPr>
        <w:pStyle w:val="BodyText"/>
      </w:pPr>
      <w:r>
        <w:t>National Dialogue members:</w:t>
      </w:r>
    </w:p>
    <w:p w:rsidR="007C6A5F" w:rsidRDefault="007C6A5F" w:rsidP="005A6F87">
      <w:pPr>
        <w:pStyle w:val="ListBullet"/>
        <w:numPr>
          <w:ilvl w:val="0"/>
          <w:numId w:val="17"/>
        </w:numPr>
      </w:pPr>
      <w:r>
        <w:t>recognised that traditionally most homes have not been designed or built in a way that can easily accommodate the changing needs of households over their lifetime</w:t>
      </w:r>
    </w:p>
    <w:p w:rsidR="007C6A5F" w:rsidRDefault="007C6A5F" w:rsidP="005A6F87">
      <w:pPr>
        <w:pStyle w:val="ListBullet"/>
        <w:numPr>
          <w:ilvl w:val="0"/>
          <w:numId w:val="17"/>
        </w:numPr>
      </w:pPr>
      <w:r>
        <w:t>agreed that there is a need to develop a national approach to the issue of Universal Housing Design. Such an approach would resolve the confusion of definitions and approaches to improving access in and around our homes making them easier and safer to live in for all people, regardless of age or ability</w:t>
      </w:r>
    </w:p>
    <w:p w:rsidR="007C6A5F" w:rsidRDefault="007C6A5F" w:rsidP="005A6F87">
      <w:pPr>
        <w:pStyle w:val="ListBullet"/>
        <w:numPr>
          <w:ilvl w:val="0"/>
          <w:numId w:val="17"/>
        </w:numPr>
      </w:pPr>
      <w:r>
        <w:t>believed it is important that the community at large is informed and educated about the benefits of Universal Housing Design</w:t>
      </w:r>
    </w:p>
    <w:p w:rsidR="007C6A5F" w:rsidRDefault="007C6A5F" w:rsidP="005A6F87">
      <w:pPr>
        <w:pStyle w:val="ListBullet"/>
        <w:numPr>
          <w:ilvl w:val="0"/>
          <w:numId w:val="17"/>
        </w:numPr>
      </w:pPr>
      <w:r>
        <w:t xml:space="preserve">agreed to work together to explain to the Australian community the benefits of Universal Housing Design – that it is about making homes easier and safer for young </w:t>
      </w:r>
      <w:r>
        <w:lastRenderedPageBreak/>
        <w:t>families, people who have short or long</w:t>
      </w:r>
      <w:r>
        <w:noBreakHyphen/>
        <w:t>term injuries or illnesses, as well as senior Australians and people with disability.</w:t>
      </w:r>
      <w:r>
        <w:rPr>
          <w:rStyle w:val="FootnoteReference"/>
        </w:rPr>
        <w:footnoteReference w:id="7"/>
      </w:r>
    </w:p>
    <w:p w:rsidR="007C6A5F" w:rsidRDefault="007C6A5F" w:rsidP="007C6A5F">
      <w:pPr>
        <w:pStyle w:val="BodyText"/>
      </w:pPr>
      <w:r>
        <w:t>The National Dialogue members also agreed to pursue an aspirational target that all new homes will be of an agreed Universal Housing Design standard by 2020 with interim targets to be set within that 10-year period. A strategic plan was released in 2010 to support the achievement of the aspirational targets — a key milestone in that plan was the release of the Livable Housing Design Guidelines (LHDGs) and Strategic Plan.</w:t>
      </w:r>
    </w:p>
    <w:p w:rsidR="007C6A5F" w:rsidRDefault="007C6A5F" w:rsidP="007C6A5F">
      <w:pPr>
        <w:pStyle w:val="BodyText"/>
      </w:pPr>
      <w:r>
        <w:t>ANUHD (a member of the Dialogue) estimated that currently only around 5 per cent new home built comply with the LHDGs, although industry stakeholders have argued that the true proportion is closer to 10 per cent.</w:t>
      </w:r>
    </w:p>
    <w:p w:rsidR="007C6A5F" w:rsidRDefault="007C6A5F" w:rsidP="007C6A5F">
      <w:pPr>
        <w:spacing w:before="139" w:line="280" w:lineRule="exact"/>
        <w:ind w:right="72"/>
        <w:textAlignment w:val="baseline"/>
        <w:rPr>
          <w:rFonts w:eastAsia="Calisto MT"/>
          <w:color w:val="000000"/>
          <w:lang w:val="en-US"/>
        </w:rPr>
      </w:pPr>
      <w:r>
        <w:t>During ABCB’s consultation process, some stakeholders noted to the role of the United Nations Convention on the Rights of Persons with Disabilities (CPRD) (see box </w:t>
      </w:r>
      <w:r>
        <w:rPr>
          <w:rFonts w:asciiTheme="minorHAnsi" w:eastAsia="Times New Roman" w:hAnsiTheme="minorHAnsi"/>
          <w:noProof/>
        </w:rPr>
        <w:fldChar w:fldCharType="begin"/>
      </w:r>
      <w:r>
        <w:rPr>
          <w:noProof/>
        </w:rPr>
        <w:instrText xml:space="preserve"> REF _Caption5030 </w:instrText>
      </w:r>
      <w:r>
        <w:rPr>
          <w:rFonts w:asciiTheme="minorHAnsi" w:eastAsia="Times New Roman" w:hAnsiTheme="minorHAnsi"/>
          <w:noProof/>
        </w:rPr>
        <w:fldChar w:fldCharType="separate"/>
      </w:r>
      <w:r>
        <w:rPr>
          <w:noProof/>
        </w:rPr>
        <w:t>1</w:t>
      </w:r>
      <w:r w:rsidRPr="00E05C8C">
        <w:rPr>
          <w:noProof/>
        </w:rPr>
        <w:t>.</w:t>
      </w:r>
      <w:r>
        <w:rPr>
          <w:noProof/>
        </w:rPr>
        <w:t>1</w:t>
      </w:r>
      <w:r>
        <w:rPr>
          <w:rFonts w:asciiTheme="minorHAnsi" w:eastAsia="Times New Roman" w:hAnsiTheme="minorHAnsi"/>
          <w:noProof/>
        </w:rPr>
        <w:fldChar w:fldCharType="end"/>
      </w:r>
      <w:r>
        <w:t xml:space="preserve">), in the context of considering a minimum accessibility standard. </w:t>
      </w:r>
      <w:r>
        <w:rPr>
          <w:rFonts w:eastAsia="Calisto MT"/>
          <w:color w:val="000000"/>
          <w:lang w:val="en-US"/>
        </w:rPr>
        <w:t>Australia ratified the CRPD in 2008, reflecting the Australian Government’s commitment to promoting and supporting the equal and active participation by people with disabilities in all areas of public life. The obligations under the CRPD with respect to accessible housing are progressively realisable. Australian governments are obliged, therefore, to take steps to the maximum of available resources with a view to progressively realising the right over time. All Australian governments have a range of measures in place to support the provision of housing for people with disabilities.</w:t>
      </w:r>
    </w:p>
    <w:p w:rsidR="007C6A5F" w:rsidRDefault="007C6A5F" w:rsidP="007C6A5F">
      <w:pPr>
        <w:spacing w:before="139" w:line="280" w:lineRule="exact"/>
        <w:ind w:right="72"/>
        <w:textAlignment w:val="baseline"/>
        <w:rPr>
          <w:rFonts w:eastAsia="Calisto MT"/>
          <w:color w:val="000000"/>
          <w:lang w:val="en-US"/>
        </w:rPr>
      </w:pPr>
      <w:r>
        <w:rPr>
          <w:rFonts w:eastAsia="Calisto MT"/>
          <w:color w:val="000000"/>
          <w:lang w:val="en-US"/>
        </w:rPr>
        <w:t xml:space="preserve">The </w:t>
      </w:r>
      <w:r>
        <w:rPr>
          <w:rFonts w:eastAsia="Calisto MT"/>
          <w:i/>
          <w:color w:val="000000"/>
          <w:lang w:val="en-US"/>
        </w:rPr>
        <w:t>National Disability Strategy 2010-2020</w:t>
      </w:r>
      <w:r>
        <w:rPr>
          <w:rFonts w:eastAsia="Calisto MT"/>
          <w:color w:val="000000"/>
          <w:lang w:val="en-US"/>
        </w:rPr>
        <w:t>, an initiative of the Council of Australian Governments, provides a high</w:t>
      </w:r>
      <w:r w:rsidR="004B3D68">
        <w:rPr>
          <w:rFonts w:eastAsia="Calisto MT"/>
          <w:color w:val="000000"/>
          <w:lang w:val="en-US"/>
        </w:rPr>
        <w:noBreakHyphen/>
      </w:r>
      <w:r>
        <w:rPr>
          <w:rFonts w:eastAsia="Calisto MT"/>
          <w:color w:val="000000"/>
          <w:lang w:val="en-US"/>
        </w:rPr>
        <w:t>level policy framework for disability policy in Australia and aligns to the international obligations of the UN CRPD.  The National Disability Strategy has six outcomes, each having a number of Policy Directions which governments should have regard to when developing programs. Accessible housing falls under Outcome One and Policy Direction Three:</w:t>
      </w:r>
    </w:p>
    <w:p w:rsidR="007C6A5F" w:rsidRDefault="007C6A5F" w:rsidP="007C6A5F">
      <w:pPr>
        <w:pStyle w:val="Quote"/>
        <w:rPr>
          <w:rFonts w:eastAsia="Calisto MT"/>
          <w:lang w:val="en-US"/>
        </w:rPr>
      </w:pPr>
      <w:r>
        <w:rPr>
          <w:rFonts w:eastAsia="Calisto MT"/>
          <w:lang w:val="en-US"/>
        </w:rPr>
        <w:t xml:space="preserve">Outcome 1: Inclusive and accessible communities. </w:t>
      </w:r>
    </w:p>
    <w:p w:rsidR="007C6A5F" w:rsidRDefault="007C6A5F" w:rsidP="007C6A5F">
      <w:pPr>
        <w:pStyle w:val="Quote"/>
        <w:rPr>
          <w:rFonts w:eastAsia="Calisto MT"/>
          <w:lang w:val="en-US"/>
        </w:rPr>
      </w:pPr>
      <w:r>
        <w:rPr>
          <w:rFonts w:eastAsia="Calisto MT"/>
          <w:lang w:val="en-US"/>
        </w:rPr>
        <w:t>People with disability live in accessible and well-designed communities with opportunity for full inclusion in social, economic, sporting and cultural life.</w:t>
      </w:r>
    </w:p>
    <w:p w:rsidR="007C6A5F" w:rsidRDefault="007C6A5F" w:rsidP="007C6A5F">
      <w:pPr>
        <w:pStyle w:val="Quote"/>
        <w:rPr>
          <w:rFonts w:eastAsia="Calisto MT"/>
          <w:lang w:val="en-US"/>
        </w:rPr>
      </w:pPr>
      <w:r>
        <w:rPr>
          <w:rFonts w:eastAsia="Calisto MT"/>
          <w:lang w:val="en-US"/>
        </w:rPr>
        <w:t>Policy Direction 3 — Improved provision of accessible and well-designed housing with choice for people with disability about where they live.</w:t>
      </w:r>
    </w:p>
    <w:p w:rsidR="007C6A5F" w:rsidRDefault="007C6A5F" w:rsidP="007C6A5F">
      <w:pPr>
        <w:spacing w:before="139" w:line="280" w:lineRule="exact"/>
        <w:ind w:right="72"/>
        <w:textAlignment w:val="baseline"/>
        <w:rPr>
          <w:rFonts w:eastAsia="Calisto MT"/>
          <w:color w:val="000000"/>
          <w:lang w:val="en-US"/>
        </w:rPr>
      </w:pPr>
      <w:r>
        <w:rPr>
          <w:rFonts w:eastAsia="Calisto MT"/>
          <w:color w:val="000000"/>
          <w:lang w:val="en-US"/>
        </w:rPr>
        <w:t>The National Disability Strategy discusses the importance of taking a universal design approach to programs, services and facilities as an effective way to remove barriers that exclude people with disability.</w:t>
      </w:r>
    </w:p>
    <w:p w:rsidR="007C6A5F" w:rsidRDefault="007C6A5F" w:rsidP="007C6A5F">
      <w:pPr>
        <w:pStyle w:val="Invisiblepara"/>
      </w:pPr>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Box 1.1"/>
        <w:tblDescription w:val="United Nations Convention on the Rights of Persons with Disabilities"/>
      </w:tblPr>
      <w:tblGrid>
        <w:gridCol w:w="7938"/>
      </w:tblGrid>
      <w:tr w:rsidR="007C6A5F" w:rsidRPr="00E05C8C" w:rsidTr="00D87F1F">
        <w:trPr>
          <w:tblHeader/>
        </w:trPr>
        <w:tc>
          <w:tcPr>
            <w:tcW w:w="7938" w:type="dxa"/>
            <w:shd w:val="clear" w:color="auto" w:fill="C6BFAB" w:themeFill="accent3"/>
          </w:tcPr>
          <w:bookmarkStart w:id="226" w:name="_Toc32321789"/>
          <w:bookmarkStart w:id="227" w:name="_Caption6691"/>
          <w:bookmarkStart w:id="228" w:name="_Caption7186"/>
          <w:p w:rsidR="007C6A5F" w:rsidRPr="00E05C8C" w:rsidRDefault="007C6A5F" w:rsidP="005A6F87">
            <w:pPr>
              <w:pStyle w:val="Caption"/>
              <w:numPr>
                <w:ilvl w:val="0"/>
                <w:numId w:val="13"/>
              </w:numPr>
              <w:spacing w:before="120" w:after="100"/>
            </w:pPr>
            <w:r w:rsidRPr="00E05C8C">
              <w:fldChar w:fldCharType="begin"/>
            </w:r>
            <w:bookmarkEnd w:id="226"/>
            <w:bookmarkEnd w:id="227"/>
            <w:bookmarkEnd w:id="228"/>
            <w:r w:rsidRPr="00E05C8C">
              <w:instrText xml:space="preserve"> IF 1 = 1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1</w:instrText>
            </w:r>
            <w:r>
              <w:rPr>
                <w:noProof/>
              </w:rPr>
              <w:fldChar w:fldCharType="end"/>
            </w:r>
            <w:r w:rsidRPr="00E05C8C">
              <w:instrText xml:space="preserve"> = 0 "" "</w:instrText>
            </w:r>
            <w:r>
              <w:rPr>
                <w:noProof/>
              </w:rPr>
              <w:fldChar w:fldCharType="begin"/>
            </w:r>
            <w:r>
              <w:rPr>
                <w:noProof/>
              </w:rPr>
              <w:instrText xml:space="preserve"> STYLEREF "Heading 1" \l \n </w:instrText>
            </w:r>
            <w:r>
              <w:rPr>
                <w:noProof/>
              </w:rPr>
              <w:fldChar w:fldCharType="separate"/>
            </w:r>
            <w:r>
              <w:rPr>
                <w:noProof/>
              </w:rPr>
              <w:instrText>1</w:instrText>
            </w:r>
            <w:r>
              <w:rPr>
                <w:noProof/>
              </w:rPr>
              <w:fldChar w:fldCharType="end"/>
            </w:r>
            <w:r w:rsidRPr="00E05C8C">
              <w:instrText xml:space="preserve">." </w:instrText>
            </w:r>
            <w:r w:rsidRPr="00E05C8C">
              <w:fldChar w:fldCharType="separate"/>
            </w:r>
            <w:r>
              <w:rPr>
                <w:noProof/>
              </w:rPr>
              <w:instrText>1</w:instrText>
            </w:r>
            <w:r w:rsidRPr="00E05C8C">
              <w:rPr>
                <w:noProof/>
              </w:rPr>
              <w:instrText>.</w:instrText>
            </w:r>
            <w:r w:rsidRPr="00E05C8C">
              <w:fldChar w:fldCharType="end"/>
            </w:r>
            <w:r w:rsidRPr="00E05C8C">
              <w:instrText>" "</w:instrText>
            </w:r>
            <w:r w:rsidR="00F56BFF">
              <w:fldChar w:fldCharType="begin"/>
            </w:r>
            <w:r w:rsidR="00F56BFF">
              <w:instrText xml:space="preserve"> STYLEREF "Heading 6" \l \n </w:instrText>
            </w:r>
            <w:r w:rsidR="00F56BFF">
              <w:fldChar w:fldCharType="separate"/>
            </w:r>
            <w:r w:rsidRPr="00E05C8C">
              <w:instrText>B</w:instrText>
            </w:r>
            <w:r w:rsidR="00F56BFF">
              <w:fldChar w:fldCharType="end"/>
            </w:r>
            <w:r w:rsidRPr="00E05C8C">
              <w:instrText xml:space="preserve">." </w:instrText>
            </w:r>
            <w:r w:rsidRPr="00E05C8C">
              <w:fldChar w:fldCharType="separate"/>
            </w:r>
            <w:r w:rsidR="00272AF3">
              <w:rPr>
                <w:noProof/>
              </w:rPr>
              <w:instrText>1</w:instrText>
            </w:r>
            <w:r w:rsidR="00272AF3"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1</w:instrText>
            </w:r>
            <w:r>
              <w:rPr>
                <w:noProof/>
              </w:rPr>
              <w:fldChar w:fldCharType="end"/>
            </w:r>
            <w:r w:rsidRPr="00E05C8C">
              <w:instrText xml:space="preserve"> = 0 "" "1" </w:instrText>
            </w:r>
            <w:r w:rsidRPr="00E05C8C">
              <w:fldChar w:fldCharType="separate"/>
            </w:r>
            <w:r w:rsidR="00272AF3" w:rsidRPr="00E05C8C">
              <w:rPr>
                <w:noProof/>
              </w:rPr>
              <w:instrText>1</w:instrText>
            </w:r>
            <w:r w:rsidRPr="00E05C8C">
              <w:fldChar w:fldCharType="end"/>
            </w:r>
            <w:r w:rsidRPr="00E05C8C">
              <w:instrText xml:space="preserve">" "6" </w:instrText>
            </w:r>
            <w:r w:rsidRPr="00E05C8C">
              <w:fldChar w:fldCharType="separate"/>
            </w:r>
            <w:r w:rsidR="00272AF3" w:rsidRPr="00E05C8C">
              <w:rPr>
                <w:noProof/>
              </w:rPr>
              <w:instrText>1</w:instrText>
            </w:r>
            <w:r w:rsidRPr="00E05C8C">
              <w:fldChar w:fldCharType="end"/>
            </w:r>
            <w:r w:rsidRPr="00E05C8C">
              <w:instrText xml:space="preserve"> </w:instrText>
            </w:r>
            <w:r w:rsidRPr="00E05C8C">
              <w:fldChar w:fldCharType="separate"/>
            </w:r>
            <w:r>
              <w:rPr>
                <w:noProof/>
              </w:rPr>
              <w:instrText>1</w:instrText>
            </w:r>
            <w:r w:rsidRPr="00E05C8C">
              <w:fldChar w:fldCharType="end"/>
            </w:r>
            <w:r w:rsidRPr="00E05C8C">
              <w:instrText xml:space="preserve">" "" </w:instrText>
            </w:r>
            <w:r w:rsidRPr="00E05C8C">
              <w:fldChar w:fldCharType="separate"/>
            </w:r>
            <w:bookmarkStart w:id="229" w:name="_Caption6096"/>
            <w:bookmarkStart w:id="230" w:name="_Caption2434"/>
            <w:bookmarkStart w:id="231" w:name="_Caption5629"/>
            <w:bookmarkStart w:id="232" w:name="_Caption6571"/>
            <w:bookmarkStart w:id="233" w:name="_Caption7796"/>
            <w:bookmarkStart w:id="234" w:name="_Caption1035"/>
            <w:bookmarkStart w:id="235" w:name="_Caption4924"/>
            <w:bookmarkStart w:id="236" w:name="_Caption0626"/>
            <w:bookmarkStart w:id="237" w:name="_Caption2874"/>
            <w:bookmarkStart w:id="238" w:name="_Caption5137"/>
            <w:bookmarkStart w:id="239" w:name="_Caption8969"/>
            <w:bookmarkStart w:id="240" w:name="_Caption4616"/>
            <w:bookmarkStart w:id="241" w:name="_Caption3918"/>
            <w:bookmarkStart w:id="242" w:name="_Caption9142"/>
            <w:bookmarkStart w:id="243" w:name="_Caption6945"/>
            <w:bookmarkStart w:id="244" w:name="_Caption4063"/>
            <w:bookmarkStart w:id="245" w:name="_Caption3313"/>
            <w:bookmarkStart w:id="246" w:name="_Caption2846"/>
            <w:bookmarkStart w:id="247" w:name="_Caption7949"/>
            <w:bookmarkStart w:id="248" w:name="_Caption6136"/>
            <w:bookmarkStart w:id="249" w:name="_Caption4920"/>
            <w:bookmarkStart w:id="250" w:name="_Caption7455"/>
            <w:bookmarkStart w:id="251" w:name="_Caption9062"/>
            <w:bookmarkStart w:id="252" w:name="_Caption9063"/>
            <w:bookmarkStart w:id="253" w:name="_Caption5335"/>
            <w:bookmarkStart w:id="254" w:name="_Caption0743"/>
            <w:bookmarkStart w:id="255" w:name="_Caption0068"/>
            <w:bookmarkStart w:id="256" w:name="_Caption5030"/>
            <w:bookmarkStart w:id="257" w:name="_Caption9686"/>
            <w:bookmarkStart w:id="258" w:name="_Caption7401"/>
            <w:bookmarkStart w:id="259" w:name="_Caption8325"/>
            <w:bookmarkStart w:id="260" w:name="_Caption4975"/>
            <w:bookmarkStart w:id="261" w:name="_Caption9243"/>
            <w:bookmarkStart w:id="262" w:name="_Caption9413"/>
            <w:bookmarkStart w:id="263" w:name="_Caption4783"/>
            <w:bookmarkStart w:id="264" w:name="_Caption7434"/>
            <w:bookmarkStart w:id="265" w:name="_Caption3550"/>
            <w:bookmarkStart w:id="266" w:name="_Caption3007"/>
            <w:bookmarkStart w:id="267" w:name="_Caption5654"/>
            <w:bookmarkStart w:id="268" w:name="_Caption3230"/>
            <w:bookmarkStart w:id="269" w:name="_Caption2644"/>
            <w:bookmarkStart w:id="270" w:name="_Caption4525"/>
            <w:bookmarkStart w:id="271" w:name="_Caption8690"/>
            <w:bookmarkStart w:id="272" w:name="_Caption2714"/>
            <w:bookmarkStart w:id="273" w:name="_Caption6617"/>
            <w:bookmarkStart w:id="274" w:name="_Caption4999"/>
            <w:bookmarkStart w:id="275" w:name="_Caption2083"/>
            <w:bookmarkStart w:id="276" w:name="_Caption5916"/>
            <w:bookmarkStart w:id="277" w:name="_Caption0434"/>
            <w:bookmarkStart w:id="278" w:name="_Caption4492"/>
            <w:bookmarkStart w:id="279" w:name="_Caption4248"/>
            <w:bookmarkStart w:id="280" w:name="_Caption3943"/>
            <w:bookmarkStart w:id="281" w:name="_Caption3599"/>
            <w:bookmarkStart w:id="282" w:name="_Caption4837"/>
            <w:bookmarkStart w:id="283" w:name="_Caption2141"/>
            <w:bookmarkStart w:id="284" w:name="_Caption0967"/>
            <w:bookmarkStart w:id="285" w:name="_Caption5133"/>
            <w:bookmarkStart w:id="286" w:name="_Caption1737"/>
            <w:bookmarkStart w:id="287" w:name="_Caption4946"/>
            <w:bookmarkStart w:id="288" w:name="_Caption8841"/>
            <w:bookmarkStart w:id="289" w:name="_Caption5477"/>
            <w:bookmarkStart w:id="290" w:name="_Caption6573"/>
            <w:bookmarkStart w:id="291" w:name="_Caption6674"/>
            <w:bookmarkStart w:id="292" w:name="_Caption3123"/>
            <w:bookmarkStart w:id="293" w:name="_Caption4538"/>
            <w:bookmarkStart w:id="294" w:name="_Caption2833"/>
            <w:bookmarkStart w:id="295" w:name="_Caption9575"/>
            <w:bookmarkStart w:id="296" w:name="_Caption5014"/>
            <w:bookmarkStart w:id="297" w:name="_Caption7856"/>
            <w:bookmarkStart w:id="298" w:name="_Caption8652"/>
            <w:bookmarkStart w:id="299" w:name="_Caption6056"/>
            <w:bookmarkStart w:id="300" w:name="_Caption1286"/>
            <w:bookmarkStart w:id="301" w:name="_Toc44598482"/>
            <w:bookmarkStart w:id="302" w:name="_Toc45654113"/>
            <w:r w:rsidR="00272AF3">
              <w:rPr>
                <w:noProof/>
              </w:rPr>
              <w:t>1</w:t>
            </w:r>
            <w:r w:rsidR="00272AF3" w:rsidRPr="00E05C8C">
              <w:rPr>
                <w:noProof/>
              </w:rPr>
              <w:t>.</w:t>
            </w:r>
            <w:r w:rsidR="00272AF3">
              <w:rPr>
                <w:noProof/>
              </w:rPr>
              <w:t>1</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E05C8C">
              <w:fldChar w:fldCharType="end"/>
            </w:r>
            <w:r w:rsidRPr="00E05C8C">
              <w:tab/>
            </w:r>
            <w:r>
              <w:t>United Nations Convention on the Rights of Persons with Disabilities</w:t>
            </w:r>
            <w:bookmarkEnd w:id="301"/>
            <w:bookmarkEnd w:id="302"/>
          </w:p>
        </w:tc>
      </w:tr>
      <w:tr w:rsidR="007C6A5F" w:rsidTr="00B5160B">
        <w:tc>
          <w:tcPr>
            <w:tcW w:w="7938" w:type="dxa"/>
            <w:tcBorders>
              <w:bottom w:val="single" w:sz="4" w:space="0" w:color="9B917E" w:themeColor="accent4"/>
            </w:tcBorders>
            <w:shd w:val="clear" w:color="auto" w:fill="E9E8E5" w:themeFill="background2"/>
          </w:tcPr>
          <w:p w:rsidR="007C6A5F" w:rsidRDefault="007C6A5F" w:rsidP="00C36DA4">
            <w:pPr>
              <w:pStyle w:val="BodyText"/>
            </w:pPr>
            <w:r>
              <w:t>As set out in the AHRC submission to ABCB’s Options Paper,</w:t>
            </w:r>
            <w:r>
              <w:rPr>
                <w:rStyle w:val="FootnoteReference"/>
              </w:rPr>
              <w:footnoteReference w:id="8"/>
            </w:r>
            <w:r>
              <w:t xml:space="preserve"> the general principles of the Convention on the Rights of Persons with Disabilities (set out in Article 3) that are relevant to housing include:</w:t>
            </w:r>
          </w:p>
          <w:p w:rsidR="007C6A5F" w:rsidRDefault="007C6A5F" w:rsidP="005A6F87">
            <w:pPr>
              <w:pStyle w:val="ListBullet"/>
              <w:numPr>
                <w:ilvl w:val="0"/>
                <w:numId w:val="17"/>
              </w:numPr>
            </w:pPr>
            <w:r>
              <w:t>full and effective participation and inclusion in society</w:t>
            </w:r>
          </w:p>
          <w:p w:rsidR="007C6A5F" w:rsidRDefault="007C6A5F" w:rsidP="005A6F87">
            <w:pPr>
              <w:pStyle w:val="ListBullet"/>
              <w:numPr>
                <w:ilvl w:val="0"/>
                <w:numId w:val="17"/>
              </w:numPr>
            </w:pPr>
            <w:r>
              <w:t>respect for difference and acceptance of persons with disabilities as part of human diversity and humanity</w:t>
            </w:r>
          </w:p>
          <w:p w:rsidR="007C6A5F" w:rsidRDefault="007C6A5F" w:rsidP="005A6F87">
            <w:pPr>
              <w:pStyle w:val="ListBullet"/>
              <w:numPr>
                <w:ilvl w:val="0"/>
                <w:numId w:val="17"/>
              </w:numPr>
            </w:pPr>
            <w:r>
              <w:t>equality of opportunity</w:t>
            </w:r>
          </w:p>
          <w:p w:rsidR="007C6A5F" w:rsidRDefault="007C6A5F" w:rsidP="005A6F87">
            <w:pPr>
              <w:pStyle w:val="ListBullet"/>
              <w:numPr>
                <w:ilvl w:val="0"/>
                <w:numId w:val="17"/>
              </w:numPr>
            </w:pPr>
            <w:r>
              <w:t>accessibility.</w:t>
            </w:r>
          </w:p>
          <w:p w:rsidR="007C6A5F" w:rsidRDefault="007C6A5F" w:rsidP="00C36DA4">
            <w:pPr>
              <w:pStyle w:val="BodyText"/>
            </w:pPr>
            <w:r>
              <w:t>The AHRC also noted in its submission other relevant articles of the CPRD:</w:t>
            </w:r>
            <w:r>
              <w:rPr>
                <w:rStyle w:val="FootnoteReference"/>
              </w:rPr>
              <w:footnoteReference w:id="9"/>
            </w:r>
          </w:p>
          <w:p w:rsidR="007C6A5F" w:rsidRDefault="007C6A5F" w:rsidP="005A6F87">
            <w:pPr>
              <w:pStyle w:val="ListBullet"/>
              <w:numPr>
                <w:ilvl w:val="0"/>
                <w:numId w:val="17"/>
              </w:numPr>
            </w:pPr>
            <w:r>
              <w:t>State Parties (under Article 4(f)),</w:t>
            </w:r>
            <w:r w:rsidR="00A85C7A">
              <w:t xml:space="preserve"> </w:t>
            </w:r>
            <w:r>
              <w:t>undertake to:</w:t>
            </w:r>
          </w:p>
          <w:p w:rsidR="007C6A5F" w:rsidRDefault="007C6A5F" w:rsidP="005A6F87">
            <w:pPr>
              <w:pStyle w:val="ListBullet2"/>
              <w:numPr>
                <w:ilvl w:val="1"/>
                <w:numId w:val="17"/>
              </w:numPr>
              <w:ind w:left="568" w:hanging="284"/>
            </w:pPr>
            <w:r>
              <w:t>promote research and development of universally designed goods, services, equipment and facilities which should require the minimum possible adaptation and the least cost to meet the specific needs of a person with disabilities</w:t>
            </w:r>
          </w:p>
          <w:p w:rsidR="007C6A5F" w:rsidRDefault="007C6A5F" w:rsidP="005A6F87">
            <w:pPr>
              <w:pStyle w:val="ListBullet2"/>
              <w:numPr>
                <w:ilvl w:val="1"/>
                <w:numId w:val="17"/>
              </w:numPr>
              <w:ind w:left="568" w:hanging="284"/>
            </w:pPr>
            <w:r>
              <w:t>promote universal design in the development of standards and guidelines.</w:t>
            </w:r>
          </w:p>
          <w:p w:rsidR="007C6A5F" w:rsidRDefault="007C6A5F" w:rsidP="005A6F87">
            <w:pPr>
              <w:pStyle w:val="ListBullet"/>
              <w:numPr>
                <w:ilvl w:val="0"/>
                <w:numId w:val="17"/>
              </w:numPr>
            </w:pPr>
            <w:r>
              <w:t>State Parties shall take appropriate measures to ensure persons with disabilities have access to, on an equal basis with others, the physical environment, including housing. These measures shall include the identification and elimination of obstacles and barriers to accessibility (Article 9).</w:t>
            </w:r>
          </w:p>
          <w:p w:rsidR="007C6A5F" w:rsidRPr="00BF2F67" w:rsidRDefault="007C6A5F" w:rsidP="00AD487F">
            <w:pPr>
              <w:pStyle w:val="ListBullet"/>
              <w:numPr>
                <w:ilvl w:val="0"/>
                <w:numId w:val="17"/>
              </w:numPr>
              <w:spacing w:after="120"/>
            </w:pPr>
            <w:r>
              <w:t>State Parties recognise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 This will include by ensuring that persons with disabilities have the opportunity to choose their place of residence and where and with whom they live on an equal basis with others and are not obliged to live in a particular living arrangement (Article 19).</w:t>
            </w:r>
          </w:p>
        </w:tc>
      </w:tr>
      <w:tr w:rsidR="007C6A5F" w:rsidTr="00B5160B">
        <w:trPr>
          <w:trHeight w:hRule="exact" w:val="142"/>
        </w:trPr>
        <w:tc>
          <w:tcPr>
            <w:tcW w:w="7938" w:type="dxa"/>
            <w:tcBorders>
              <w:top w:val="single" w:sz="4" w:space="0" w:color="9B917E" w:themeColor="accent4"/>
            </w:tcBorders>
          </w:tcPr>
          <w:p w:rsidR="007C6A5F" w:rsidRDefault="007C6A5F" w:rsidP="00C36DA4"/>
        </w:tc>
      </w:tr>
      <w:tr w:rsidR="007C6A5F" w:rsidTr="002E1A6C">
        <w:trPr>
          <w:trHeight w:hRule="exact" w:val="198"/>
        </w:trPr>
        <w:tc>
          <w:tcPr>
            <w:tcW w:w="7938" w:type="dxa"/>
          </w:tcPr>
          <w:p w:rsidR="007C6A5F" w:rsidRDefault="007C6A5F" w:rsidP="00C36DA4"/>
        </w:tc>
      </w:tr>
    </w:tbl>
    <w:p w:rsidR="007C6A5F" w:rsidRDefault="007C6A5F" w:rsidP="007C6A5F">
      <w:pPr>
        <w:pStyle w:val="BodyText"/>
      </w:pPr>
      <w:r>
        <w:t>In mid</w:t>
      </w:r>
      <w:r>
        <w:noBreakHyphen/>
        <w:t>2017, the Prime Minister, on behalf of the Building Ministers’ Forum (BMF), proposed to the Council of Australian Governments (COAG) that a national Regulation Impact Statement (RIS) be prepared to consider applying a minimum accessibility standard for private new dwellings in Australia through the National Construction Code (NCC).</w:t>
      </w:r>
      <w:r>
        <w:rPr>
          <w:rStyle w:val="FootnoteReference"/>
        </w:rPr>
        <w:footnoteReference w:id="10"/>
      </w:r>
      <w:r>
        <w:t xml:space="preserve"> This was subsequently agreed by COAG. The BMF confirmed in October 2017 that the RIS would</w:t>
      </w:r>
      <w:r w:rsidRPr="00FC6926">
        <w:t>, in consultation with Disability Ministers, examine the silver and gold performance levels as options for a minimum accessible standard; use a sensitivity approach; and be informed by appropriate case studies.</w:t>
      </w:r>
      <w:r>
        <w:t xml:space="preserve"> The BMF agreed the analysis will take into consideration the relevant policy objectives such as the National Disability Strategy (NDS), enabling ageing in place, reducing social exclusion and any reduction in providing specialist accommodation.</w:t>
      </w:r>
    </w:p>
    <w:p w:rsidR="007C6A5F" w:rsidRDefault="007C6A5F" w:rsidP="007C6A5F">
      <w:pPr>
        <w:spacing w:before="139" w:line="280" w:lineRule="exact"/>
        <w:ind w:right="72"/>
        <w:textAlignment w:val="baseline"/>
        <w:rPr>
          <w:rFonts w:eastAsia="Calisto MT"/>
          <w:color w:val="000000"/>
          <w:lang w:val="en-US"/>
        </w:rPr>
      </w:pPr>
      <w:r>
        <w:rPr>
          <w:rFonts w:eastAsia="Calisto MT"/>
          <w:color w:val="000000"/>
          <w:lang w:val="en-US"/>
        </w:rPr>
        <w:lastRenderedPageBreak/>
        <w:t xml:space="preserve">The accessibility of housing in Australia was recently raised by the Committee on the Rights of Persons with Disabilities (the Committee) in its Concluding Observations on the combined second and third periodic reports of Australia (Concluding Observations), following Australia’s appearance before the Committee in September 2019. Concluding Observations are non-binding recommendations that do not extend or amend Australia’s obligations under the CRPD. In its Concluding Observations the Committee expressed concerns about the significant proportion of existing inaccessible built environment and the lack of mandated national access requirements for housing in the National Construction Code. Furthermore, the Committee recommended that Australia amend its federal law to include mandatory rules on access for all new and extensively modified housing. </w:t>
      </w:r>
    </w:p>
    <w:p w:rsidR="007C6A5F" w:rsidRDefault="007C6A5F" w:rsidP="007C6A5F">
      <w:pPr>
        <w:spacing w:before="139" w:line="280" w:lineRule="exact"/>
        <w:ind w:right="72"/>
        <w:textAlignment w:val="baseline"/>
        <w:rPr>
          <w:rFonts w:eastAsia="Calisto MT"/>
          <w:lang w:val="en-US"/>
        </w:rPr>
      </w:pPr>
      <w:r>
        <w:rPr>
          <w:rFonts w:eastAsia="Calisto MT"/>
          <w:lang w:val="en-US"/>
        </w:rPr>
        <w:t>Consultations presented differing views on the extent to which Australia has a legal obligation to implement the Committee’s recommendations.</w:t>
      </w:r>
    </w:p>
    <w:p w:rsidR="007C6A5F" w:rsidRDefault="007C6A5F" w:rsidP="005A6F87">
      <w:pPr>
        <w:pStyle w:val="ListBullet"/>
        <w:numPr>
          <w:ilvl w:val="0"/>
          <w:numId w:val="17"/>
        </w:numPr>
        <w:rPr>
          <w:rFonts w:eastAsia="Calisto MT"/>
          <w:lang w:val="en-US"/>
        </w:rPr>
      </w:pPr>
      <w:r>
        <w:rPr>
          <w:rFonts w:eastAsia="Calisto MT"/>
          <w:lang w:val="en-US"/>
        </w:rPr>
        <w:t xml:space="preserve">According to the Australian Government, </w:t>
      </w:r>
      <w:r w:rsidRPr="00CE4947">
        <w:rPr>
          <w:rFonts w:eastAsia="Calisto MT"/>
          <w:lang w:val="en-US"/>
        </w:rPr>
        <w:t>the Committee’s recommendat</w:t>
      </w:r>
      <w:r w:rsidRPr="000D4919">
        <w:rPr>
          <w:rFonts w:eastAsia="Calisto MT"/>
          <w:lang w:val="en-US"/>
        </w:rPr>
        <w:t>ions (including those made as part of the Committee’s Concluding Observations in October 2019) are no</w:t>
      </w:r>
      <w:r>
        <w:rPr>
          <w:rFonts w:eastAsia="Calisto MT"/>
          <w:lang w:val="en-US"/>
        </w:rPr>
        <w:t xml:space="preserve">t legally </w:t>
      </w:r>
      <w:r w:rsidRPr="000D4919">
        <w:rPr>
          <w:rFonts w:eastAsia="Calisto MT"/>
          <w:lang w:val="en-US"/>
        </w:rPr>
        <w:t>binding</w:t>
      </w:r>
      <w:r w:rsidRPr="00F36A14">
        <w:rPr>
          <w:rFonts w:eastAsia="Calisto MT"/>
          <w:lang w:val="en-US"/>
        </w:rPr>
        <w:t xml:space="preserve"> rather the committee’s views in regard to how Australia is progressing with implementing treaty obligations</w:t>
      </w:r>
      <w:r w:rsidRPr="00661F9D">
        <w:rPr>
          <w:lang w:val="en-US"/>
        </w:rPr>
        <w:t>.</w:t>
      </w:r>
      <w:r w:rsidRPr="00105094">
        <w:rPr>
          <w:rStyle w:val="FootnoteReference"/>
          <w:rFonts w:eastAsia="Calisto MT"/>
          <w:lang w:val="en-US"/>
        </w:rPr>
        <w:t xml:space="preserve"> </w:t>
      </w:r>
      <w:r>
        <w:rPr>
          <w:rStyle w:val="FootnoteReference"/>
          <w:rFonts w:eastAsia="Calisto MT"/>
          <w:lang w:val="en-US"/>
        </w:rPr>
        <w:footnoteReference w:id="11"/>
      </w:r>
      <w:r>
        <w:rPr>
          <w:rFonts w:eastAsia="Calisto MT"/>
          <w:lang w:val="en-US"/>
        </w:rPr>
        <w:t xml:space="preserve"> Nevertheless, the Australian Government considers all recommendations of the Committee, with the RIS contributing to that process.</w:t>
      </w:r>
    </w:p>
    <w:p w:rsidR="007C6A5F" w:rsidRPr="00197F45" w:rsidRDefault="007C6A5F" w:rsidP="005A6F87">
      <w:pPr>
        <w:pStyle w:val="ListBullet"/>
        <w:numPr>
          <w:ilvl w:val="0"/>
          <w:numId w:val="17"/>
        </w:numPr>
        <w:rPr>
          <w:lang w:val="en-US"/>
        </w:rPr>
      </w:pPr>
      <w:r>
        <w:rPr>
          <w:lang w:val="en-US"/>
        </w:rPr>
        <w:t>Several stakeholders advocated the view</w:t>
      </w:r>
      <w:r w:rsidRPr="00105094">
        <w:rPr>
          <w:lang w:val="en-US"/>
        </w:rPr>
        <w:t xml:space="preserve"> that Australia has a legal obligation under the CRPD to implement </w:t>
      </w:r>
      <w:r w:rsidRPr="0071650B">
        <w:rPr>
          <w:lang w:val="en-US"/>
        </w:rPr>
        <w:t>the Committee’s recommendations.</w:t>
      </w:r>
    </w:p>
    <w:p w:rsidR="007C6A5F" w:rsidRDefault="007C6A5F" w:rsidP="007C6A5F">
      <w:pPr>
        <w:pStyle w:val="Heading3"/>
        <w:numPr>
          <w:ilvl w:val="2"/>
          <w:numId w:val="5"/>
        </w:numPr>
      </w:pPr>
      <w:r>
        <w:t>Development of the proposal and stakeholder consultation</w:t>
      </w:r>
    </w:p>
    <w:p w:rsidR="007C6A5F" w:rsidRPr="00A11D37" w:rsidRDefault="007C6A5F" w:rsidP="007C6A5F">
      <w:pPr>
        <w:pStyle w:val="BodyText"/>
      </w:pPr>
      <w:r w:rsidRPr="00A11D37">
        <w:t>In September 2018, ABCB released an Options Paper, which set out a preliminary menu of options and costings to seek broader community and industry input, refine the details of the objectives, options and terminology that will be considered in a formal RIS. ABCB consulted widely with stakeholders, through:</w:t>
      </w:r>
    </w:p>
    <w:p w:rsidR="007C6A5F" w:rsidRDefault="007C6A5F" w:rsidP="005A6F87">
      <w:pPr>
        <w:pStyle w:val="ListBullet"/>
        <w:numPr>
          <w:ilvl w:val="0"/>
          <w:numId w:val="17"/>
        </w:numPr>
      </w:pPr>
      <w:r>
        <w:t>consultation forums — ABCB held consultation forums in each capital city during October and November 2018</w:t>
      </w:r>
    </w:p>
    <w:p w:rsidR="007C6A5F" w:rsidRDefault="007C6A5F" w:rsidP="005A6F87">
      <w:pPr>
        <w:pStyle w:val="ListBullet"/>
        <w:numPr>
          <w:ilvl w:val="0"/>
          <w:numId w:val="17"/>
        </w:numPr>
      </w:pPr>
      <w:r>
        <w:t>written stakeholder submissions — ABCB received 179 submissions from a wide range of organisations and individuals between September 19 and 30 November 2018.</w:t>
      </w:r>
    </w:p>
    <w:p w:rsidR="007C6A5F" w:rsidRDefault="007C6A5F" w:rsidP="007C6A5F">
      <w:pPr>
        <w:pStyle w:val="BodyText"/>
      </w:pPr>
      <w:r>
        <w:t>ABCB released a Consultation Outcomes Report summarising stakeholder feedback on the Options Paper in April 2019 and related matters.</w:t>
      </w:r>
    </w:p>
    <w:p w:rsidR="007C6A5F" w:rsidRDefault="007C6A5F" w:rsidP="007C6A5F">
      <w:pPr>
        <w:pStyle w:val="BodyText"/>
      </w:pPr>
      <w:r>
        <w:t>ABCB has subsequently developed a formal proposal, including 3 options for minimum accessibility standards for Class 1a (houses) and Class 2 (apartments) dwellings that broadly align with the Livable Housing Design Guidelines (LHDG) produced by Livable Housing Australia. Other accommodation types are not considered in scope on the basis that they are subject to D3.1 of NCC Volume One, or are for specific purposes such as caretaker’s residences.</w:t>
      </w:r>
    </w:p>
    <w:p w:rsidR="007C6A5F" w:rsidRDefault="007C6A5F" w:rsidP="005A6F87">
      <w:pPr>
        <w:pStyle w:val="ListBullet"/>
        <w:numPr>
          <w:ilvl w:val="0"/>
          <w:numId w:val="17"/>
        </w:numPr>
      </w:pPr>
      <w:r>
        <w:t>Option 1 is based on the LHDG silver standard</w:t>
      </w:r>
    </w:p>
    <w:p w:rsidR="007C6A5F" w:rsidRDefault="007C6A5F" w:rsidP="005A6F87">
      <w:pPr>
        <w:pStyle w:val="ListBullet"/>
        <w:numPr>
          <w:ilvl w:val="0"/>
          <w:numId w:val="17"/>
        </w:numPr>
      </w:pPr>
      <w:r>
        <w:lastRenderedPageBreak/>
        <w:t>Option 2 is based on the LHDG gold standard</w:t>
      </w:r>
    </w:p>
    <w:p w:rsidR="007C6A5F" w:rsidRDefault="007C6A5F" w:rsidP="005A6F87">
      <w:pPr>
        <w:pStyle w:val="ListBullet"/>
        <w:numPr>
          <w:ilvl w:val="0"/>
          <w:numId w:val="17"/>
        </w:numPr>
      </w:pPr>
      <w:r>
        <w:t>Option 3 is based on the LHDG gold standard, plus some additional features from the platinum standard.</w:t>
      </w:r>
    </w:p>
    <w:p w:rsidR="007C6A5F" w:rsidRPr="00806AAD" w:rsidRDefault="007C6A5F" w:rsidP="007C6A5F">
      <w:pPr>
        <w:pStyle w:val="BodyText"/>
      </w:pPr>
      <w:r>
        <w:t>The proposals were refined based on feedback from the Options Paper and underwent further period of technical review with a reference group comprised of Building Codes Committee members and other experts, resulting in a final proposal for public consultation. Reference group membership includes:</w:t>
      </w:r>
    </w:p>
    <w:p w:rsidR="007C6A5F" w:rsidRPr="00FC6926" w:rsidRDefault="007C6A5F" w:rsidP="005A6F87">
      <w:pPr>
        <w:pStyle w:val="ListBullet"/>
        <w:numPr>
          <w:ilvl w:val="0"/>
          <w:numId w:val="17"/>
        </w:numPr>
      </w:pPr>
      <w:r w:rsidRPr="00FC6926">
        <w:t>Australian Institute of Architects (AIA)</w:t>
      </w:r>
    </w:p>
    <w:p w:rsidR="007C6A5F" w:rsidRPr="00FC6926" w:rsidRDefault="007C6A5F" w:rsidP="005A6F87">
      <w:pPr>
        <w:pStyle w:val="ListBullet"/>
        <w:numPr>
          <w:ilvl w:val="0"/>
          <w:numId w:val="17"/>
        </w:numPr>
      </w:pPr>
      <w:r w:rsidRPr="00FC6926">
        <w:t>Australian Institute of Building Surveyors (AIBS)</w:t>
      </w:r>
    </w:p>
    <w:p w:rsidR="007C6A5F" w:rsidRPr="00FC6926" w:rsidRDefault="007C6A5F" w:rsidP="005A6F87">
      <w:pPr>
        <w:pStyle w:val="ListBullet"/>
        <w:numPr>
          <w:ilvl w:val="0"/>
          <w:numId w:val="17"/>
        </w:numPr>
      </w:pPr>
      <w:r w:rsidRPr="00FC6926">
        <w:t>Housing Industry Association (HIA)</w:t>
      </w:r>
    </w:p>
    <w:p w:rsidR="007C6A5F" w:rsidRPr="00FC6926" w:rsidRDefault="007C6A5F" w:rsidP="005A6F87">
      <w:pPr>
        <w:pStyle w:val="ListBullet"/>
        <w:numPr>
          <w:ilvl w:val="0"/>
          <w:numId w:val="17"/>
        </w:numPr>
      </w:pPr>
      <w:r w:rsidRPr="00FC6926">
        <w:t>Master Builders Australia (MBA)</w:t>
      </w:r>
    </w:p>
    <w:p w:rsidR="007C6A5F" w:rsidRPr="00FC6926" w:rsidRDefault="007C6A5F" w:rsidP="005A6F87">
      <w:pPr>
        <w:pStyle w:val="ListBullet"/>
        <w:numPr>
          <w:ilvl w:val="0"/>
          <w:numId w:val="17"/>
        </w:numPr>
      </w:pPr>
      <w:r>
        <w:t>Two a</w:t>
      </w:r>
      <w:r w:rsidRPr="00FC6926">
        <w:t>ccess</w:t>
      </w:r>
      <w:r>
        <w:t>ibility</w:t>
      </w:r>
      <w:r w:rsidRPr="00FC6926">
        <w:t xml:space="preserve"> </w:t>
      </w:r>
      <w:r>
        <w:t>c</w:t>
      </w:r>
      <w:r w:rsidRPr="00FC6926">
        <w:t>onsultant</w:t>
      </w:r>
      <w:r>
        <w:t>s.</w:t>
      </w:r>
    </w:p>
    <w:p w:rsidR="007C6A5F" w:rsidRDefault="007C6A5F" w:rsidP="007C6A5F">
      <w:pPr>
        <w:pStyle w:val="Heading3"/>
        <w:numPr>
          <w:ilvl w:val="2"/>
          <w:numId w:val="5"/>
        </w:numPr>
      </w:pPr>
      <w:bookmarkStart w:id="303" w:name="_Toc22117098"/>
      <w:r>
        <w:t>The RIS process</w:t>
      </w:r>
      <w:bookmarkEnd w:id="303"/>
    </w:p>
    <w:p w:rsidR="007C6A5F" w:rsidRDefault="007C6A5F" w:rsidP="007C6A5F">
      <w:pPr>
        <w:pStyle w:val="BodyText"/>
      </w:pPr>
      <w:r>
        <w:t xml:space="preserve">As with all proposals to change the NCC, the proposal must go through the RIS process. ABCB has engaged the Centre for International Economics (CIE) to prepare a Regulation Impact Statement (RIS). This included a program of targeted consultation </w:t>
      </w:r>
      <w:r w:rsidRPr="00ED3139">
        <w:t xml:space="preserve">with </w:t>
      </w:r>
      <w:r>
        <w:t>21 stakeholders</w:t>
      </w:r>
      <w:r w:rsidRPr="00650283">
        <w:t xml:space="preserve"> </w:t>
      </w:r>
      <w:r>
        <w:t>covering advocacy groups, industry, governments to establish the current body of knowledge on the nature and extent of the problem and feasible policy alternatives.</w:t>
      </w:r>
    </w:p>
    <w:p w:rsidR="007C6A5F" w:rsidRDefault="007C6A5F" w:rsidP="007C6A5F">
      <w:pPr>
        <w:pStyle w:val="BodyText"/>
      </w:pPr>
      <w:r>
        <w:t>The RIS process is designed to ensure that regulatory decisions are consistent with the Principles of Best Practice Regulation agreed by COAG (box </w:t>
      </w:r>
      <w:r>
        <w:rPr>
          <w:noProof/>
        </w:rPr>
        <w:fldChar w:fldCharType="begin"/>
      </w:r>
      <w:r>
        <w:rPr>
          <w:noProof/>
        </w:rPr>
        <w:instrText xml:space="preserve"> REF _Caption3688 </w:instrText>
      </w:r>
      <w:r>
        <w:rPr>
          <w:noProof/>
        </w:rPr>
        <w:fldChar w:fldCharType="separate"/>
      </w:r>
      <w:r>
        <w:rPr>
          <w:noProof/>
        </w:rPr>
        <w:t>1</w:t>
      </w:r>
      <w:r w:rsidRPr="00E05C8C">
        <w:rPr>
          <w:noProof/>
        </w:rPr>
        <w:t>.</w:t>
      </w:r>
      <w:r>
        <w:rPr>
          <w:noProof/>
        </w:rPr>
        <w:t>2</w:t>
      </w:r>
      <w:r>
        <w:rPr>
          <w:noProof/>
        </w:rPr>
        <w:fldChar w:fldCharType="end"/>
      </w:r>
      <w:r>
        <w:t>).</w:t>
      </w:r>
    </w:p>
    <w:p w:rsidR="007C6A5F" w:rsidRDefault="007C6A5F" w:rsidP="007C6A5F">
      <w:pPr>
        <w:pStyle w:val="Invisiblepara"/>
      </w:pPr>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Box 1.2"/>
        <w:tblDescription w:val="Principles of Best Practice Regulation"/>
      </w:tblPr>
      <w:tblGrid>
        <w:gridCol w:w="7938"/>
      </w:tblGrid>
      <w:tr w:rsidR="007C6A5F" w:rsidRPr="00E05C8C" w:rsidTr="00D87F1F">
        <w:trPr>
          <w:tblHeader/>
        </w:trPr>
        <w:tc>
          <w:tcPr>
            <w:tcW w:w="7938" w:type="dxa"/>
            <w:shd w:val="clear" w:color="auto" w:fill="C6BFAB" w:themeFill="accent3"/>
          </w:tcPr>
          <w:bookmarkStart w:id="304" w:name="_Toc32321790"/>
          <w:bookmarkStart w:id="305" w:name="_Caption9188"/>
          <w:bookmarkStart w:id="306" w:name="_Caption2074"/>
          <w:p w:rsidR="007C6A5F" w:rsidRPr="00E05C8C" w:rsidRDefault="007C6A5F" w:rsidP="005A6F87">
            <w:pPr>
              <w:pStyle w:val="Caption"/>
              <w:numPr>
                <w:ilvl w:val="0"/>
                <w:numId w:val="13"/>
              </w:numPr>
              <w:spacing w:before="120" w:after="100"/>
            </w:pPr>
            <w:r w:rsidRPr="00E05C8C">
              <w:fldChar w:fldCharType="begin"/>
            </w:r>
            <w:bookmarkEnd w:id="304"/>
            <w:bookmarkEnd w:id="305"/>
            <w:bookmarkEnd w:id="306"/>
            <w:r w:rsidRPr="00E05C8C">
              <w:instrText xml:space="preserve"> IF 1 = 1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1</w:instrText>
            </w:r>
            <w:r>
              <w:rPr>
                <w:noProof/>
              </w:rPr>
              <w:fldChar w:fldCharType="end"/>
            </w:r>
            <w:r w:rsidRPr="00E05C8C">
              <w:instrText xml:space="preserve"> = 0 "" "</w:instrText>
            </w:r>
            <w:r>
              <w:rPr>
                <w:noProof/>
              </w:rPr>
              <w:fldChar w:fldCharType="begin"/>
            </w:r>
            <w:r>
              <w:rPr>
                <w:noProof/>
              </w:rPr>
              <w:instrText xml:space="preserve"> STYLEREF "Heading 1" \l \n </w:instrText>
            </w:r>
            <w:r>
              <w:rPr>
                <w:noProof/>
              </w:rPr>
              <w:fldChar w:fldCharType="separate"/>
            </w:r>
            <w:r>
              <w:rPr>
                <w:noProof/>
              </w:rPr>
              <w:instrText>1</w:instrText>
            </w:r>
            <w:r>
              <w:rPr>
                <w:noProof/>
              </w:rPr>
              <w:fldChar w:fldCharType="end"/>
            </w:r>
            <w:r w:rsidRPr="00E05C8C">
              <w:instrText xml:space="preserve">." </w:instrText>
            </w:r>
            <w:r w:rsidRPr="00E05C8C">
              <w:fldChar w:fldCharType="separate"/>
            </w:r>
            <w:r>
              <w:rPr>
                <w:noProof/>
              </w:rPr>
              <w:instrText>1</w:instrText>
            </w:r>
            <w:r w:rsidRPr="00E05C8C">
              <w:rPr>
                <w:noProof/>
              </w:rPr>
              <w:instrText>.</w:instrText>
            </w:r>
            <w:r w:rsidRPr="00E05C8C">
              <w:fldChar w:fldCharType="end"/>
            </w:r>
            <w:r w:rsidRPr="00E05C8C">
              <w:instrText>" "</w:instrText>
            </w:r>
            <w:r w:rsidR="00F56BFF">
              <w:fldChar w:fldCharType="begin"/>
            </w:r>
            <w:r w:rsidR="00F56BFF">
              <w:instrText xml:space="preserve"> STYLEREF "Heading 6" \l \n </w:instrText>
            </w:r>
            <w:r w:rsidR="00F56BFF">
              <w:fldChar w:fldCharType="separate"/>
            </w:r>
            <w:r w:rsidRPr="00E05C8C">
              <w:instrText>B</w:instrText>
            </w:r>
            <w:r w:rsidR="00F56BFF">
              <w:fldChar w:fldCharType="end"/>
            </w:r>
            <w:r w:rsidRPr="00E05C8C">
              <w:instrText xml:space="preserve">." </w:instrText>
            </w:r>
            <w:r w:rsidRPr="00E05C8C">
              <w:fldChar w:fldCharType="separate"/>
            </w:r>
            <w:r w:rsidR="00272AF3">
              <w:rPr>
                <w:noProof/>
              </w:rPr>
              <w:instrText>1</w:instrText>
            </w:r>
            <w:r w:rsidR="00272AF3"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1</w:instrText>
            </w:r>
            <w:r>
              <w:rPr>
                <w:noProof/>
              </w:rPr>
              <w:fldChar w:fldCharType="end"/>
            </w:r>
            <w:r w:rsidRPr="00E05C8C">
              <w:instrText xml:space="preserve"> = 0 "" "1" </w:instrText>
            </w:r>
            <w:r w:rsidRPr="00E05C8C">
              <w:fldChar w:fldCharType="separate"/>
            </w:r>
            <w:r w:rsidR="00272AF3" w:rsidRPr="00E05C8C">
              <w:rPr>
                <w:noProof/>
              </w:rPr>
              <w:instrText>1</w:instrText>
            </w:r>
            <w:r w:rsidRPr="00E05C8C">
              <w:fldChar w:fldCharType="end"/>
            </w:r>
            <w:r w:rsidRPr="00E05C8C">
              <w:instrText xml:space="preserve">" "6" </w:instrText>
            </w:r>
            <w:r w:rsidRPr="00E05C8C">
              <w:fldChar w:fldCharType="separate"/>
            </w:r>
            <w:r w:rsidR="00272AF3" w:rsidRPr="00E05C8C">
              <w:rPr>
                <w:noProof/>
              </w:rPr>
              <w:instrText>1</w:instrText>
            </w:r>
            <w:r w:rsidRPr="00E05C8C">
              <w:fldChar w:fldCharType="end"/>
            </w:r>
            <w:r w:rsidRPr="00E05C8C">
              <w:instrText xml:space="preserve"> </w:instrText>
            </w:r>
            <w:r w:rsidRPr="00E05C8C">
              <w:fldChar w:fldCharType="separate"/>
            </w:r>
            <w:r>
              <w:rPr>
                <w:noProof/>
              </w:rPr>
              <w:instrText>2</w:instrText>
            </w:r>
            <w:r w:rsidRPr="00E05C8C">
              <w:fldChar w:fldCharType="end"/>
            </w:r>
            <w:r w:rsidRPr="00E05C8C">
              <w:instrText xml:space="preserve">" "" </w:instrText>
            </w:r>
            <w:r w:rsidRPr="00E05C8C">
              <w:fldChar w:fldCharType="separate"/>
            </w:r>
            <w:bookmarkStart w:id="307" w:name="_Caption4534"/>
            <w:bookmarkStart w:id="308" w:name="_Caption3207"/>
            <w:bookmarkStart w:id="309" w:name="_Caption7563"/>
            <w:bookmarkStart w:id="310" w:name="_Caption2480"/>
            <w:bookmarkStart w:id="311" w:name="_Caption5394"/>
            <w:bookmarkStart w:id="312" w:name="_Caption2998"/>
            <w:bookmarkStart w:id="313" w:name="_Caption0770"/>
            <w:bookmarkStart w:id="314" w:name="_Caption0903"/>
            <w:bookmarkStart w:id="315" w:name="_Caption4051"/>
            <w:bookmarkStart w:id="316" w:name="_Caption7443"/>
            <w:bookmarkStart w:id="317" w:name="_Caption5991"/>
            <w:bookmarkStart w:id="318" w:name="_Caption2782"/>
            <w:bookmarkStart w:id="319" w:name="_Caption4606"/>
            <w:bookmarkStart w:id="320" w:name="_Caption1179"/>
            <w:bookmarkStart w:id="321" w:name="_Caption2072"/>
            <w:bookmarkStart w:id="322" w:name="_Caption9643"/>
            <w:bookmarkStart w:id="323" w:name="_Caption5729"/>
            <w:bookmarkStart w:id="324" w:name="_Caption2673"/>
            <w:bookmarkStart w:id="325" w:name="_Caption2848"/>
            <w:bookmarkStart w:id="326" w:name="_Caption8726"/>
            <w:bookmarkStart w:id="327" w:name="_Caption4762"/>
            <w:bookmarkStart w:id="328" w:name="_Caption9179"/>
            <w:bookmarkStart w:id="329" w:name="_Caption9850"/>
            <w:bookmarkStart w:id="330" w:name="_Caption3096"/>
            <w:bookmarkStart w:id="331" w:name="_Caption0477"/>
            <w:bookmarkStart w:id="332" w:name="_Caption2986"/>
            <w:bookmarkStart w:id="333" w:name="_Caption8212"/>
            <w:bookmarkStart w:id="334" w:name="_Caption5472"/>
            <w:bookmarkStart w:id="335" w:name="_Caption9090"/>
            <w:bookmarkStart w:id="336" w:name="_Caption0195"/>
            <w:bookmarkStart w:id="337" w:name="_Caption6808"/>
            <w:bookmarkStart w:id="338" w:name="_Caption9657"/>
            <w:bookmarkStart w:id="339" w:name="_Caption0610"/>
            <w:bookmarkStart w:id="340" w:name="_Caption4742"/>
            <w:bookmarkStart w:id="341" w:name="_Caption4015"/>
            <w:bookmarkStart w:id="342" w:name="_Caption1568"/>
            <w:bookmarkStart w:id="343" w:name="_Caption5537"/>
            <w:bookmarkStart w:id="344" w:name="_Caption2017"/>
            <w:bookmarkStart w:id="345" w:name="_Caption0117"/>
            <w:bookmarkStart w:id="346" w:name="_Caption6723"/>
            <w:bookmarkStart w:id="347" w:name="_Caption7957"/>
            <w:bookmarkStart w:id="348" w:name="_Caption1220"/>
            <w:bookmarkStart w:id="349" w:name="_Caption5734"/>
            <w:bookmarkStart w:id="350" w:name="_Caption8138"/>
            <w:bookmarkStart w:id="351" w:name="_Caption2191"/>
            <w:bookmarkStart w:id="352" w:name="_Caption6073"/>
            <w:bookmarkStart w:id="353" w:name="_Caption5670"/>
            <w:bookmarkStart w:id="354" w:name="_Caption7376"/>
            <w:bookmarkStart w:id="355" w:name="_Caption0776"/>
            <w:bookmarkStart w:id="356" w:name="_Caption2856"/>
            <w:bookmarkStart w:id="357" w:name="_Caption4385"/>
            <w:bookmarkStart w:id="358" w:name="_Caption8315"/>
            <w:bookmarkStart w:id="359" w:name="_Caption0849"/>
            <w:bookmarkStart w:id="360" w:name="_Caption5756"/>
            <w:bookmarkStart w:id="361" w:name="_Caption4805"/>
            <w:bookmarkStart w:id="362" w:name="_Caption3688"/>
            <w:bookmarkStart w:id="363" w:name="_Caption8213"/>
            <w:bookmarkStart w:id="364" w:name="_Caption8563"/>
            <w:bookmarkStart w:id="365" w:name="_Caption7207"/>
            <w:bookmarkStart w:id="366" w:name="_Caption4440"/>
            <w:bookmarkStart w:id="367" w:name="_Caption1867"/>
            <w:bookmarkStart w:id="368" w:name="_Caption9977"/>
            <w:bookmarkStart w:id="369" w:name="_Caption2032"/>
            <w:bookmarkStart w:id="370" w:name="_Caption1329"/>
            <w:bookmarkStart w:id="371" w:name="_Caption8401"/>
            <w:bookmarkStart w:id="372" w:name="_Caption0366"/>
            <w:bookmarkStart w:id="373" w:name="_Caption7728"/>
            <w:bookmarkStart w:id="374" w:name="_Caption7469"/>
            <w:bookmarkStart w:id="375" w:name="_Caption8339"/>
            <w:bookmarkStart w:id="376" w:name="_Caption9943"/>
            <w:bookmarkStart w:id="377" w:name="_Caption7782"/>
            <w:bookmarkStart w:id="378" w:name="_Caption2080"/>
            <w:bookmarkStart w:id="379" w:name="_Caption8835"/>
            <w:bookmarkStart w:id="380" w:name="_Caption5417"/>
            <w:bookmarkStart w:id="381" w:name="_Caption3773"/>
            <w:bookmarkStart w:id="382" w:name="_Caption3994"/>
            <w:bookmarkStart w:id="383" w:name="_Caption5876"/>
            <w:bookmarkStart w:id="384" w:name="_Caption2890"/>
            <w:bookmarkStart w:id="385" w:name="_Caption2877"/>
            <w:bookmarkStart w:id="386" w:name="_Caption4181"/>
            <w:bookmarkStart w:id="387" w:name="_Caption5962"/>
            <w:bookmarkStart w:id="388" w:name="_Caption4579"/>
            <w:bookmarkStart w:id="389" w:name="_Caption6616"/>
            <w:bookmarkStart w:id="390" w:name="_Caption8576"/>
            <w:bookmarkStart w:id="391" w:name="_Caption8300"/>
            <w:bookmarkStart w:id="392" w:name="_Caption5623"/>
            <w:bookmarkStart w:id="393" w:name="_Caption0749"/>
            <w:bookmarkStart w:id="394" w:name="_Caption7424"/>
            <w:bookmarkStart w:id="395" w:name="_Caption4409"/>
            <w:bookmarkStart w:id="396" w:name="_Caption1606"/>
            <w:bookmarkStart w:id="397" w:name="_Caption2356"/>
            <w:bookmarkStart w:id="398" w:name="_Caption9150"/>
            <w:bookmarkStart w:id="399" w:name="_Caption6793"/>
            <w:bookmarkStart w:id="400" w:name="_Caption0488"/>
            <w:bookmarkStart w:id="401" w:name="_Caption2710"/>
            <w:bookmarkStart w:id="402" w:name="_Caption3446"/>
            <w:bookmarkStart w:id="403" w:name="_Caption5652"/>
            <w:bookmarkStart w:id="404" w:name="_Caption3110"/>
            <w:bookmarkStart w:id="405" w:name="_Caption9505"/>
            <w:bookmarkStart w:id="406" w:name="_Caption7854"/>
            <w:bookmarkStart w:id="407" w:name="_Caption2553"/>
            <w:bookmarkStart w:id="408" w:name="_Caption8498"/>
            <w:bookmarkStart w:id="409" w:name="_Caption2058"/>
            <w:bookmarkStart w:id="410" w:name="_Caption5449"/>
            <w:bookmarkStart w:id="411" w:name="_Caption5353"/>
            <w:bookmarkStart w:id="412" w:name="_Caption7414"/>
            <w:bookmarkStart w:id="413" w:name="_Caption6123"/>
            <w:bookmarkStart w:id="414" w:name="_Caption8781"/>
            <w:bookmarkStart w:id="415" w:name="_Caption7398"/>
            <w:bookmarkStart w:id="416" w:name="_Caption6295"/>
            <w:bookmarkStart w:id="417" w:name="_Caption7071"/>
            <w:bookmarkStart w:id="418" w:name="_Caption2916"/>
            <w:bookmarkStart w:id="419" w:name="_Caption8838"/>
            <w:bookmarkStart w:id="420" w:name="_Caption4662"/>
            <w:bookmarkStart w:id="421" w:name="_Caption1786"/>
            <w:bookmarkStart w:id="422" w:name="_Caption4369"/>
            <w:bookmarkStart w:id="423" w:name="_Caption6908"/>
            <w:bookmarkStart w:id="424" w:name="_Caption8337"/>
            <w:bookmarkStart w:id="425" w:name="_Caption4960"/>
            <w:bookmarkStart w:id="426" w:name="_Caption1376"/>
            <w:bookmarkStart w:id="427" w:name="_Caption8725"/>
            <w:bookmarkStart w:id="428" w:name="_Caption5077"/>
            <w:bookmarkStart w:id="429" w:name="_Caption5411"/>
            <w:bookmarkStart w:id="430" w:name="_Caption5675"/>
            <w:bookmarkStart w:id="431" w:name="_Caption2151"/>
            <w:bookmarkStart w:id="432" w:name="_Caption3028"/>
            <w:bookmarkStart w:id="433" w:name="_Caption0505"/>
            <w:bookmarkStart w:id="434" w:name="_Caption8892"/>
            <w:bookmarkStart w:id="435" w:name="_Caption3538"/>
            <w:bookmarkStart w:id="436" w:name="_Caption3385"/>
            <w:bookmarkStart w:id="437" w:name="_Caption2169"/>
            <w:bookmarkStart w:id="438" w:name="_Caption6406"/>
            <w:bookmarkStart w:id="439" w:name="_Caption9982"/>
            <w:bookmarkStart w:id="440" w:name="_Caption6520"/>
            <w:bookmarkStart w:id="441" w:name="_Toc22117110"/>
            <w:bookmarkStart w:id="442" w:name="_Toc44598483"/>
            <w:bookmarkStart w:id="443" w:name="_Toc45654114"/>
            <w:r w:rsidR="00272AF3">
              <w:rPr>
                <w:noProof/>
              </w:rPr>
              <w:t>1</w:t>
            </w:r>
            <w:r w:rsidR="00272AF3" w:rsidRPr="00E05C8C">
              <w:rPr>
                <w:noProof/>
              </w:rPr>
              <w:t>.</w:t>
            </w:r>
            <w:r w:rsidR="00272AF3">
              <w:rPr>
                <w:noProof/>
              </w:rPr>
              <w:t>2</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E05C8C">
              <w:fldChar w:fldCharType="end"/>
            </w:r>
            <w:r w:rsidRPr="00E05C8C">
              <w:tab/>
            </w:r>
            <w:r>
              <w:t>Principles of Best Practice Regulation</w:t>
            </w:r>
            <w:r>
              <w:rPr>
                <w:rStyle w:val="FootnoteReference"/>
              </w:rPr>
              <w:footnoteReference w:id="12"/>
            </w:r>
            <w:bookmarkEnd w:id="441"/>
            <w:bookmarkEnd w:id="442"/>
            <w:bookmarkEnd w:id="443"/>
          </w:p>
        </w:tc>
      </w:tr>
      <w:tr w:rsidR="007C6A5F" w:rsidTr="00B5160B">
        <w:tc>
          <w:tcPr>
            <w:tcW w:w="7938" w:type="dxa"/>
            <w:tcBorders>
              <w:bottom w:val="single" w:sz="4" w:space="0" w:color="9B917E" w:themeColor="accent4"/>
            </w:tcBorders>
            <w:shd w:val="clear" w:color="auto" w:fill="E9E8E5"/>
          </w:tcPr>
          <w:p w:rsidR="007C6A5F" w:rsidRDefault="007C6A5F" w:rsidP="00C36DA4">
            <w:pPr>
              <w:pStyle w:val="BodyText"/>
              <w:spacing w:before="60"/>
            </w:pPr>
            <w:r>
              <w:t>COAG has agreed that all governments will ensure that regulatory processes in their jurisdiction are consistent with the following principles:</w:t>
            </w:r>
          </w:p>
          <w:p w:rsidR="007C6A5F" w:rsidRDefault="007C6A5F" w:rsidP="005A6F87">
            <w:pPr>
              <w:pStyle w:val="ListNumber"/>
              <w:numPr>
                <w:ilvl w:val="0"/>
                <w:numId w:val="10"/>
              </w:numPr>
            </w:pPr>
            <w:r>
              <w:t>establishing a case for action before addressing a problem</w:t>
            </w:r>
          </w:p>
          <w:p w:rsidR="007C6A5F" w:rsidRDefault="007C6A5F" w:rsidP="005A6F87">
            <w:pPr>
              <w:pStyle w:val="ListNumber"/>
              <w:numPr>
                <w:ilvl w:val="0"/>
                <w:numId w:val="10"/>
              </w:numPr>
            </w:pPr>
            <w:r>
              <w:t>a range of feasible policy options must be considered, including self-regulatory, co-regulatory and non-regulatory approaches, and their benefits and costs assessed</w:t>
            </w:r>
          </w:p>
          <w:p w:rsidR="007C6A5F" w:rsidRDefault="007C6A5F" w:rsidP="005A6F87">
            <w:pPr>
              <w:pStyle w:val="ListNumber"/>
              <w:numPr>
                <w:ilvl w:val="0"/>
                <w:numId w:val="10"/>
              </w:numPr>
            </w:pPr>
            <w:r>
              <w:t>adopting the option that generates the greatest net benefit for the community</w:t>
            </w:r>
          </w:p>
          <w:p w:rsidR="007C6A5F" w:rsidRDefault="007C6A5F" w:rsidP="005A6F87">
            <w:pPr>
              <w:pStyle w:val="ListNumber"/>
              <w:numPr>
                <w:ilvl w:val="0"/>
                <w:numId w:val="10"/>
              </w:numPr>
            </w:pPr>
            <w:r>
              <w:t xml:space="preserve">in accordance with the Competition Principles Agreement, legislation should not restrict competition unless it can be demonstrated that: </w:t>
            </w:r>
          </w:p>
          <w:p w:rsidR="007C6A5F" w:rsidRDefault="007C6A5F" w:rsidP="005A6F87">
            <w:pPr>
              <w:pStyle w:val="ListNumber2"/>
              <w:numPr>
                <w:ilvl w:val="1"/>
                <w:numId w:val="10"/>
              </w:numPr>
            </w:pPr>
            <w:r>
              <w:t>the benefits of the restrictions to the community as a whole outweigh the costs, and</w:t>
            </w:r>
          </w:p>
          <w:p w:rsidR="007C6A5F" w:rsidRDefault="007C6A5F" w:rsidP="005A6F87">
            <w:pPr>
              <w:pStyle w:val="ListNumber2"/>
              <w:numPr>
                <w:ilvl w:val="1"/>
                <w:numId w:val="10"/>
              </w:numPr>
            </w:pPr>
            <w:r>
              <w:t>the objectives of the regulation can only be achieved by restricting competition</w:t>
            </w:r>
          </w:p>
          <w:p w:rsidR="007C6A5F" w:rsidRDefault="007C6A5F" w:rsidP="005A6F87">
            <w:pPr>
              <w:pStyle w:val="ListNumber"/>
              <w:numPr>
                <w:ilvl w:val="0"/>
                <w:numId w:val="10"/>
              </w:numPr>
            </w:pPr>
            <w:r>
              <w:t>providing effective guidance to relevant regulators and regulated parties in order to ensure that the policy intent and expected compliance requirements of the regulation are clear</w:t>
            </w:r>
          </w:p>
          <w:p w:rsidR="007C6A5F" w:rsidRDefault="007C6A5F" w:rsidP="005A6F87">
            <w:pPr>
              <w:pStyle w:val="ListNumber"/>
              <w:numPr>
                <w:ilvl w:val="0"/>
                <w:numId w:val="10"/>
              </w:numPr>
            </w:pPr>
            <w:r>
              <w:t>ensuring that regulation remains relevant and effective over time</w:t>
            </w:r>
          </w:p>
          <w:p w:rsidR="007C6A5F" w:rsidRDefault="007C6A5F" w:rsidP="005A6F87">
            <w:pPr>
              <w:pStyle w:val="ListNumber"/>
              <w:numPr>
                <w:ilvl w:val="0"/>
                <w:numId w:val="10"/>
              </w:numPr>
            </w:pPr>
            <w:r>
              <w:lastRenderedPageBreak/>
              <w:t>consulting effectively with affected key stakeholders at all stages of the regulatory cycle, and</w:t>
            </w:r>
          </w:p>
          <w:p w:rsidR="007C6A5F" w:rsidRPr="00BF2F67" w:rsidRDefault="007C6A5F" w:rsidP="00AD487F">
            <w:pPr>
              <w:pStyle w:val="ListNumber"/>
              <w:numPr>
                <w:ilvl w:val="0"/>
                <w:numId w:val="10"/>
              </w:numPr>
              <w:spacing w:after="120"/>
            </w:pPr>
            <w:r>
              <w:t>government action should be effective and proportional to the issue being addressed.</w:t>
            </w:r>
          </w:p>
        </w:tc>
      </w:tr>
      <w:tr w:rsidR="007C6A5F" w:rsidTr="00B5160B">
        <w:trPr>
          <w:trHeight w:hRule="exact" w:val="142"/>
        </w:trPr>
        <w:tc>
          <w:tcPr>
            <w:tcW w:w="7938" w:type="dxa"/>
            <w:tcBorders>
              <w:top w:val="single" w:sz="4" w:space="0" w:color="9B917E" w:themeColor="accent4"/>
            </w:tcBorders>
          </w:tcPr>
          <w:p w:rsidR="007C6A5F" w:rsidRDefault="007C6A5F" w:rsidP="00C36DA4"/>
        </w:tc>
      </w:tr>
      <w:tr w:rsidR="007C6A5F" w:rsidTr="002E1A6C">
        <w:trPr>
          <w:trHeight w:hRule="exact" w:val="198"/>
        </w:trPr>
        <w:tc>
          <w:tcPr>
            <w:tcW w:w="7938" w:type="dxa"/>
          </w:tcPr>
          <w:p w:rsidR="007C6A5F" w:rsidRDefault="007C6A5F" w:rsidP="00C36DA4"/>
        </w:tc>
      </w:tr>
    </w:tbl>
    <w:p w:rsidR="007C6A5F" w:rsidRDefault="007C6A5F" w:rsidP="007C6A5F">
      <w:pPr>
        <w:pStyle w:val="BodyText"/>
        <w:rPr>
          <w:lang w:bidi="fa-IR"/>
        </w:rPr>
      </w:pPr>
      <w:bookmarkStart w:id="444" w:name="_Toc22117099"/>
      <w:r>
        <w:rPr>
          <w:lang w:bidi="fa-IR"/>
        </w:rPr>
        <w:t>Several stakeholders advocated for minimum accessibility standards on human rights grounds. These arguments can be summarised as follows.</w:t>
      </w:r>
    </w:p>
    <w:p w:rsidR="007C6A5F" w:rsidRDefault="007C6A5F" w:rsidP="005A6F87">
      <w:pPr>
        <w:pStyle w:val="ListBullet"/>
        <w:numPr>
          <w:ilvl w:val="0"/>
          <w:numId w:val="17"/>
        </w:numPr>
        <w:rPr>
          <w:lang w:bidi="fa-IR"/>
        </w:rPr>
      </w:pPr>
      <w:r>
        <w:rPr>
          <w:lang w:bidi="fa-IR"/>
        </w:rPr>
        <w:t>People with disabilities should have the same access and housing choices as other members of the community. They should have access to mainstream housing options, rather than segregated housing that specifically caters for those with accessibility needs.</w:t>
      </w:r>
    </w:p>
    <w:p w:rsidR="007C6A5F" w:rsidRDefault="007C6A5F" w:rsidP="005A6F87">
      <w:pPr>
        <w:pStyle w:val="ListBullet"/>
        <w:numPr>
          <w:ilvl w:val="0"/>
          <w:numId w:val="17"/>
        </w:numPr>
        <w:rPr>
          <w:rFonts w:eastAsia="Calisto MT"/>
          <w:color w:val="000000"/>
          <w:lang w:val="en-US"/>
        </w:rPr>
      </w:pPr>
      <w:r>
        <w:rPr>
          <w:lang w:bidi="fa-IR"/>
        </w:rPr>
        <w:t xml:space="preserve">Australia has an obligation to implement the recommendation of the Committee </w:t>
      </w:r>
      <w:r>
        <w:rPr>
          <w:rFonts w:eastAsia="Calisto MT"/>
          <w:color w:val="000000"/>
          <w:lang w:val="en-US"/>
        </w:rPr>
        <w:t>on the Rights of Persons with Disabilities to introduce a minimum accessibility standard into the NCC.</w:t>
      </w:r>
      <w:r>
        <w:rPr>
          <w:rStyle w:val="FootnoteReference"/>
          <w:rFonts w:eastAsia="Calisto MT"/>
          <w:lang w:val="en-US"/>
        </w:rPr>
        <w:footnoteReference w:id="13"/>
      </w:r>
    </w:p>
    <w:p w:rsidR="007C6A5F" w:rsidRDefault="007C6A5F" w:rsidP="007C6A5F">
      <w:pPr>
        <w:pStyle w:val="BodyText"/>
        <w:rPr>
          <w:lang w:bidi="fa-IR"/>
        </w:rPr>
      </w:pPr>
      <w:r>
        <w:rPr>
          <w:lang w:bidi="fa-IR"/>
        </w:rPr>
        <w:t>While respecting these views, it is important to note that a RIS must follow the process set out in the COAG Guidelines.</w:t>
      </w:r>
      <w:r>
        <w:rPr>
          <w:rStyle w:val="FootnoteReference"/>
          <w:lang w:bidi="fa-IR"/>
        </w:rPr>
        <w:footnoteReference w:id="14"/>
      </w:r>
      <w:r>
        <w:rPr>
          <w:lang w:bidi="fa-IR"/>
        </w:rPr>
        <w:t xml:space="preserve"> Key elements of this process include:</w:t>
      </w:r>
    </w:p>
    <w:p w:rsidR="007C6A5F" w:rsidRDefault="007C6A5F" w:rsidP="005A6F87">
      <w:pPr>
        <w:pStyle w:val="ListBullet"/>
        <w:numPr>
          <w:ilvl w:val="0"/>
          <w:numId w:val="17"/>
        </w:numPr>
        <w:rPr>
          <w:lang w:bidi="fa-IR"/>
        </w:rPr>
      </w:pPr>
      <w:r>
        <w:rPr>
          <w:lang w:bidi="fa-IR"/>
        </w:rPr>
        <w:t>clearly identifying the fundamental problem(s) that need to be addressed</w:t>
      </w:r>
    </w:p>
    <w:p w:rsidR="007C6A5F" w:rsidRDefault="007C6A5F" w:rsidP="005A6F87">
      <w:pPr>
        <w:pStyle w:val="ListBullet"/>
        <w:numPr>
          <w:ilvl w:val="0"/>
          <w:numId w:val="17"/>
        </w:numPr>
        <w:rPr>
          <w:lang w:bidi="fa-IR"/>
        </w:rPr>
      </w:pPr>
      <w:r>
        <w:rPr>
          <w:lang w:bidi="fa-IR"/>
        </w:rPr>
        <w:t>clearly articulating the objectives (that do not pre</w:t>
      </w:r>
      <w:r>
        <w:rPr>
          <w:lang w:bidi="fa-IR"/>
        </w:rPr>
        <w:noBreakHyphen/>
        <w:t>justify a preferred solution)</w:t>
      </w:r>
    </w:p>
    <w:p w:rsidR="007C6A5F" w:rsidRDefault="007C6A5F" w:rsidP="005A6F87">
      <w:pPr>
        <w:pStyle w:val="ListBullet"/>
        <w:numPr>
          <w:ilvl w:val="0"/>
          <w:numId w:val="17"/>
        </w:numPr>
        <w:rPr>
          <w:lang w:bidi="fa-IR"/>
        </w:rPr>
      </w:pPr>
      <w:r>
        <w:rPr>
          <w:lang w:bidi="fa-IR"/>
        </w:rPr>
        <w:t>identifying a range of viable options</w:t>
      </w:r>
    </w:p>
    <w:p w:rsidR="007C6A5F" w:rsidRDefault="007C6A5F" w:rsidP="005A6F87">
      <w:pPr>
        <w:pStyle w:val="ListBullet"/>
        <w:numPr>
          <w:ilvl w:val="0"/>
          <w:numId w:val="17"/>
        </w:numPr>
        <w:rPr>
          <w:lang w:bidi="fa-IR"/>
        </w:rPr>
      </w:pPr>
      <w:r>
        <w:rPr>
          <w:lang w:bidi="fa-IR"/>
        </w:rPr>
        <w:t>an analysis of the costs and benefits of the feasible options (i.e. a cost</w:t>
      </w:r>
      <w:r>
        <w:rPr>
          <w:lang w:bidi="fa-IR"/>
        </w:rPr>
        <w:noBreakHyphen/>
        <w:t>benefit analysis)</w:t>
      </w:r>
    </w:p>
    <w:p w:rsidR="007C6A5F" w:rsidRDefault="007C6A5F" w:rsidP="005A6F87">
      <w:pPr>
        <w:pStyle w:val="ListBullet"/>
        <w:numPr>
          <w:ilvl w:val="0"/>
          <w:numId w:val="17"/>
        </w:numPr>
        <w:rPr>
          <w:lang w:bidi="fa-IR"/>
        </w:rPr>
      </w:pPr>
      <w:r>
        <w:rPr>
          <w:lang w:bidi="fa-IR"/>
        </w:rPr>
        <w:t>identifying the preferred option by demonstrating that:</w:t>
      </w:r>
    </w:p>
    <w:p w:rsidR="007C6A5F" w:rsidRDefault="007C6A5F" w:rsidP="005A6F87">
      <w:pPr>
        <w:pStyle w:val="ListBullet2"/>
        <w:numPr>
          <w:ilvl w:val="1"/>
          <w:numId w:val="17"/>
        </w:numPr>
        <w:ind w:left="568" w:hanging="284"/>
        <w:rPr>
          <w:lang w:bidi="fa-IR"/>
        </w:rPr>
      </w:pPr>
      <w:r>
        <w:rPr>
          <w:lang w:bidi="fa-IR"/>
        </w:rPr>
        <w:t>the benefits of the proposal to the community outweigh the costs, and</w:t>
      </w:r>
    </w:p>
    <w:p w:rsidR="007C6A5F" w:rsidRDefault="007C6A5F" w:rsidP="005A6F87">
      <w:pPr>
        <w:pStyle w:val="ListBullet2"/>
        <w:numPr>
          <w:ilvl w:val="1"/>
          <w:numId w:val="17"/>
        </w:numPr>
        <w:ind w:left="568" w:hanging="284"/>
        <w:rPr>
          <w:lang w:bidi="fa-IR"/>
        </w:rPr>
      </w:pPr>
      <w:r>
        <w:rPr>
          <w:lang w:bidi="fa-IR"/>
        </w:rPr>
        <w:t>the preferred option has the greatest net benefit for the community, taking into account all the impacts.</w:t>
      </w:r>
    </w:p>
    <w:p w:rsidR="007C6A5F" w:rsidRDefault="007C6A5F" w:rsidP="007C6A5F">
      <w:pPr>
        <w:pStyle w:val="BodyText"/>
        <w:rPr>
          <w:lang w:bidi="fa-IR"/>
        </w:rPr>
      </w:pPr>
      <w:r>
        <w:rPr>
          <w:lang w:bidi="fa-IR"/>
        </w:rPr>
        <w:t>Satisfying these RIS requirements may to some extent seem at odds with a human rights focused view of the problem advanced by some advocates. Nevertheless, as a RIS was requested by the BMF and is required for changes to the NCC under ABCB’s Intergovernmental Agreement, we are obliged to follow the approach set out in the COAG RIS Guidelines.</w:t>
      </w:r>
    </w:p>
    <w:p w:rsidR="007C6A5F" w:rsidRDefault="007C6A5F" w:rsidP="007C6A5F">
      <w:pPr>
        <w:pStyle w:val="Heading3"/>
        <w:numPr>
          <w:ilvl w:val="2"/>
          <w:numId w:val="5"/>
        </w:numPr>
        <w:rPr>
          <w:lang w:bidi="fa-IR"/>
        </w:rPr>
      </w:pPr>
      <w:r>
        <w:rPr>
          <w:lang w:bidi="fa-IR"/>
        </w:rPr>
        <w:t>Targeted stakeholder consultation</w:t>
      </w:r>
    </w:p>
    <w:p w:rsidR="007C6A5F" w:rsidRDefault="007C6A5F" w:rsidP="007C6A5F">
      <w:pPr>
        <w:pStyle w:val="BodyText"/>
        <w:rPr>
          <w:lang w:bidi="fa-IR"/>
        </w:rPr>
      </w:pPr>
      <w:r>
        <w:rPr>
          <w:lang w:bidi="fa-IR"/>
        </w:rPr>
        <w:t xml:space="preserve">To further inform the development of the Consultation RIS, the CIE has undertaken a targeted consultation process over the November 2019 to May 2020 period. Consultations were guided by an Issues Paper setting out the CIE’s preliminary views on </w:t>
      </w:r>
      <w:r>
        <w:rPr>
          <w:lang w:bidi="fa-IR"/>
        </w:rPr>
        <w:lastRenderedPageBreak/>
        <w:t>the issues that need to be addressed in the RIS. Table </w:t>
      </w:r>
      <w:r>
        <w:rPr>
          <w:lang w:bidi="fa-IR"/>
        </w:rPr>
        <w:fldChar w:fldCharType="begin"/>
      </w:r>
      <w:r>
        <w:rPr>
          <w:lang w:bidi="fa-IR"/>
        </w:rPr>
        <w:instrText xml:space="preserve"> REF _Caption6887 </w:instrText>
      </w:r>
      <w:r>
        <w:rPr>
          <w:lang w:bidi="fa-IR"/>
        </w:rPr>
        <w:fldChar w:fldCharType="separate"/>
      </w:r>
      <w:r>
        <w:rPr>
          <w:noProof/>
        </w:rPr>
        <w:t>1</w:t>
      </w:r>
      <w:r w:rsidRPr="00695C93">
        <w:rPr>
          <w:noProof/>
        </w:rPr>
        <w:t>.</w:t>
      </w:r>
      <w:r>
        <w:rPr>
          <w:noProof/>
        </w:rPr>
        <w:t>3</w:t>
      </w:r>
      <w:r>
        <w:rPr>
          <w:lang w:bidi="fa-IR"/>
        </w:rPr>
        <w:fldChar w:fldCharType="end"/>
      </w:r>
      <w:r>
        <w:rPr>
          <w:lang w:bidi="fa-IR"/>
        </w:rPr>
        <w:t xml:space="preserve"> summarises the consultations in the preparation of the Consultation RIS. </w:t>
      </w:r>
      <w:bookmarkStart w:id="445" w:name="_Hlk32940848"/>
      <w:r>
        <w:rPr>
          <w:lang w:bidi="fa-IR"/>
        </w:rPr>
        <w:t>More details are provided in appendix </w:t>
      </w:r>
      <w:r>
        <w:rPr>
          <w:lang w:bidi="fa-IR"/>
        </w:rPr>
        <w:fldChar w:fldCharType="begin"/>
      </w:r>
      <w:r>
        <w:rPr>
          <w:lang w:bidi="fa-IR"/>
        </w:rPr>
        <w:instrText xml:space="preserve"> REF _Ref32940317 \n \h </w:instrText>
      </w:r>
      <w:r>
        <w:rPr>
          <w:lang w:bidi="fa-IR"/>
        </w:rPr>
      </w:r>
      <w:r>
        <w:rPr>
          <w:lang w:bidi="fa-IR"/>
        </w:rPr>
        <w:fldChar w:fldCharType="separate"/>
      </w:r>
      <w:r>
        <w:rPr>
          <w:lang w:bidi="fa-IR"/>
        </w:rPr>
        <w:t>M</w:t>
      </w:r>
      <w:r>
        <w:rPr>
          <w:lang w:bidi="fa-IR"/>
        </w:rPr>
        <w:fldChar w:fldCharType="end"/>
      </w:r>
      <w:r>
        <w:rPr>
          <w:lang w:bidi="fa-IR"/>
        </w:rPr>
        <w:t>.</w:t>
      </w:r>
      <w:bookmarkEnd w:id="445"/>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1</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1</w:instrText>
      </w:r>
      <w:r>
        <w:rPr>
          <w:noProof/>
        </w:rPr>
        <w:fldChar w:fldCharType="end"/>
      </w:r>
      <w:r w:rsidRPr="00695C93">
        <w:instrText xml:space="preserve">." </w:instrText>
      </w:r>
      <w:r w:rsidRPr="00695C93">
        <w:fldChar w:fldCharType="separate"/>
      </w:r>
      <w:r>
        <w:rPr>
          <w:noProof/>
        </w:rPr>
        <w:instrText>1</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1</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1</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3</w:instrText>
      </w:r>
      <w:r w:rsidRPr="00695C93">
        <w:fldChar w:fldCharType="end"/>
      </w:r>
      <w:r w:rsidRPr="00695C93">
        <w:instrText xml:space="preserve">" "" </w:instrText>
      </w:r>
      <w:r w:rsidRPr="00695C93">
        <w:fldChar w:fldCharType="separate"/>
      </w:r>
      <w:bookmarkStart w:id="446" w:name="_Caption0449"/>
      <w:bookmarkStart w:id="447" w:name="_Caption4238"/>
      <w:bookmarkStart w:id="448" w:name="_Caption2904"/>
      <w:bookmarkStart w:id="449" w:name="_Caption6620"/>
      <w:bookmarkStart w:id="450" w:name="_Caption3965"/>
      <w:bookmarkStart w:id="451" w:name="_Caption4892"/>
      <w:bookmarkStart w:id="452" w:name="_Caption3212"/>
      <w:bookmarkStart w:id="453" w:name="_Caption7273"/>
      <w:bookmarkStart w:id="454" w:name="_Caption1163"/>
      <w:bookmarkStart w:id="455" w:name="_Caption9634"/>
      <w:bookmarkStart w:id="456" w:name="_Caption6714"/>
      <w:bookmarkStart w:id="457" w:name="_Caption4383"/>
      <w:bookmarkStart w:id="458" w:name="_Caption8942"/>
      <w:bookmarkStart w:id="459" w:name="_Caption4024"/>
      <w:bookmarkStart w:id="460" w:name="_Caption3925"/>
      <w:bookmarkStart w:id="461" w:name="_Caption4877"/>
      <w:bookmarkStart w:id="462" w:name="_Caption9829"/>
      <w:bookmarkStart w:id="463" w:name="_Caption1459"/>
      <w:bookmarkStart w:id="464" w:name="_Caption9623"/>
      <w:bookmarkStart w:id="465" w:name="_Caption3461"/>
      <w:bookmarkStart w:id="466" w:name="_Caption3088"/>
      <w:bookmarkStart w:id="467" w:name="_Caption0983"/>
      <w:bookmarkStart w:id="468" w:name="_Caption4614"/>
      <w:bookmarkStart w:id="469" w:name="_Caption8111"/>
      <w:bookmarkStart w:id="470" w:name="_Caption2174"/>
      <w:bookmarkStart w:id="471" w:name="_Caption3030"/>
      <w:bookmarkStart w:id="472" w:name="_Caption3467"/>
      <w:bookmarkStart w:id="473" w:name="_Caption1756"/>
      <w:bookmarkStart w:id="474" w:name="_Caption6436"/>
      <w:bookmarkStart w:id="475" w:name="_Caption3523"/>
      <w:bookmarkStart w:id="476" w:name="_Caption6887"/>
      <w:bookmarkStart w:id="477" w:name="_Caption1591"/>
      <w:bookmarkStart w:id="478" w:name="_Caption8189"/>
      <w:bookmarkStart w:id="479" w:name="_Caption3286"/>
      <w:bookmarkStart w:id="480" w:name="_Caption1313"/>
      <w:bookmarkStart w:id="481" w:name="_Caption2147"/>
      <w:bookmarkStart w:id="482" w:name="_Caption8293"/>
      <w:bookmarkStart w:id="483" w:name="_Caption9457"/>
      <w:bookmarkStart w:id="484" w:name="_Caption0930"/>
      <w:bookmarkStart w:id="485" w:name="_Caption2552"/>
      <w:bookmarkStart w:id="486" w:name="_Caption1055"/>
      <w:bookmarkStart w:id="487" w:name="_Caption4704"/>
      <w:bookmarkStart w:id="488" w:name="_Caption5120"/>
      <w:bookmarkStart w:id="489" w:name="_Caption2445"/>
      <w:bookmarkStart w:id="490" w:name="_Caption8466"/>
      <w:bookmarkStart w:id="491" w:name="_Caption8104"/>
      <w:bookmarkStart w:id="492" w:name="_Caption8217"/>
      <w:bookmarkStart w:id="493" w:name="_Caption6484"/>
      <w:bookmarkStart w:id="494" w:name="_Caption0597"/>
      <w:bookmarkStart w:id="495" w:name="_Caption3486"/>
      <w:bookmarkStart w:id="496" w:name="_Caption6656"/>
      <w:bookmarkStart w:id="497" w:name="_Caption0342"/>
      <w:bookmarkStart w:id="498" w:name="_Caption7948"/>
      <w:bookmarkStart w:id="499" w:name="_Caption8451"/>
      <w:bookmarkStart w:id="500" w:name="_Caption2566"/>
      <w:bookmarkStart w:id="501" w:name="_Caption9156"/>
      <w:bookmarkStart w:id="502" w:name="_Caption9644"/>
      <w:bookmarkStart w:id="503" w:name="_Caption3533"/>
      <w:bookmarkStart w:id="504" w:name="_Caption0286"/>
      <w:bookmarkStart w:id="505" w:name="_Caption1351"/>
      <w:bookmarkStart w:id="506" w:name="_Caption6183"/>
      <w:bookmarkStart w:id="507" w:name="_Caption4706"/>
      <w:bookmarkStart w:id="508" w:name="_Caption5570"/>
      <w:bookmarkStart w:id="509" w:name="_Caption2954"/>
      <w:bookmarkStart w:id="510" w:name="_Caption7410"/>
      <w:bookmarkStart w:id="511" w:name="_Caption4475"/>
      <w:bookmarkStart w:id="512" w:name="_Caption6552"/>
      <w:bookmarkStart w:id="513" w:name="_Caption4504"/>
      <w:bookmarkStart w:id="514" w:name="_Caption4726"/>
      <w:bookmarkStart w:id="515" w:name="_Caption8326"/>
      <w:bookmarkStart w:id="516" w:name="_Caption5908"/>
      <w:bookmarkStart w:id="517" w:name="_Caption6390"/>
      <w:bookmarkStart w:id="518" w:name="_Caption3488"/>
      <w:bookmarkStart w:id="519" w:name="_Caption1971"/>
      <w:bookmarkStart w:id="520" w:name="_Caption7215"/>
      <w:bookmarkStart w:id="521" w:name="_Toc32321791"/>
      <w:bookmarkStart w:id="522" w:name="_Toc34122436"/>
      <w:bookmarkStart w:id="523" w:name="_Toc44598484"/>
      <w:bookmarkStart w:id="524" w:name="_Toc45654115"/>
      <w:r w:rsidR="00272AF3">
        <w:rPr>
          <w:noProof/>
        </w:rPr>
        <w:t>1</w:t>
      </w:r>
      <w:r w:rsidR="00272AF3" w:rsidRPr="00695C93">
        <w:rPr>
          <w:noProof/>
        </w:rPr>
        <w:t>.</w:t>
      </w:r>
      <w:r w:rsidR="00272AF3">
        <w:rPr>
          <w:noProof/>
        </w:rPr>
        <w:t>3</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r w:rsidRPr="00695C93">
        <w:fldChar w:fldCharType="end"/>
      </w:r>
      <w:r w:rsidRPr="00695C93">
        <w:tab/>
      </w:r>
      <w:r>
        <w:t>Summary of stakeholder consultations</w:t>
      </w:r>
      <w:bookmarkEnd w:id="521"/>
      <w:bookmarkEnd w:id="522"/>
      <w:bookmarkEnd w:id="523"/>
      <w:bookmarkEnd w:id="524"/>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1.3"/>
        <w:tblDescription w:val="Summary of stakeholder consultations"/>
      </w:tblPr>
      <w:tblGrid>
        <w:gridCol w:w="1985"/>
        <w:gridCol w:w="3306"/>
        <w:gridCol w:w="2646"/>
      </w:tblGrid>
      <w:tr w:rsidR="007C6A5F" w:rsidTr="00A16B74">
        <w:trPr>
          <w:tblHeader/>
        </w:trPr>
        <w:tc>
          <w:tcPr>
            <w:tcW w:w="1985" w:type="dxa"/>
            <w:tcBorders>
              <w:bottom w:val="single" w:sz="8" w:space="0" w:color="FFFFFF" w:themeColor="background1"/>
            </w:tcBorders>
            <w:shd w:val="clear" w:color="auto" w:fill="6F6652" w:themeFill="accent5"/>
          </w:tcPr>
          <w:p w:rsidR="007C6A5F" w:rsidRDefault="00D87F1F" w:rsidP="00C36DA4">
            <w:pPr>
              <w:pStyle w:val="TableTextColumnHeading"/>
              <w:rPr>
                <w:lang w:bidi="fa-IR"/>
              </w:rPr>
            </w:pPr>
            <w:r>
              <w:rPr>
                <w:lang w:bidi="fa-IR"/>
              </w:rPr>
              <w:t>Consultation format</w:t>
            </w:r>
          </w:p>
        </w:tc>
        <w:tc>
          <w:tcPr>
            <w:tcW w:w="3306" w:type="dxa"/>
            <w:tcBorders>
              <w:bottom w:val="single" w:sz="8" w:space="0" w:color="FFFFFF" w:themeColor="background1"/>
            </w:tcBorders>
            <w:shd w:val="clear" w:color="auto" w:fill="6F6652" w:themeFill="accent5"/>
          </w:tcPr>
          <w:p w:rsidR="007C6A5F" w:rsidRDefault="00D87F1F" w:rsidP="00C36DA4">
            <w:pPr>
              <w:pStyle w:val="TableTextColumnHeading"/>
              <w:rPr>
                <w:lang w:bidi="fa-IR"/>
              </w:rPr>
            </w:pPr>
            <w:r>
              <w:rPr>
                <w:lang w:bidi="fa-IR"/>
              </w:rPr>
              <w:t>Stakeholder group</w:t>
            </w:r>
          </w:p>
        </w:tc>
        <w:tc>
          <w:tcPr>
            <w:tcW w:w="2646" w:type="dxa"/>
            <w:tcBorders>
              <w:bottom w:val="single" w:sz="8" w:space="0" w:color="FFFFFF" w:themeColor="background1"/>
            </w:tcBorders>
            <w:shd w:val="clear" w:color="auto" w:fill="6F6652" w:themeFill="accent5"/>
          </w:tcPr>
          <w:p w:rsidR="007C6A5F" w:rsidRDefault="007C6A5F" w:rsidP="00C36DA4">
            <w:pPr>
              <w:pStyle w:val="TableTextColumnHeading"/>
              <w:jc w:val="right"/>
              <w:rPr>
                <w:lang w:bidi="fa-IR"/>
              </w:rPr>
            </w:pPr>
            <w:r>
              <w:rPr>
                <w:lang w:bidi="fa-IR"/>
              </w:rPr>
              <w:t>Date of discussion</w:t>
            </w:r>
          </w:p>
        </w:tc>
      </w:tr>
      <w:tr w:rsidR="00D87F1F" w:rsidTr="00D87F1F">
        <w:tc>
          <w:tcPr>
            <w:tcW w:w="1985"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Pr>
                <w:lang w:bidi="fa-IR"/>
              </w:rPr>
              <w:t>Costing workshop</w:t>
            </w:r>
          </w:p>
        </w:tc>
        <w:tc>
          <w:tcPr>
            <w:tcW w:w="330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Pr>
                <w:lang w:bidi="fa-IR"/>
              </w:rPr>
              <w:t>Housing Industry Association</w:t>
            </w:r>
          </w:p>
        </w:tc>
        <w:tc>
          <w:tcPr>
            <w:tcW w:w="264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jc w:val="right"/>
              <w:rPr>
                <w:lang w:bidi="fa-IR"/>
              </w:rPr>
            </w:pPr>
            <w:r>
              <w:rPr>
                <w:lang w:bidi="fa-IR"/>
              </w:rPr>
              <w:t>29 November 2019</w:t>
            </w:r>
          </w:p>
        </w:tc>
      </w:tr>
      <w:tr w:rsidR="00D87F1F" w:rsidTr="00D87F1F">
        <w:tc>
          <w:tcPr>
            <w:tcW w:w="1985"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sidRPr="008248DF">
              <w:rPr>
                <w:lang w:bidi="fa-IR"/>
              </w:rPr>
              <w:t>Costing workshop</w:t>
            </w:r>
          </w:p>
        </w:tc>
        <w:tc>
          <w:tcPr>
            <w:tcW w:w="330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Pr>
                <w:lang w:bidi="fa-IR"/>
              </w:rPr>
              <w:t>Master Builders Australia</w:t>
            </w:r>
          </w:p>
        </w:tc>
        <w:tc>
          <w:tcPr>
            <w:tcW w:w="264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jc w:val="right"/>
              <w:rPr>
                <w:lang w:bidi="fa-IR"/>
              </w:rPr>
            </w:pPr>
            <w:r>
              <w:rPr>
                <w:lang w:bidi="fa-IR"/>
              </w:rPr>
              <w:t>29 November 2019</w:t>
            </w:r>
          </w:p>
        </w:tc>
      </w:tr>
      <w:tr w:rsidR="00D87F1F" w:rsidTr="00D87F1F">
        <w:tc>
          <w:tcPr>
            <w:tcW w:w="1985"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sidRPr="008248DF">
              <w:rPr>
                <w:lang w:bidi="fa-IR"/>
              </w:rPr>
              <w:t>Costing workshop</w:t>
            </w:r>
          </w:p>
        </w:tc>
        <w:tc>
          <w:tcPr>
            <w:tcW w:w="330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Pr>
                <w:lang w:bidi="fa-IR"/>
              </w:rPr>
              <w:t>Galbraith Scott</w:t>
            </w:r>
          </w:p>
        </w:tc>
        <w:tc>
          <w:tcPr>
            <w:tcW w:w="264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jc w:val="right"/>
              <w:rPr>
                <w:lang w:bidi="fa-IR"/>
              </w:rPr>
            </w:pPr>
            <w:r>
              <w:rPr>
                <w:lang w:bidi="fa-IR"/>
              </w:rPr>
              <w:t>29 November 2019</w:t>
            </w:r>
          </w:p>
        </w:tc>
      </w:tr>
      <w:tr w:rsidR="00D87F1F" w:rsidTr="00D87F1F">
        <w:tc>
          <w:tcPr>
            <w:tcW w:w="1985"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Pr>
                <w:lang w:bidi="fa-IR"/>
              </w:rPr>
              <w:t>Separate discussion</w:t>
            </w:r>
            <w:r w:rsidR="00A16B74">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Pr>
                <w:lang w:bidi="fa-IR"/>
              </w:rPr>
              <w:t>Australian Network of Universal Housing Design (ANUHD)</w:t>
            </w:r>
          </w:p>
        </w:tc>
        <w:tc>
          <w:tcPr>
            <w:tcW w:w="264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jc w:val="right"/>
              <w:rPr>
                <w:lang w:bidi="fa-IR"/>
              </w:rPr>
            </w:pPr>
            <w:r>
              <w:rPr>
                <w:lang w:bidi="fa-IR"/>
              </w:rPr>
              <w:t>26 November 2019</w:t>
            </w:r>
          </w:p>
        </w:tc>
      </w:tr>
      <w:tr w:rsidR="00D87F1F" w:rsidTr="00D87F1F">
        <w:tc>
          <w:tcPr>
            <w:tcW w:w="1985"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sidRPr="00AC348A">
              <w:rPr>
                <w:lang w:bidi="fa-IR"/>
              </w:rPr>
              <w:t>Separate discussion</w:t>
            </w:r>
            <w:r w:rsidR="00A16B74">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Pr>
                <w:lang w:bidi="fa-IR"/>
              </w:rPr>
              <w:t>Galbraith Scott</w:t>
            </w:r>
          </w:p>
        </w:tc>
        <w:tc>
          <w:tcPr>
            <w:tcW w:w="264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jc w:val="right"/>
              <w:rPr>
                <w:lang w:bidi="fa-IR"/>
              </w:rPr>
            </w:pPr>
            <w:r>
              <w:rPr>
                <w:lang w:bidi="fa-IR"/>
              </w:rPr>
              <w:t>29 November 2019</w:t>
            </w:r>
          </w:p>
        </w:tc>
      </w:tr>
      <w:tr w:rsidR="00D87F1F" w:rsidTr="00D87F1F">
        <w:tc>
          <w:tcPr>
            <w:tcW w:w="1985"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sidRPr="00AC348A">
              <w:rPr>
                <w:lang w:bidi="fa-IR"/>
              </w:rPr>
              <w:t>Separate discussion</w:t>
            </w:r>
            <w:r w:rsidR="00A16B74">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Pr>
                <w:lang w:bidi="fa-IR"/>
              </w:rPr>
              <w:t>University of NSW</w:t>
            </w:r>
          </w:p>
        </w:tc>
        <w:tc>
          <w:tcPr>
            <w:tcW w:w="264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jc w:val="right"/>
              <w:rPr>
                <w:lang w:bidi="fa-IR"/>
              </w:rPr>
            </w:pPr>
            <w:r>
              <w:rPr>
                <w:lang w:bidi="fa-IR"/>
              </w:rPr>
              <w:t>9 December 2019</w:t>
            </w:r>
          </w:p>
        </w:tc>
      </w:tr>
      <w:tr w:rsidR="00D87F1F" w:rsidTr="00D87F1F">
        <w:tc>
          <w:tcPr>
            <w:tcW w:w="1985"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sidRPr="00AC348A">
              <w:rPr>
                <w:lang w:bidi="fa-IR"/>
              </w:rPr>
              <w:t>Separate discussion</w:t>
            </w:r>
            <w:r w:rsidR="00A16B74">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Pr>
                <w:lang w:bidi="fa-IR"/>
              </w:rPr>
              <w:t>Centre for Universal Design Australia</w:t>
            </w:r>
          </w:p>
        </w:tc>
        <w:tc>
          <w:tcPr>
            <w:tcW w:w="264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jc w:val="right"/>
              <w:rPr>
                <w:lang w:bidi="fa-IR"/>
              </w:rPr>
            </w:pPr>
            <w:r>
              <w:rPr>
                <w:lang w:bidi="fa-IR"/>
              </w:rPr>
              <w:t>9 December 2019</w:t>
            </w:r>
          </w:p>
        </w:tc>
      </w:tr>
      <w:tr w:rsidR="00D87F1F" w:rsidTr="00D87F1F">
        <w:tc>
          <w:tcPr>
            <w:tcW w:w="1985"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sidRPr="00AC348A">
              <w:rPr>
                <w:lang w:bidi="fa-IR"/>
              </w:rPr>
              <w:t>Separate discussion</w:t>
            </w:r>
            <w:r w:rsidR="00A16B74">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Pr>
                <w:lang w:bidi="fa-IR"/>
              </w:rPr>
              <w:t>ADACAS</w:t>
            </w:r>
          </w:p>
        </w:tc>
        <w:tc>
          <w:tcPr>
            <w:tcW w:w="264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jc w:val="right"/>
              <w:rPr>
                <w:lang w:bidi="fa-IR"/>
              </w:rPr>
            </w:pPr>
            <w:r>
              <w:rPr>
                <w:lang w:bidi="fa-IR"/>
              </w:rPr>
              <w:t>17 December 2019</w:t>
            </w:r>
          </w:p>
        </w:tc>
      </w:tr>
      <w:tr w:rsidR="00D87F1F" w:rsidTr="00D87F1F">
        <w:tc>
          <w:tcPr>
            <w:tcW w:w="1985"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sidRPr="00AC348A">
              <w:rPr>
                <w:lang w:bidi="fa-IR"/>
              </w:rPr>
              <w:t>Separate discussion</w:t>
            </w:r>
            <w:r w:rsidR="00A16B74">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Pr>
                <w:lang w:bidi="fa-IR"/>
              </w:rPr>
              <w:t>Department of Social Services</w:t>
            </w:r>
          </w:p>
        </w:tc>
        <w:tc>
          <w:tcPr>
            <w:tcW w:w="264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jc w:val="right"/>
              <w:rPr>
                <w:lang w:bidi="fa-IR"/>
              </w:rPr>
            </w:pPr>
            <w:r>
              <w:rPr>
                <w:lang w:bidi="fa-IR"/>
              </w:rPr>
              <w:t>4 December 2019</w:t>
            </w:r>
          </w:p>
        </w:tc>
      </w:tr>
      <w:tr w:rsidR="00D87F1F" w:rsidTr="00D87F1F">
        <w:tc>
          <w:tcPr>
            <w:tcW w:w="1985"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sidRPr="00AC348A">
              <w:rPr>
                <w:lang w:bidi="fa-IR"/>
              </w:rPr>
              <w:t>Separate discussion</w:t>
            </w:r>
            <w:r w:rsidR="00A16B74">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Pr>
                <w:lang w:bidi="fa-IR"/>
              </w:rPr>
              <w:t>Master Builders Australia</w:t>
            </w:r>
          </w:p>
        </w:tc>
        <w:tc>
          <w:tcPr>
            <w:tcW w:w="264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jc w:val="right"/>
              <w:rPr>
                <w:lang w:bidi="fa-IR"/>
              </w:rPr>
            </w:pPr>
            <w:r>
              <w:rPr>
                <w:lang w:bidi="fa-IR"/>
              </w:rPr>
              <w:t>12 December 2019</w:t>
            </w:r>
          </w:p>
        </w:tc>
      </w:tr>
      <w:tr w:rsidR="00D87F1F" w:rsidTr="00D87F1F">
        <w:tc>
          <w:tcPr>
            <w:tcW w:w="1985"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sidRPr="00AC348A">
              <w:rPr>
                <w:lang w:bidi="fa-IR"/>
              </w:rPr>
              <w:t>Separate discussion</w:t>
            </w:r>
            <w:r w:rsidR="00A16B74">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Pr>
                <w:lang w:bidi="fa-IR"/>
              </w:rPr>
              <w:t>Housing Industry Association</w:t>
            </w:r>
          </w:p>
        </w:tc>
        <w:tc>
          <w:tcPr>
            <w:tcW w:w="264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jc w:val="right"/>
              <w:rPr>
                <w:lang w:bidi="fa-IR"/>
              </w:rPr>
            </w:pPr>
            <w:r>
              <w:rPr>
                <w:lang w:bidi="fa-IR"/>
              </w:rPr>
              <w:t>13 December 2019</w:t>
            </w:r>
          </w:p>
        </w:tc>
      </w:tr>
      <w:tr w:rsidR="00D87F1F" w:rsidTr="00D87F1F">
        <w:tc>
          <w:tcPr>
            <w:tcW w:w="1985"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sidRPr="00AC348A">
              <w:rPr>
                <w:lang w:bidi="fa-IR"/>
              </w:rPr>
              <w:t>Separate discussion</w:t>
            </w:r>
            <w:r w:rsidR="00A16B74">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Pr>
                <w:lang w:bidi="fa-IR"/>
              </w:rPr>
              <w:t>Occupational Therapists Australia</w:t>
            </w:r>
          </w:p>
        </w:tc>
        <w:tc>
          <w:tcPr>
            <w:tcW w:w="264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jc w:val="right"/>
              <w:rPr>
                <w:lang w:bidi="fa-IR"/>
              </w:rPr>
            </w:pPr>
            <w:r>
              <w:rPr>
                <w:lang w:bidi="fa-IR"/>
              </w:rPr>
              <w:t>13 December 2019</w:t>
            </w:r>
          </w:p>
        </w:tc>
      </w:tr>
      <w:tr w:rsidR="00D87F1F" w:rsidTr="00D87F1F">
        <w:tc>
          <w:tcPr>
            <w:tcW w:w="1985"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sidRPr="00AC348A">
              <w:rPr>
                <w:lang w:bidi="fa-IR"/>
              </w:rPr>
              <w:t>Separate discussion</w:t>
            </w:r>
            <w:r w:rsidR="00A16B74">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Pr>
                <w:lang w:bidi="fa-IR"/>
              </w:rPr>
              <w:t>Australian Association of Gerontology</w:t>
            </w:r>
          </w:p>
        </w:tc>
        <w:tc>
          <w:tcPr>
            <w:tcW w:w="264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jc w:val="right"/>
              <w:rPr>
                <w:lang w:bidi="fa-IR"/>
              </w:rPr>
            </w:pPr>
            <w:r>
              <w:rPr>
                <w:lang w:bidi="fa-IR"/>
              </w:rPr>
              <w:t>18 December 2019</w:t>
            </w:r>
          </w:p>
        </w:tc>
      </w:tr>
      <w:tr w:rsidR="00D87F1F" w:rsidTr="00D87F1F">
        <w:tc>
          <w:tcPr>
            <w:tcW w:w="1985"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sidRPr="00AC348A">
              <w:rPr>
                <w:lang w:bidi="fa-IR"/>
              </w:rPr>
              <w:t>Separate discussion</w:t>
            </w:r>
            <w:r w:rsidR="00A16B74">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Pr>
                <w:lang w:bidi="fa-IR"/>
              </w:rPr>
              <w:t>University of Technology Sydney</w:t>
            </w:r>
          </w:p>
        </w:tc>
        <w:tc>
          <w:tcPr>
            <w:tcW w:w="264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jc w:val="right"/>
              <w:rPr>
                <w:lang w:bidi="fa-IR"/>
              </w:rPr>
            </w:pPr>
            <w:r>
              <w:rPr>
                <w:lang w:bidi="fa-IR"/>
              </w:rPr>
              <w:t>18 December 2019</w:t>
            </w:r>
          </w:p>
        </w:tc>
      </w:tr>
      <w:tr w:rsidR="00D87F1F" w:rsidTr="00D87F1F">
        <w:tc>
          <w:tcPr>
            <w:tcW w:w="1985"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sidRPr="00AC348A">
              <w:rPr>
                <w:lang w:bidi="fa-IR"/>
              </w:rPr>
              <w:t>Separate discussion</w:t>
            </w:r>
            <w:r w:rsidR="00A16B74">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Pr>
                <w:lang w:bidi="fa-IR"/>
              </w:rPr>
              <w:t>Australian Human Rights Commission</w:t>
            </w:r>
          </w:p>
        </w:tc>
        <w:tc>
          <w:tcPr>
            <w:tcW w:w="264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jc w:val="right"/>
              <w:rPr>
                <w:lang w:bidi="fa-IR"/>
              </w:rPr>
            </w:pPr>
            <w:r>
              <w:rPr>
                <w:lang w:bidi="fa-IR"/>
              </w:rPr>
              <w:t>18 December 2019</w:t>
            </w:r>
          </w:p>
          <w:p w:rsidR="00D87F1F" w:rsidRDefault="00D87F1F" w:rsidP="00D87F1F">
            <w:pPr>
              <w:pStyle w:val="TableTextEntries"/>
              <w:jc w:val="right"/>
              <w:rPr>
                <w:lang w:bidi="fa-IR"/>
              </w:rPr>
            </w:pPr>
            <w:r>
              <w:rPr>
                <w:lang w:bidi="fa-IR"/>
              </w:rPr>
              <w:t>14 May 2020</w:t>
            </w:r>
          </w:p>
        </w:tc>
      </w:tr>
      <w:tr w:rsidR="00D87F1F" w:rsidTr="00D87F1F">
        <w:tc>
          <w:tcPr>
            <w:tcW w:w="1985"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sidRPr="00AC348A">
              <w:rPr>
                <w:lang w:bidi="fa-IR"/>
              </w:rPr>
              <w:t>Separate discussion</w:t>
            </w:r>
            <w:r w:rsidR="00A16B74">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Pr>
                <w:lang w:bidi="fa-IR"/>
              </w:rPr>
              <w:t>National Disability Insurance Agency</w:t>
            </w:r>
          </w:p>
        </w:tc>
        <w:tc>
          <w:tcPr>
            <w:tcW w:w="264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jc w:val="right"/>
              <w:rPr>
                <w:lang w:bidi="fa-IR"/>
              </w:rPr>
            </w:pPr>
            <w:r>
              <w:rPr>
                <w:lang w:bidi="fa-IR"/>
              </w:rPr>
              <w:t>19 December 2019</w:t>
            </w:r>
          </w:p>
          <w:p w:rsidR="00D87F1F" w:rsidRDefault="00D87F1F" w:rsidP="00D87F1F">
            <w:pPr>
              <w:pStyle w:val="TableTextEntries"/>
              <w:jc w:val="right"/>
              <w:rPr>
                <w:lang w:bidi="fa-IR"/>
              </w:rPr>
            </w:pPr>
            <w:r>
              <w:rPr>
                <w:lang w:bidi="fa-IR"/>
              </w:rPr>
              <w:t>31 January 2020</w:t>
            </w:r>
          </w:p>
        </w:tc>
      </w:tr>
      <w:tr w:rsidR="00D87F1F" w:rsidTr="00D87F1F">
        <w:tc>
          <w:tcPr>
            <w:tcW w:w="1985"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sidRPr="00AC348A">
              <w:rPr>
                <w:lang w:bidi="fa-IR"/>
              </w:rPr>
              <w:t>Separate discussion</w:t>
            </w:r>
            <w:r w:rsidR="00A16B74">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Pr>
                <w:lang w:bidi="fa-IR"/>
              </w:rPr>
              <w:t>Transport Accident Commission (Victoria)</w:t>
            </w:r>
          </w:p>
        </w:tc>
        <w:tc>
          <w:tcPr>
            <w:tcW w:w="264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jc w:val="right"/>
              <w:rPr>
                <w:lang w:bidi="fa-IR"/>
              </w:rPr>
            </w:pPr>
            <w:r>
              <w:rPr>
                <w:lang w:bidi="fa-IR"/>
              </w:rPr>
              <w:t>23 January 2020</w:t>
            </w:r>
          </w:p>
        </w:tc>
      </w:tr>
      <w:tr w:rsidR="00D87F1F" w:rsidTr="00D87F1F">
        <w:tc>
          <w:tcPr>
            <w:tcW w:w="1985"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sidRPr="00AC348A">
              <w:rPr>
                <w:lang w:bidi="fa-IR"/>
              </w:rPr>
              <w:t>Separate discussion</w:t>
            </w:r>
            <w:r w:rsidR="00A16B74">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Pr>
                <w:lang w:bidi="fa-IR"/>
              </w:rPr>
              <w:t>Sekisui House</w:t>
            </w:r>
          </w:p>
        </w:tc>
        <w:tc>
          <w:tcPr>
            <w:tcW w:w="264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jc w:val="right"/>
              <w:rPr>
                <w:lang w:bidi="fa-IR"/>
              </w:rPr>
            </w:pPr>
            <w:r>
              <w:rPr>
                <w:lang w:bidi="fa-IR"/>
              </w:rPr>
              <w:t>24 January 2020</w:t>
            </w:r>
          </w:p>
        </w:tc>
      </w:tr>
      <w:tr w:rsidR="00D87F1F" w:rsidTr="00D87F1F">
        <w:tc>
          <w:tcPr>
            <w:tcW w:w="1985"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sidRPr="00AC348A">
              <w:rPr>
                <w:lang w:bidi="fa-IR"/>
              </w:rPr>
              <w:t>Separate discussion</w:t>
            </w:r>
            <w:r w:rsidR="00A16B74">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Pr>
                <w:lang w:bidi="fa-IR"/>
              </w:rPr>
              <w:t>Royal Commission into Aged Care Quality and Safety</w:t>
            </w:r>
          </w:p>
        </w:tc>
        <w:tc>
          <w:tcPr>
            <w:tcW w:w="264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jc w:val="right"/>
              <w:rPr>
                <w:lang w:bidi="fa-IR"/>
              </w:rPr>
            </w:pPr>
            <w:r>
              <w:rPr>
                <w:lang w:bidi="fa-IR"/>
              </w:rPr>
              <w:t>19 May 2020</w:t>
            </w:r>
          </w:p>
        </w:tc>
      </w:tr>
      <w:tr w:rsidR="00D87F1F" w:rsidTr="00D87F1F">
        <w:tc>
          <w:tcPr>
            <w:tcW w:w="1985"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sidRPr="00AC348A">
              <w:rPr>
                <w:lang w:bidi="fa-IR"/>
              </w:rPr>
              <w:t>Separate discussion</w:t>
            </w:r>
            <w:r w:rsidR="00A16B74">
              <w:rPr>
                <w:lang w:bidi="fa-IR"/>
              </w:rPr>
              <w:t>s</w:t>
            </w:r>
          </w:p>
        </w:tc>
        <w:tc>
          <w:tcPr>
            <w:tcW w:w="330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rPr>
                <w:lang w:bidi="fa-IR"/>
              </w:rPr>
            </w:pPr>
            <w:r>
              <w:rPr>
                <w:lang w:bidi="fa-IR"/>
              </w:rPr>
              <w:t>Young People in Nursing Homes</w:t>
            </w:r>
          </w:p>
        </w:tc>
        <w:tc>
          <w:tcPr>
            <w:tcW w:w="2646" w:type="dxa"/>
            <w:tcBorders>
              <w:top w:val="single" w:sz="8" w:space="0" w:color="FFFFFF" w:themeColor="background1"/>
              <w:bottom w:val="single" w:sz="8" w:space="0" w:color="FFFFFF" w:themeColor="background1"/>
            </w:tcBorders>
            <w:shd w:val="clear" w:color="auto" w:fill="E9E8E5" w:themeFill="background2"/>
          </w:tcPr>
          <w:p w:rsidR="00D87F1F" w:rsidRDefault="00D87F1F" w:rsidP="00D87F1F">
            <w:pPr>
              <w:pStyle w:val="TableTextEntries"/>
              <w:jc w:val="right"/>
              <w:rPr>
                <w:lang w:bidi="fa-IR"/>
              </w:rPr>
            </w:pPr>
            <w:r>
              <w:rPr>
                <w:lang w:bidi="fa-IR"/>
              </w:rPr>
              <w:t>27 May 2020</w:t>
            </w:r>
          </w:p>
        </w:tc>
      </w:tr>
      <w:tr w:rsidR="00D87F1F" w:rsidTr="00D87F1F">
        <w:tc>
          <w:tcPr>
            <w:tcW w:w="1985" w:type="dxa"/>
            <w:tcBorders>
              <w:top w:val="single" w:sz="8" w:space="0" w:color="FFFFFF" w:themeColor="background1"/>
              <w:bottom w:val="single" w:sz="4" w:space="0" w:color="6F6652" w:themeColor="accent5"/>
            </w:tcBorders>
            <w:shd w:val="clear" w:color="auto" w:fill="E9E8E5" w:themeFill="background2"/>
          </w:tcPr>
          <w:p w:rsidR="00D87F1F" w:rsidRDefault="00D87F1F" w:rsidP="00D87F1F">
            <w:pPr>
              <w:pStyle w:val="TableTextEntries"/>
              <w:rPr>
                <w:lang w:bidi="fa-IR"/>
              </w:rPr>
            </w:pPr>
            <w:r w:rsidRPr="00AC348A">
              <w:rPr>
                <w:lang w:bidi="fa-IR"/>
              </w:rPr>
              <w:t>Separate discussion</w:t>
            </w:r>
            <w:r w:rsidR="00A16B74">
              <w:rPr>
                <w:lang w:bidi="fa-IR"/>
              </w:rPr>
              <w:t>s</w:t>
            </w:r>
          </w:p>
        </w:tc>
        <w:tc>
          <w:tcPr>
            <w:tcW w:w="3306" w:type="dxa"/>
            <w:tcBorders>
              <w:top w:val="single" w:sz="8" w:space="0" w:color="FFFFFF" w:themeColor="background1"/>
              <w:bottom w:val="single" w:sz="4" w:space="0" w:color="6F6652" w:themeColor="accent5"/>
            </w:tcBorders>
            <w:shd w:val="clear" w:color="auto" w:fill="E9E8E5" w:themeFill="background2"/>
          </w:tcPr>
          <w:p w:rsidR="00D87F1F" w:rsidRDefault="00D87F1F" w:rsidP="00D87F1F">
            <w:pPr>
              <w:pStyle w:val="TableTextEntries"/>
              <w:rPr>
                <w:lang w:bidi="fa-IR"/>
              </w:rPr>
            </w:pPr>
            <w:r>
              <w:rPr>
                <w:lang w:bidi="fa-IR"/>
              </w:rPr>
              <w:t>The Summer Foundation</w:t>
            </w:r>
          </w:p>
        </w:tc>
        <w:tc>
          <w:tcPr>
            <w:tcW w:w="2646" w:type="dxa"/>
            <w:tcBorders>
              <w:top w:val="single" w:sz="8" w:space="0" w:color="FFFFFF" w:themeColor="background1"/>
              <w:bottom w:val="single" w:sz="4" w:space="0" w:color="6F6652" w:themeColor="accent5"/>
            </w:tcBorders>
            <w:shd w:val="clear" w:color="auto" w:fill="E9E8E5" w:themeFill="background2"/>
          </w:tcPr>
          <w:p w:rsidR="00D87F1F" w:rsidRDefault="00D87F1F" w:rsidP="00D87F1F">
            <w:pPr>
              <w:pStyle w:val="TableTextEntries"/>
              <w:jc w:val="right"/>
              <w:rPr>
                <w:lang w:bidi="fa-IR"/>
              </w:rPr>
            </w:pPr>
            <w:r>
              <w:rPr>
                <w:lang w:bidi="fa-IR"/>
              </w:rPr>
              <w:t>28 May 2020</w:t>
            </w:r>
          </w:p>
        </w:tc>
      </w:tr>
    </w:tbl>
    <w:p w:rsidR="007C6A5F" w:rsidRDefault="007C6A5F" w:rsidP="007C6A5F">
      <w:pPr>
        <w:pStyle w:val="Source"/>
        <w:rPr>
          <w:lang w:bidi="fa-IR"/>
        </w:rPr>
      </w:pPr>
      <w:r w:rsidRPr="006E28ED">
        <w:rPr>
          <w:i/>
          <w:lang w:bidi="fa-IR"/>
        </w:rPr>
        <w:t>Source:</w:t>
      </w:r>
      <w:r>
        <w:rPr>
          <w:lang w:bidi="fa-IR"/>
        </w:rPr>
        <w:t xml:space="preserve"> CIE.</w:t>
      </w:r>
    </w:p>
    <w:p w:rsidR="007C6A5F" w:rsidRDefault="007C6A5F" w:rsidP="007C6A5F">
      <w:pPr>
        <w:pStyle w:val="Heading2"/>
        <w:numPr>
          <w:ilvl w:val="1"/>
          <w:numId w:val="5"/>
        </w:numPr>
        <w:rPr>
          <w:lang w:bidi="fa-IR"/>
        </w:rPr>
      </w:pPr>
      <w:bookmarkStart w:id="525" w:name="_Toc32321743"/>
      <w:bookmarkStart w:id="526" w:name="_Toc44598431"/>
      <w:bookmarkStart w:id="527" w:name="_Toc45654062"/>
      <w:r>
        <w:rPr>
          <w:lang w:bidi="fa-IR"/>
        </w:rPr>
        <w:t>This report</w:t>
      </w:r>
      <w:bookmarkEnd w:id="444"/>
      <w:bookmarkEnd w:id="525"/>
      <w:bookmarkEnd w:id="526"/>
      <w:bookmarkEnd w:id="527"/>
    </w:p>
    <w:p w:rsidR="007C6A5F" w:rsidRDefault="007C6A5F" w:rsidP="007C6A5F">
      <w:pPr>
        <w:pStyle w:val="BodyText"/>
        <w:rPr>
          <w:lang w:bidi="fa-IR"/>
        </w:rPr>
      </w:pPr>
      <w:r>
        <w:rPr>
          <w:lang w:bidi="fa-IR"/>
        </w:rPr>
        <w:t>This report is a Consultation RIS for the proposal to include accessible housing standards in the NCC. The remainder of this report is structured as follows.</w:t>
      </w:r>
    </w:p>
    <w:p w:rsidR="007C6A5F" w:rsidRDefault="007C6A5F" w:rsidP="005A6F87">
      <w:pPr>
        <w:pStyle w:val="ListBullet"/>
        <w:numPr>
          <w:ilvl w:val="0"/>
          <w:numId w:val="17"/>
        </w:numPr>
        <w:rPr>
          <w:lang w:bidi="fa-IR"/>
        </w:rPr>
      </w:pPr>
      <w:r>
        <w:rPr>
          <w:lang w:bidi="fa-IR"/>
        </w:rPr>
        <w:t>Chapter 2 sets out the problem</w:t>
      </w:r>
    </w:p>
    <w:p w:rsidR="007C6A5F" w:rsidRDefault="007C6A5F" w:rsidP="005A6F87">
      <w:pPr>
        <w:pStyle w:val="ListBullet"/>
        <w:numPr>
          <w:ilvl w:val="0"/>
          <w:numId w:val="17"/>
        </w:numPr>
        <w:rPr>
          <w:lang w:bidi="fa-IR"/>
        </w:rPr>
      </w:pPr>
      <w:r>
        <w:rPr>
          <w:lang w:bidi="fa-IR"/>
        </w:rPr>
        <w:t>Chapter 3 specifies the objectives and a range options for achieving the objectives</w:t>
      </w:r>
    </w:p>
    <w:p w:rsidR="007C6A5F" w:rsidRDefault="007C6A5F" w:rsidP="005A6F87">
      <w:pPr>
        <w:pStyle w:val="ListBullet"/>
        <w:numPr>
          <w:ilvl w:val="0"/>
          <w:numId w:val="17"/>
        </w:numPr>
        <w:rPr>
          <w:lang w:bidi="fa-IR"/>
        </w:rPr>
      </w:pPr>
      <w:r>
        <w:rPr>
          <w:lang w:bidi="fa-IR"/>
        </w:rPr>
        <w:lastRenderedPageBreak/>
        <w:t>Chapter 4 identifies the impacts of the proposed options and sets out the cost</w:t>
      </w:r>
      <w:r>
        <w:rPr>
          <w:lang w:bidi="fa-IR"/>
        </w:rPr>
        <w:noBreakHyphen/>
        <w:t>benefit analysis framework used to assess them</w:t>
      </w:r>
    </w:p>
    <w:p w:rsidR="007C6A5F" w:rsidRDefault="007C6A5F" w:rsidP="005A6F87">
      <w:pPr>
        <w:pStyle w:val="ListBullet"/>
        <w:numPr>
          <w:ilvl w:val="0"/>
          <w:numId w:val="17"/>
        </w:numPr>
        <w:rPr>
          <w:lang w:bidi="fa-IR"/>
        </w:rPr>
      </w:pPr>
      <w:r>
        <w:rPr>
          <w:lang w:bidi="fa-IR"/>
        </w:rPr>
        <w:t>Chapter 5 estimates the costs associated with each option</w:t>
      </w:r>
    </w:p>
    <w:p w:rsidR="007C6A5F" w:rsidRDefault="007C6A5F" w:rsidP="005A6F87">
      <w:pPr>
        <w:pStyle w:val="ListBullet"/>
        <w:numPr>
          <w:ilvl w:val="0"/>
          <w:numId w:val="17"/>
        </w:numPr>
        <w:rPr>
          <w:lang w:bidi="fa-IR"/>
        </w:rPr>
      </w:pPr>
      <w:r>
        <w:rPr>
          <w:lang w:bidi="fa-IR"/>
        </w:rPr>
        <w:t>Chapter 6 estimates the benefits associated with each option</w:t>
      </w:r>
    </w:p>
    <w:p w:rsidR="007C6A5F" w:rsidRDefault="007C6A5F" w:rsidP="005A6F87">
      <w:pPr>
        <w:pStyle w:val="ListBullet"/>
        <w:numPr>
          <w:ilvl w:val="0"/>
          <w:numId w:val="17"/>
        </w:numPr>
        <w:rPr>
          <w:lang w:bidi="fa-IR"/>
        </w:rPr>
      </w:pPr>
      <w:r>
        <w:rPr>
          <w:lang w:bidi="fa-IR"/>
        </w:rPr>
        <w:t>Chapter 7 brings together the costs and benefits in a cost</w:t>
      </w:r>
      <w:r>
        <w:rPr>
          <w:lang w:bidi="fa-IR"/>
        </w:rPr>
        <w:noBreakHyphen/>
        <w:t>benefit analysis framework</w:t>
      </w:r>
    </w:p>
    <w:p w:rsidR="007C6A5F" w:rsidRDefault="007C6A5F" w:rsidP="005A6F87">
      <w:pPr>
        <w:pStyle w:val="ListBullet"/>
        <w:numPr>
          <w:ilvl w:val="0"/>
          <w:numId w:val="17"/>
        </w:numPr>
        <w:rPr>
          <w:lang w:bidi="fa-IR"/>
        </w:rPr>
      </w:pPr>
      <w:r>
        <w:rPr>
          <w:lang w:bidi="fa-IR"/>
        </w:rPr>
        <w:t>Chapter 8 concludes.</w:t>
      </w:r>
    </w:p>
    <w:p w:rsidR="007C6A5F" w:rsidRDefault="007C6A5F" w:rsidP="007C6A5F">
      <w:pPr>
        <w:pStyle w:val="BodyText"/>
        <w:rPr>
          <w:lang w:bidi="fa-IR"/>
        </w:rPr>
      </w:pPr>
    </w:p>
    <w:p w:rsidR="007C6A5F" w:rsidRPr="00F51AF6" w:rsidRDefault="007C6A5F" w:rsidP="007C6A5F">
      <w:pPr>
        <w:pStyle w:val="Heading1"/>
        <w:numPr>
          <w:ilvl w:val="0"/>
          <w:numId w:val="5"/>
        </w:numPr>
      </w:pPr>
      <w:bookmarkStart w:id="528" w:name="_Toc32321744"/>
      <w:bookmarkStart w:id="529" w:name="_Toc44598432"/>
      <w:bookmarkStart w:id="530" w:name="_Toc45654063"/>
      <w:r>
        <w:lastRenderedPageBreak/>
        <w:t>Statement of the problem</w:t>
      </w:r>
      <w:bookmarkEnd w:id="528"/>
      <w:bookmarkEnd w:id="529"/>
      <w:bookmarkEnd w:id="530"/>
    </w:p>
    <w:p w:rsidR="007C6A5F" w:rsidRDefault="007C6A5F" w:rsidP="007C6A5F">
      <w:pPr>
        <w:pStyle w:val="Heading2"/>
        <w:numPr>
          <w:ilvl w:val="1"/>
          <w:numId w:val="5"/>
        </w:numPr>
      </w:pPr>
      <w:bookmarkStart w:id="531" w:name="_Toc32321745"/>
      <w:bookmarkStart w:id="532" w:name="_Toc44598433"/>
      <w:bookmarkStart w:id="533" w:name="_Toc45654064"/>
      <w:r>
        <w:t>Summary</w:t>
      </w:r>
      <w:bookmarkEnd w:id="531"/>
      <w:bookmarkEnd w:id="532"/>
      <w:bookmarkEnd w:id="533"/>
    </w:p>
    <w:p w:rsidR="007C6A5F" w:rsidRDefault="007C6A5F" w:rsidP="007C6A5F">
      <w:pPr>
        <w:pStyle w:val="BodyText"/>
      </w:pPr>
      <w:r>
        <w:t>A key element of a RIS is understanding the nature and size of the problem (or issue) that government intervention would address through a regulatory proposal.</w:t>
      </w:r>
    </w:p>
    <w:p w:rsidR="007C6A5F" w:rsidRPr="008F2F43" w:rsidRDefault="007C6A5F" w:rsidP="005A6F87">
      <w:pPr>
        <w:pStyle w:val="ListBullet"/>
        <w:numPr>
          <w:ilvl w:val="0"/>
          <w:numId w:val="17"/>
        </w:numPr>
      </w:pPr>
      <w:r>
        <w:t xml:space="preserve">Based on 2018 ABS data, there are around </w:t>
      </w:r>
      <w:r w:rsidRPr="008F2F43">
        <w:t>3 million Australians with a mobility limitation due to disability.</w:t>
      </w:r>
    </w:p>
    <w:p w:rsidR="007C6A5F" w:rsidRPr="008F2F43" w:rsidRDefault="007C6A5F" w:rsidP="005A6F87">
      <w:pPr>
        <w:pStyle w:val="ListBullet"/>
        <w:numPr>
          <w:ilvl w:val="0"/>
          <w:numId w:val="17"/>
        </w:numPr>
      </w:pPr>
      <w:r w:rsidRPr="008F2F43">
        <w:t>We estimate this will increase to around 5.75 million people over the next 40 years, due to population growth and the effects of an ageing population.</w:t>
      </w:r>
    </w:p>
    <w:p w:rsidR="007C6A5F" w:rsidRDefault="007C6A5F" w:rsidP="007C6A5F">
      <w:pPr>
        <w:pStyle w:val="BodyText"/>
      </w:pPr>
      <w:r>
        <w:t>F</w:t>
      </w:r>
      <w:r w:rsidRPr="005527ED">
        <w:t>inding suitable accommodation is important to all Australians</w:t>
      </w:r>
      <w:r>
        <w:t xml:space="preserve"> and</w:t>
      </w:r>
      <w:r w:rsidRPr="005527ED">
        <w:t xml:space="preserve"> is a prerequisite for a happy</w:t>
      </w:r>
      <w:r>
        <w:t>,</w:t>
      </w:r>
      <w:r w:rsidRPr="005527ED">
        <w:t xml:space="preserve"> stable </w:t>
      </w:r>
      <w:r>
        <w:t xml:space="preserve">and dignified </w:t>
      </w:r>
      <w:r w:rsidRPr="005527ED">
        <w:t>life.</w:t>
      </w:r>
      <w:r w:rsidRPr="005527ED">
        <w:rPr>
          <w:rStyle w:val="FootnoteReference"/>
        </w:rPr>
        <w:footnoteReference w:id="15"/>
      </w:r>
      <w:r>
        <w:t xml:space="preserve"> </w:t>
      </w:r>
      <w:r w:rsidRPr="006D339B">
        <w:t>There is evidence that people with disabilities and older Australians have trouble finding housing that meets their needs.</w:t>
      </w:r>
      <w:r>
        <w:t xml:space="preserve"> Housing that is inaccessible for people with mobility limitations can impose various costs on those people and their families and the community more broadly. These costs include:</w:t>
      </w:r>
    </w:p>
    <w:p w:rsidR="007C6A5F" w:rsidRDefault="007C6A5F" w:rsidP="005A6F87">
      <w:pPr>
        <w:pStyle w:val="ListBullet"/>
        <w:numPr>
          <w:ilvl w:val="0"/>
          <w:numId w:val="17"/>
        </w:numPr>
        <w:rPr>
          <w:lang w:eastAsia="en-US" w:bidi="fa-IR"/>
        </w:rPr>
      </w:pPr>
      <w:r>
        <w:rPr>
          <w:lang w:eastAsia="en-US" w:bidi="fa-IR"/>
        </w:rPr>
        <w:t>safety</w:t>
      </w:r>
      <w:r>
        <w:rPr>
          <w:lang w:eastAsia="en-US" w:bidi="fa-IR"/>
        </w:rPr>
        <w:noBreakHyphen/>
        <w:t>related costs where people with mobility limitations remain living in housing that does not meet their accessibility needs, they are at higher risk of falls</w:t>
      </w:r>
    </w:p>
    <w:p w:rsidR="007C6A5F" w:rsidRDefault="007C6A5F" w:rsidP="005A6F87">
      <w:pPr>
        <w:pStyle w:val="ListBullet"/>
        <w:numPr>
          <w:ilvl w:val="0"/>
          <w:numId w:val="17"/>
        </w:numPr>
        <w:rPr>
          <w:lang w:eastAsia="en-US" w:bidi="fa-IR"/>
        </w:rPr>
      </w:pPr>
      <w:r>
        <w:rPr>
          <w:lang w:eastAsia="en-US" w:bidi="fa-IR"/>
        </w:rPr>
        <w:t>costs associated with additional care needs where people with accessibility needs remain living in housing that does not meet their accessibility needs</w:t>
      </w:r>
    </w:p>
    <w:p w:rsidR="007C6A5F" w:rsidRDefault="007C6A5F" w:rsidP="005A6F87">
      <w:pPr>
        <w:pStyle w:val="ListBullet"/>
        <w:numPr>
          <w:ilvl w:val="0"/>
          <w:numId w:val="17"/>
        </w:numPr>
        <w:rPr>
          <w:lang w:eastAsia="en-US" w:bidi="fa-IR"/>
        </w:rPr>
      </w:pPr>
      <w:r>
        <w:rPr>
          <w:lang w:eastAsia="en-US" w:bidi="fa-IR"/>
        </w:rPr>
        <w:t>unnecessarily high costs associated with home modifications</w:t>
      </w:r>
    </w:p>
    <w:p w:rsidR="007C6A5F" w:rsidRDefault="007C6A5F" w:rsidP="005A6F87">
      <w:pPr>
        <w:pStyle w:val="ListBullet"/>
        <w:numPr>
          <w:ilvl w:val="0"/>
          <w:numId w:val="17"/>
        </w:numPr>
        <w:rPr>
          <w:lang w:eastAsia="en-US" w:bidi="fa-IR"/>
        </w:rPr>
      </w:pPr>
      <w:r>
        <w:rPr>
          <w:lang w:eastAsia="en-US" w:bidi="fa-IR"/>
        </w:rPr>
        <w:t>costs associated with avoidable moves to more suitable accommodation</w:t>
      </w:r>
    </w:p>
    <w:p w:rsidR="007C6A5F" w:rsidRDefault="007C6A5F" w:rsidP="005A6F87">
      <w:pPr>
        <w:pStyle w:val="ListBullet"/>
        <w:numPr>
          <w:ilvl w:val="0"/>
          <w:numId w:val="17"/>
        </w:numPr>
        <w:rPr>
          <w:lang w:eastAsia="en-US" w:bidi="fa-IR"/>
        </w:rPr>
      </w:pPr>
      <w:r>
        <w:rPr>
          <w:lang w:eastAsia="en-US" w:bidi="fa-IR"/>
        </w:rPr>
        <w:t>costs associated with longer stays in hospital and transition care, where discharge is delayed due to their home lacking accessibility features</w:t>
      </w:r>
    </w:p>
    <w:p w:rsidR="007C6A5F" w:rsidRDefault="007C6A5F" w:rsidP="005A6F87">
      <w:pPr>
        <w:pStyle w:val="ListBullet"/>
        <w:numPr>
          <w:ilvl w:val="0"/>
          <w:numId w:val="17"/>
        </w:numPr>
        <w:rPr>
          <w:lang w:eastAsia="en-US" w:bidi="fa-IR"/>
        </w:rPr>
      </w:pPr>
      <w:r>
        <w:rPr>
          <w:lang w:eastAsia="en-US" w:bidi="fa-IR"/>
        </w:rPr>
        <w:t>costs associated with loneliness, where people with accessibility needs are unable to leave their own house as frequently as they would like or are unable to visit friends and relatives (people without accessibility needs may also be impacted if family and friends with accessibility needs are unable to visit them)</w:t>
      </w:r>
    </w:p>
    <w:p w:rsidR="007C6A5F" w:rsidRDefault="007C6A5F" w:rsidP="005A6F87">
      <w:pPr>
        <w:pStyle w:val="ListBullet"/>
        <w:numPr>
          <w:ilvl w:val="0"/>
          <w:numId w:val="17"/>
        </w:numPr>
        <w:rPr>
          <w:lang w:eastAsia="en-US" w:bidi="fa-IR"/>
        </w:rPr>
      </w:pPr>
      <w:r>
        <w:rPr>
          <w:lang w:eastAsia="en-US" w:bidi="fa-IR"/>
        </w:rPr>
        <w:t>additional costs associated with inappropriate or premature entry into residential aged care (or other institutional care) due to dwellings lacking accessibility features.</w:t>
      </w:r>
    </w:p>
    <w:p w:rsidR="007C6A5F" w:rsidRDefault="007C6A5F" w:rsidP="007C6A5F">
      <w:pPr>
        <w:pStyle w:val="BodyText"/>
      </w:pPr>
      <w:r w:rsidRPr="006D339B">
        <w:t>In addition, there is a cost to the community</w:t>
      </w:r>
      <w:r>
        <w:t xml:space="preserve"> where vulnerable members of the community, such as people with disabilities </w:t>
      </w:r>
      <w:r w:rsidR="004B3D68">
        <w:t xml:space="preserve">and older Australians </w:t>
      </w:r>
      <w:r>
        <w:t>do not have access to housing that meets their needs. This reflect</w:t>
      </w:r>
      <w:r w:rsidR="004B3D68">
        <w:t>s</w:t>
      </w:r>
      <w:r>
        <w:t xml:space="preserve"> </w:t>
      </w:r>
      <w:r w:rsidRPr="006D339B">
        <w:t>the community’s preference for equitable outcomes for these vulnerable members of the community.</w:t>
      </w:r>
    </w:p>
    <w:p w:rsidR="007C6A5F" w:rsidRDefault="007C6A5F" w:rsidP="007C6A5F">
      <w:pPr>
        <w:pStyle w:val="BodyText"/>
      </w:pPr>
      <w:r>
        <w:t xml:space="preserve">There are a significant number of government policies in place to either subsidise, directly provide or encourage private provision of housing that meets the needs of people </w:t>
      </w:r>
      <w:r>
        <w:lastRenderedPageBreak/>
        <w:t>with disabilities and older people. Key policies to ensure that people with disabilities and older people have access to housing that meets their needs include:</w:t>
      </w:r>
    </w:p>
    <w:p w:rsidR="007C6A5F" w:rsidRPr="006D339B" w:rsidRDefault="007C6A5F" w:rsidP="005A6F87">
      <w:pPr>
        <w:pStyle w:val="ListBullet"/>
        <w:numPr>
          <w:ilvl w:val="0"/>
          <w:numId w:val="17"/>
        </w:numPr>
      </w:pPr>
      <w:r w:rsidRPr="006D339B">
        <w:t>funding home modifications and other support services (through the NDIS and various aged care policies) to support people with mobility limitations to stay in their own home</w:t>
      </w:r>
    </w:p>
    <w:p w:rsidR="007C6A5F" w:rsidRDefault="007C6A5F" w:rsidP="005A6F87">
      <w:pPr>
        <w:pStyle w:val="ListBullet"/>
        <w:numPr>
          <w:ilvl w:val="0"/>
          <w:numId w:val="17"/>
        </w:numPr>
      </w:pPr>
      <w:r>
        <w:t>funding for residential aged care places</w:t>
      </w:r>
    </w:p>
    <w:p w:rsidR="007C6A5F" w:rsidRDefault="007C6A5F" w:rsidP="005A6F87">
      <w:pPr>
        <w:pStyle w:val="ListBullet"/>
        <w:numPr>
          <w:ilvl w:val="0"/>
          <w:numId w:val="17"/>
        </w:numPr>
      </w:pPr>
      <w:r>
        <w:t>planning policies put in place by some state and local governments to encourage private provision of accessible housing</w:t>
      </w:r>
    </w:p>
    <w:p w:rsidR="007C6A5F" w:rsidRDefault="007C6A5F" w:rsidP="005A6F87">
      <w:pPr>
        <w:pStyle w:val="ListBullet"/>
        <w:numPr>
          <w:ilvl w:val="0"/>
          <w:numId w:val="17"/>
        </w:numPr>
      </w:pPr>
      <w:r>
        <w:t>provision of accessible social and community housing.</w:t>
      </w:r>
    </w:p>
    <w:p w:rsidR="007C6A5F" w:rsidRDefault="007C6A5F" w:rsidP="007C6A5F">
      <w:pPr>
        <w:pStyle w:val="BodyText"/>
      </w:pPr>
      <w:r>
        <w:t xml:space="preserve">Despite these policies and other services available, we have identified a range of costs that could potentially be avoided through increased provision of accessible housing. </w:t>
      </w:r>
      <w:r w:rsidRPr="006D339B">
        <w:t xml:space="preserve">These are complex </w:t>
      </w:r>
      <w:r>
        <w:t>matter</w:t>
      </w:r>
      <w:r w:rsidRPr="006D339B">
        <w:t xml:space="preserve">s and the indicators used to identify the number of people affected and other information relied onto to quantify the benefits are imperfect. As such there is significant uncertainty around our estimate of the size of the problem and for some </w:t>
      </w:r>
      <w:r>
        <w:t>issue</w:t>
      </w:r>
      <w:r w:rsidRPr="006D339B">
        <w:t>s, we have estimated a range.</w:t>
      </w:r>
      <w:r>
        <w:t xml:space="preserve"> </w:t>
      </w:r>
    </w:p>
    <w:p w:rsidR="007C6A5F" w:rsidRDefault="007C6A5F" w:rsidP="005A6F87">
      <w:pPr>
        <w:pStyle w:val="ListBullet"/>
        <w:numPr>
          <w:ilvl w:val="0"/>
          <w:numId w:val="17"/>
        </w:numPr>
      </w:pPr>
      <w:r>
        <w:t>Based on the information available we estimate that the costs associated with a lack of accessible housing could be in a range between around $2.2 billion and $2.7 billion per year, with a central case estimate of around $2.5 billion (based on 2018 data) (table </w:t>
      </w:r>
      <w:r>
        <w:rPr>
          <w:noProof/>
        </w:rPr>
        <w:fldChar w:fldCharType="begin"/>
      </w:r>
      <w:r>
        <w:rPr>
          <w:noProof/>
        </w:rPr>
        <w:instrText xml:space="preserve"> REF _Caption7188 </w:instrText>
      </w:r>
      <w:r>
        <w:rPr>
          <w:noProof/>
        </w:rPr>
        <w:fldChar w:fldCharType="separate"/>
      </w:r>
      <w:r>
        <w:rPr>
          <w:noProof/>
        </w:rPr>
        <w:t>2</w:t>
      </w:r>
      <w:r w:rsidRPr="00695C93">
        <w:rPr>
          <w:noProof/>
        </w:rPr>
        <w:t>.</w:t>
      </w:r>
      <w:r>
        <w:rPr>
          <w:noProof/>
        </w:rPr>
        <w:t>1</w:t>
      </w:r>
      <w:r>
        <w:rPr>
          <w:noProof/>
        </w:rPr>
        <w:fldChar w:fldCharType="end"/>
      </w:r>
      <w:r>
        <w:t xml:space="preserve">). As we have primarily relied on the ABS Survey of Disabilities, Ageing and Carers, these costs mainly relate to people with a </w:t>
      </w:r>
      <w:r w:rsidRPr="008F2F43">
        <w:t>long</w:t>
      </w:r>
      <w:r w:rsidRPr="008F2F43">
        <w:noBreakHyphen/>
        <w:t>term disability (defined as longer than 6 months).</w:t>
      </w:r>
    </w:p>
    <w:p w:rsidR="007C6A5F" w:rsidRDefault="007C6A5F" w:rsidP="005A6F87">
      <w:pPr>
        <w:pStyle w:val="ListBullet2"/>
        <w:numPr>
          <w:ilvl w:val="1"/>
          <w:numId w:val="17"/>
        </w:numPr>
        <w:ind w:left="568" w:hanging="284"/>
      </w:pPr>
      <w:r>
        <w:t>The estimates of additional time spent in hospital and/or transition care would include people with shorter</w:t>
      </w:r>
      <w:r>
        <w:noBreakHyphen/>
        <w:t>term mobility impairments.</w:t>
      </w:r>
    </w:p>
    <w:p w:rsidR="007C6A5F" w:rsidRDefault="007C6A5F" w:rsidP="005A6F87">
      <w:pPr>
        <w:pStyle w:val="ListBullet2"/>
        <w:numPr>
          <w:ilvl w:val="1"/>
          <w:numId w:val="17"/>
        </w:numPr>
        <w:ind w:left="568" w:hanging="284"/>
      </w:pPr>
      <w:r>
        <w:t xml:space="preserve">However, other costs relating to </w:t>
      </w:r>
      <w:r w:rsidRPr="008F2F43">
        <w:t>people with shorter</w:t>
      </w:r>
      <w:r w:rsidRPr="008F2F43">
        <w:noBreakHyphen/>
        <w:t>term mobility impairments have not been included, due mainly to data limitations.</w:t>
      </w:r>
    </w:p>
    <w:p w:rsidR="007C6A5F" w:rsidRDefault="007C6A5F" w:rsidP="005A6F87">
      <w:pPr>
        <w:pStyle w:val="ListBullet"/>
        <w:numPr>
          <w:ilvl w:val="0"/>
          <w:numId w:val="17"/>
        </w:numPr>
      </w:pPr>
      <w:r>
        <w:t xml:space="preserve">If these costs increase in proportion to the number of people with accessibility needs, we estimate that these costs could increase to between </w:t>
      </w:r>
      <w:r w:rsidRPr="0041473F">
        <w:t>around $</w:t>
      </w:r>
      <w:r w:rsidRPr="00331E11">
        <w:t>3.4</w:t>
      </w:r>
      <w:r w:rsidRPr="003673E8">
        <w:t xml:space="preserve"> billion and </w:t>
      </w:r>
      <w:r w:rsidRPr="007726E5">
        <w:t>$</w:t>
      </w:r>
      <w:r w:rsidRPr="00F36A14">
        <w:t>4.1</w:t>
      </w:r>
      <w:r w:rsidRPr="0041473F">
        <w:t> </w:t>
      </w:r>
      <w:r w:rsidRPr="004B4391">
        <w:t>billion</w:t>
      </w:r>
      <w:r w:rsidRPr="00331E11">
        <w:t xml:space="preserve"> </w:t>
      </w:r>
      <w:r w:rsidRPr="003673E8">
        <w:t>per ann</w:t>
      </w:r>
      <w:r>
        <w:t>um by 2040, with a central case estimate of $3.7 billion.</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2</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1</w:instrText>
      </w:r>
      <w:r w:rsidRPr="00695C93">
        <w:fldChar w:fldCharType="end"/>
      </w:r>
      <w:r w:rsidRPr="00695C93">
        <w:instrText xml:space="preserve">" "" </w:instrText>
      </w:r>
      <w:r w:rsidRPr="00695C93">
        <w:fldChar w:fldCharType="separate"/>
      </w:r>
      <w:bookmarkStart w:id="534" w:name="_Caption5271"/>
      <w:bookmarkStart w:id="535" w:name="_Caption1210"/>
      <w:bookmarkStart w:id="536" w:name="_Caption2748"/>
      <w:bookmarkStart w:id="537" w:name="_Caption5443"/>
      <w:bookmarkStart w:id="538" w:name="_Caption2415"/>
      <w:bookmarkStart w:id="539" w:name="_Caption6546"/>
      <w:bookmarkStart w:id="540" w:name="_Caption1914"/>
      <w:bookmarkStart w:id="541" w:name="_Caption4331"/>
      <w:bookmarkStart w:id="542" w:name="_Caption2751"/>
      <w:bookmarkStart w:id="543" w:name="_Caption2709"/>
      <w:bookmarkStart w:id="544" w:name="_Caption7188"/>
      <w:bookmarkStart w:id="545" w:name="_Caption9771"/>
      <w:bookmarkStart w:id="546" w:name="_Caption7599"/>
      <w:bookmarkStart w:id="547" w:name="_Caption2379"/>
      <w:bookmarkStart w:id="548" w:name="_Caption2903"/>
      <w:bookmarkStart w:id="549" w:name="_Caption7322"/>
      <w:bookmarkStart w:id="550" w:name="_Toc44598485"/>
      <w:bookmarkStart w:id="551" w:name="_Toc45654116"/>
      <w:r w:rsidR="00272AF3">
        <w:rPr>
          <w:noProof/>
        </w:rPr>
        <w:t>2</w:t>
      </w:r>
      <w:r w:rsidR="00272AF3" w:rsidRPr="00695C93">
        <w:rPr>
          <w:noProof/>
        </w:rPr>
        <w:t>.</w:t>
      </w:r>
      <w:r w:rsidR="00272AF3">
        <w:rPr>
          <w:noProof/>
        </w:rPr>
        <w:t>1</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Pr="00695C93">
        <w:fldChar w:fldCharType="end"/>
      </w:r>
      <w:r w:rsidRPr="00695C93">
        <w:tab/>
      </w:r>
      <w:r>
        <w:t>Estimated size of the problem (per year)</w:t>
      </w:r>
      <w:bookmarkEnd w:id="550"/>
      <w:bookmarkEnd w:id="551"/>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2.1"/>
        <w:tblDescription w:val="Estimated size of the problem (per year)"/>
      </w:tblPr>
      <w:tblGrid>
        <w:gridCol w:w="3648"/>
        <w:gridCol w:w="1423"/>
        <w:gridCol w:w="1443"/>
        <w:gridCol w:w="1424"/>
      </w:tblGrid>
      <w:tr w:rsidR="007C6A5F" w:rsidRPr="00CE3411" w:rsidTr="00F10492">
        <w:trPr>
          <w:trHeight w:val="230"/>
          <w:tblHeader/>
        </w:trPr>
        <w:tc>
          <w:tcPr>
            <w:tcW w:w="3648" w:type="dxa"/>
            <w:shd w:val="clear" w:color="auto" w:fill="6F6652" w:themeFill="accent5"/>
          </w:tcPr>
          <w:p w:rsidR="007C6A5F" w:rsidRPr="00CE3411" w:rsidRDefault="00F10492" w:rsidP="00C36DA4">
            <w:pPr>
              <w:pStyle w:val="TableDataColumnHeading"/>
              <w:jc w:val="left"/>
              <w:rPr>
                <w:lang w:val="en-GB"/>
              </w:rPr>
            </w:pPr>
            <w:r>
              <w:rPr>
                <w:lang w:val="en-GB"/>
              </w:rPr>
              <w:t>Problem</w:t>
            </w:r>
          </w:p>
        </w:tc>
        <w:tc>
          <w:tcPr>
            <w:tcW w:w="1423" w:type="dxa"/>
            <w:shd w:val="clear" w:color="auto" w:fill="6F6652" w:themeFill="accent5"/>
          </w:tcPr>
          <w:p w:rsidR="007C6A5F" w:rsidRPr="00CE3411" w:rsidRDefault="007C6A5F" w:rsidP="00C36DA4">
            <w:pPr>
              <w:pStyle w:val="TableDataColumnHeading"/>
              <w:rPr>
                <w:lang w:val="en-GB"/>
              </w:rPr>
            </w:pPr>
            <w:r w:rsidRPr="00CE3411">
              <w:rPr>
                <w:lang w:val="en-GB"/>
              </w:rPr>
              <w:t>Low estimate</w:t>
            </w:r>
            <w:r w:rsidR="00F10492">
              <w:rPr>
                <w:lang w:val="en-GB"/>
              </w:rPr>
              <w:br/>
              <w:t>($ billion)</w:t>
            </w:r>
          </w:p>
        </w:tc>
        <w:tc>
          <w:tcPr>
            <w:tcW w:w="1443" w:type="dxa"/>
            <w:shd w:val="clear" w:color="auto" w:fill="6F6652" w:themeFill="accent5"/>
          </w:tcPr>
          <w:p w:rsidR="007C6A5F" w:rsidRPr="00CE3411" w:rsidRDefault="007C6A5F" w:rsidP="00C36DA4">
            <w:pPr>
              <w:pStyle w:val="TableDataColumnHeading"/>
              <w:rPr>
                <w:lang w:val="en-GB"/>
              </w:rPr>
            </w:pPr>
            <w:r>
              <w:rPr>
                <w:lang w:val="en-GB"/>
              </w:rPr>
              <w:t>Central case</w:t>
            </w:r>
            <w:r w:rsidR="00F10492">
              <w:rPr>
                <w:lang w:val="en-GB"/>
              </w:rPr>
              <w:br/>
              <w:t>($ billion)</w:t>
            </w:r>
          </w:p>
        </w:tc>
        <w:tc>
          <w:tcPr>
            <w:tcW w:w="1424" w:type="dxa"/>
            <w:shd w:val="clear" w:color="auto" w:fill="6F6652" w:themeFill="accent5"/>
          </w:tcPr>
          <w:p w:rsidR="007C6A5F" w:rsidRPr="00CE3411" w:rsidRDefault="007C6A5F" w:rsidP="00C36DA4">
            <w:pPr>
              <w:pStyle w:val="TableDataColumnHeading"/>
              <w:rPr>
                <w:lang w:val="en-GB"/>
              </w:rPr>
            </w:pPr>
            <w:r w:rsidRPr="00CE3411">
              <w:rPr>
                <w:lang w:val="en-GB"/>
              </w:rPr>
              <w:t>High estimate</w:t>
            </w:r>
            <w:r w:rsidR="00F10492">
              <w:rPr>
                <w:lang w:val="en-GB"/>
              </w:rPr>
              <w:br/>
              <w:t>($ billion)</w:t>
            </w:r>
          </w:p>
        </w:tc>
      </w:tr>
      <w:tr w:rsidR="007C6A5F" w:rsidTr="002E1A6C">
        <w:trPr>
          <w:trHeight w:val="230"/>
        </w:trPr>
        <w:tc>
          <w:tcPr>
            <w:tcW w:w="364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Safety-related costs</w:t>
            </w:r>
          </w:p>
        </w:tc>
        <w:tc>
          <w:tcPr>
            <w:tcW w:w="1423"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41.85</w:t>
            </w:r>
          </w:p>
        </w:tc>
        <w:tc>
          <w:tcPr>
            <w:tcW w:w="1443"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57.35</w:t>
            </w:r>
          </w:p>
        </w:tc>
        <w:tc>
          <w:tcPr>
            <w:tcW w:w="1424"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71.30</w:t>
            </w:r>
          </w:p>
        </w:tc>
      </w:tr>
      <w:tr w:rsidR="007C6A5F" w:rsidTr="002E1A6C">
        <w:trPr>
          <w:trHeight w:val="230"/>
        </w:trPr>
        <w:tc>
          <w:tcPr>
            <w:tcW w:w="364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Additional time in hospital/transition care</w:t>
            </w:r>
          </w:p>
        </w:tc>
        <w:tc>
          <w:tcPr>
            <w:tcW w:w="1423"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234.59</w:t>
            </w:r>
          </w:p>
        </w:tc>
        <w:tc>
          <w:tcPr>
            <w:tcW w:w="1443"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234.59</w:t>
            </w:r>
          </w:p>
        </w:tc>
        <w:tc>
          <w:tcPr>
            <w:tcW w:w="1424"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234.59</w:t>
            </w:r>
          </w:p>
        </w:tc>
      </w:tr>
      <w:tr w:rsidR="007C6A5F" w:rsidTr="002E1A6C">
        <w:trPr>
          <w:trHeight w:val="230"/>
        </w:trPr>
        <w:tc>
          <w:tcPr>
            <w:tcW w:w="364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Loneliness-related costs</w:t>
            </w:r>
          </w:p>
        </w:tc>
        <w:tc>
          <w:tcPr>
            <w:tcW w:w="1423"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85.78</w:t>
            </w:r>
          </w:p>
        </w:tc>
        <w:tc>
          <w:tcPr>
            <w:tcW w:w="1443"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194.27</w:t>
            </w:r>
          </w:p>
        </w:tc>
        <w:tc>
          <w:tcPr>
            <w:tcW w:w="1424"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302.76</w:t>
            </w:r>
          </w:p>
        </w:tc>
      </w:tr>
      <w:tr w:rsidR="007C6A5F" w:rsidTr="002E1A6C">
        <w:trPr>
          <w:trHeight w:val="230"/>
        </w:trPr>
        <w:tc>
          <w:tcPr>
            <w:tcW w:w="364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Home modifications</w:t>
            </w:r>
          </w:p>
        </w:tc>
        <w:tc>
          <w:tcPr>
            <w:tcW w:w="1423"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599.63</w:t>
            </w:r>
          </w:p>
        </w:tc>
        <w:tc>
          <w:tcPr>
            <w:tcW w:w="1443"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599.63</w:t>
            </w:r>
          </w:p>
        </w:tc>
        <w:tc>
          <w:tcPr>
            <w:tcW w:w="1424"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599.63</w:t>
            </w:r>
          </w:p>
        </w:tc>
      </w:tr>
      <w:tr w:rsidR="007C6A5F" w:rsidTr="002E1A6C">
        <w:trPr>
          <w:trHeight w:val="230"/>
        </w:trPr>
        <w:tc>
          <w:tcPr>
            <w:tcW w:w="364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Additional carer-related costs</w:t>
            </w:r>
          </w:p>
        </w:tc>
        <w:tc>
          <w:tcPr>
            <w:tcW w:w="1423"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699.42</w:t>
            </w:r>
          </w:p>
        </w:tc>
        <w:tc>
          <w:tcPr>
            <w:tcW w:w="1443"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699.42</w:t>
            </w:r>
          </w:p>
        </w:tc>
        <w:tc>
          <w:tcPr>
            <w:tcW w:w="1424"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699.42</w:t>
            </w:r>
          </w:p>
        </w:tc>
      </w:tr>
      <w:tr w:rsidR="007C6A5F" w:rsidTr="002E1A6C">
        <w:trPr>
          <w:trHeight w:val="230"/>
        </w:trPr>
        <w:tc>
          <w:tcPr>
            <w:tcW w:w="364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Additional moving costs</w:t>
            </w:r>
          </w:p>
        </w:tc>
        <w:tc>
          <w:tcPr>
            <w:tcW w:w="1423"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14.27</w:t>
            </w:r>
          </w:p>
        </w:tc>
        <w:tc>
          <w:tcPr>
            <w:tcW w:w="1443"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28.73</w:t>
            </w:r>
          </w:p>
        </w:tc>
        <w:tc>
          <w:tcPr>
            <w:tcW w:w="1424"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43.18</w:t>
            </w:r>
          </w:p>
        </w:tc>
      </w:tr>
      <w:tr w:rsidR="007C6A5F" w:rsidTr="002E1A6C">
        <w:trPr>
          <w:trHeight w:val="230"/>
        </w:trPr>
        <w:tc>
          <w:tcPr>
            <w:tcW w:w="364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Premature/inappropriate entry into aged care</w:t>
            </w:r>
          </w:p>
        </w:tc>
        <w:tc>
          <w:tcPr>
            <w:tcW w:w="1423"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163.61</w:t>
            </w:r>
          </w:p>
        </w:tc>
        <w:tc>
          <w:tcPr>
            <w:tcW w:w="1443"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254.61</w:t>
            </w:r>
          </w:p>
        </w:tc>
        <w:tc>
          <w:tcPr>
            <w:tcW w:w="1424"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370.43</w:t>
            </w:r>
          </w:p>
        </w:tc>
      </w:tr>
      <w:tr w:rsidR="007C6A5F" w:rsidTr="00B5160B">
        <w:trPr>
          <w:trHeight w:val="230"/>
        </w:trPr>
        <w:tc>
          <w:tcPr>
            <w:tcW w:w="364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Costs to the community</w:t>
            </w:r>
          </w:p>
        </w:tc>
        <w:tc>
          <w:tcPr>
            <w:tcW w:w="1423"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388.82</w:t>
            </w:r>
          </w:p>
        </w:tc>
        <w:tc>
          <w:tcPr>
            <w:tcW w:w="1443"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388.82</w:t>
            </w:r>
          </w:p>
        </w:tc>
        <w:tc>
          <w:tcPr>
            <w:tcW w:w="1424"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388.82</w:t>
            </w:r>
          </w:p>
        </w:tc>
      </w:tr>
      <w:tr w:rsidR="007C6A5F" w:rsidRPr="00A664CF" w:rsidTr="00B5160B">
        <w:trPr>
          <w:trHeight w:val="230"/>
        </w:trPr>
        <w:tc>
          <w:tcPr>
            <w:tcW w:w="3648" w:type="dxa"/>
            <w:tcBorders>
              <w:top w:val="single" w:sz="8" w:space="0" w:color="FFFFFF" w:themeColor="background1"/>
              <w:bottom w:val="single" w:sz="4" w:space="0" w:color="6F6652" w:themeColor="accent5"/>
            </w:tcBorders>
            <w:shd w:val="clear" w:color="auto" w:fill="C2DADB" w:themeFill="accent6" w:themeFillTint="99"/>
          </w:tcPr>
          <w:p w:rsidR="007C6A5F" w:rsidRPr="0041473F" w:rsidRDefault="007C6A5F" w:rsidP="00C36DA4">
            <w:pPr>
              <w:pStyle w:val="TableDataEntries"/>
              <w:jc w:val="left"/>
              <w:rPr>
                <w:rFonts w:ascii="Franklin Gothic Demi" w:hAnsi="Franklin Gothic Demi"/>
                <w:lang w:val="en-GB"/>
              </w:rPr>
            </w:pPr>
            <w:r w:rsidRPr="00A664CF">
              <w:rPr>
                <w:rFonts w:ascii="Franklin Gothic Demi" w:hAnsi="Franklin Gothic Demi"/>
                <w:lang w:val="en-GB"/>
              </w:rPr>
              <w:t>Total</w:t>
            </w:r>
          </w:p>
        </w:tc>
        <w:tc>
          <w:tcPr>
            <w:tcW w:w="1423" w:type="dxa"/>
            <w:tcBorders>
              <w:top w:val="single" w:sz="8" w:space="0" w:color="FFFFFF" w:themeColor="background1"/>
              <w:bottom w:val="single" w:sz="4" w:space="0" w:color="6F6652" w:themeColor="accent5"/>
            </w:tcBorders>
            <w:shd w:val="clear" w:color="auto" w:fill="C2DADB" w:themeFill="accent6" w:themeFillTint="99"/>
          </w:tcPr>
          <w:p w:rsidR="007C6A5F" w:rsidRPr="00F36A14" w:rsidRDefault="007C6A5F" w:rsidP="00C36DA4">
            <w:pPr>
              <w:pStyle w:val="TableDataEntries"/>
              <w:rPr>
                <w:rFonts w:ascii="Franklin Gothic Demi" w:hAnsi="Franklin Gothic Demi"/>
              </w:rPr>
            </w:pPr>
            <w:r w:rsidRPr="00F36A14">
              <w:rPr>
                <w:rFonts w:ascii="Franklin Gothic Demi" w:hAnsi="Franklin Gothic Demi"/>
              </w:rPr>
              <w:t>2 227.96</w:t>
            </w:r>
          </w:p>
        </w:tc>
        <w:tc>
          <w:tcPr>
            <w:tcW w:w="1443" w:type="dxa"/>
            <w:tcBorders>
              <w:top w:val="single" w:sz="8" w:space="0" w:color="FFFFFF" w:themeColor="background1"/>
              <w:bottom w:val="single" w:sz="4" w:space="0" w:color="6F6652" w:themeColor="accent5"/>
            </w:tcBorders>
            <w:shd w:val="clear" w:color="auto" w:fill="C2DADB" w:themeFill="accent6" w:themeFillTint="99"/>
          </w:tcPr>
          <w:p w:rsidR="007C6A5F" w:rsidRPr="00F36A14" w:rsidRDefault="007C6A5F" w:rsidP="00C36DA4">
            <w:pPr>
              <w:pStyle w:val="TableDataEntries"/>
              <w:rPr>
                <w:rFonts w:ascii="Franklin Gothic Demi" w:hAnsi="Franklin Gothic Demi"/>
              </w:rPr>
            </w:pPr>
            <w:r w:rsidRPr="00F36A14">
              <w:rPr>
                <w:rFonts w:ascii="Franklin Gothic Demi" w:hAnsi="Franklin Gothic Demi"/>
              </w:rPr>
              <w:t>2 457.40</w:t>
            </w:r>
          </w:p>
        </w:tc>
        <w:tc>
          <w:tcPr>
            <w:tcW w:w="1424" w:type="dxa"/>
            <w:tcBorders>
              <w:top w:val="single" w:sz="8" w:space="0" w:color="FFFFFF" w:themeColor="background1"/>
              <w:bottom w:val="single" w:sz="4" w:space="0" w:color="6F6652" w:themeColor="accent5"/>
            </w:tcBorders>
            <w:shd w:val="clear" w:color="auto" w:fill="C2DADB" w:themeFill="accent6" w:themeFillTint="99"/>
          </w:tcPr>
          <w:p w:rsidR="007C6A5F" w:rsidRPr="00F36A14" w:rsidRDefault="007C6A5F" w:rsidP="00C36DA4">
            <w:pPr>
              <w:pStyle w:val="TableDataEntries"/>
              <w:rPr>
                <w:rFonts w:ascii="Franklin Gothic Demi" w:hAnsi="Franklin Gothic Demi"/>
              </w:rPr>
            </w:pPr>
            <w:r w:rsidRPr="00F36A14">
              <w:rPr>
                <w:rFonts w:ascii="Franklin Gothic Demi" w:hAnsi="Franklin Gothic Demi"/>
              </w:rPr>
              <w:t>2 710.12</w:t>
            </w:r>
          </w:p>
        </w:tc>
      </w:tr>
    </w:tbl>
    <w:p w:rsidR="007C6A5F" w:rsidRDefault="007C6A5F" w:rsidP="007C6A5F">
      <w:pPr>
        <w:pStyle w:val="Source"/>
      </w:pPr>
      <w:r>
        <w:rPr>
          <w:i/>
        </w:rPr>
        <w:t>Source</w:t>
      </w:r>
      <w:r w:rsidRPr="00E4232C">
        <w:rPr>
          <w:i/>
        </w:rPr>
        <w:t>:</w:t>
      </w:r>
      <w:r>
        <w:t xml:space="preserve"> CIE estimates.</w:t>
      </w:r>
    </w:p>
    <w:p w:rsidR="007C6A5F" w:rsidRDefault="007C6A5F" w:rsidP="007C6A5F">
      <w:pPr>
        <w:pStyle w:val="BodyText"/>
        <w:rPr>
          <w:lang w:eastAsia="en-US"/>
        </w:rPr>
      </w:pPr>
      <w:r>
        <w:rPr>
          <w:lang w:eastAsia="en-US"/>
        </w:rPr>
        <w:t>Underlying causes of these issues include the following.</w:t>
      </w:r>
    </w:p>
    <w:p w:rsidR="007C6A5F" w:rsidRDefault="007C6A5F" w:rsidP="005A6F87">
      <w:pPr>
        <w:pStyle w:val="ListBullet"/>
        <w:numPr>
          <w:ilvl w:val="0"/>
          <w:numId w:val="17"/>
        </w:numPr>
        <w:rPr>
          <w:lang w:eastAsia="en-US"/>
        </w:rPr>
      </w:pPr>
      <w:r>
        <w:rPr>
          <w:lang w:eastAsia="en-US"/>
        </w:rPr>
        <w:lastRenderedPageBreak/>
        <w:t>There appear to be a range of market imperfections, including:</w:t>
      </w:r>
    </w:p>
    <w:p w:rsidR="007C6A5F" w:rsidRPr="008F2F43" w:rsidRDefault="007C6A5F" w:rsidP="005A6F87">
      <w:pPr>
        <w:pStyle w:val="ListBullet2"/>
        <w:numPr>
          <w:ilvl w:val="1"/>
          <w:numId w:val="17"/>
        </w:numPr>
        <w:ind w:left="568" w:hanging="284"/>
        <w:rPr>
          <w:lang w:eastAsia="en-US"/>
        </w:rPr>
      </w:pPr>
      <w:r>
        <w:rPr>
          <w:lang w:eastAsia="en-US"/>
        </w:rPr>
        <w:t xml:space="preserve">some homebuyers (particularly younger homebuyers) </w:t>
      </w:r>
      <w:r w:rsidRPr="008F2F43">
        <w:rPr>
          <w:lang w:eastAsia="en-US"/>
        </w:rPr>
        <w:t>are failing to foresee future accessibility needs when they make design choices</w:t>
      </w:r>
    </w:p>
    <w:p w:rsidR="007C6A5F" w:rsidRDefault="007C6A5F" w:rsidP="005A6F87">
      <w:pPr>
        <w:pStyle w:val="ListBullet2"/>
        <w:numPr>
          <w:ilvl w:val="1"/>
          <w:numId w:val="17"/>
        </w:numPr>
        <w:ind w:left="568" w:hanging="284"/>
        <w:rPr>
          <w:lang w:eastAsia="en-US"/>
        </w:rPr>
      </w:pPr>
      <w:r>
        <w:rPr>
          <w:lang w:eastAsia="en-US"/>
        </w:rPr>
        <w:t>the characteristics of housing delivery chain, which can make it difficult for some homebuyers to deviate from standard designs to incorporate accessibility features</w:t>
      </w:r>
    </w:p>
    <w:p w:rsidR="007C6A5F" w:rsidRDefault="007C6A5F" w:rsidP="005A6F87">
      <w:pPr>
        <w:pStyle w:val="ListBullet2"/>
        <w:numPr>
          <w:ilvl w:val="1"/>
          <w:numId w:val="17"/>
        </w:numPr>
        <w:ind w:left="568" w:hanging="284"/>
        <w:rPr>
          <w:lang w:eastAsia="en-US"/>
        </w:rPr>
      </w:pPr>
      <w:r>
        <w:rPr>
          <w:lang w:eastAsia="en-US"/>
        </w:rPr>
        <w:t xml:space="preserve">as many apartments are built to be purchased off the plan, they are designed to appeal to the market’s average demand, rather than the specific needs </w:t>
      </w:r>
      <w:r>
        <w:rPr>
          <w:lang w:bidi="fa-IR"/>
        </w:rPr>
        <w:t>of an individual buyer</w:t>
      </w:r>
      <w:r>
        <w:rPr>
          <w:lang w:eastAsia="en-US"/>
        </w:rPr>
        <w:t>.</w:t>
      </w:r>
    </w:p>
    <w:p w:rsidR="007C6A5F" w:rsidRDefault="007C6A5F" w:rsidP="005A6F87">
      <w:pPr>
        <w:pStyle w:val="ListBullet"/>
        <w:numPr>
          <w:ilvl w:val="0"/>
          <w:numId w:val="17"/>
        </w:numPr>
        <w:rPr>
          <w:lang w:eastAsia="en-US"/>
        </w:rPr>
      </w:pPr>
      <w:r>
        <w:rPr>
          <w:lang w:eastAsia="en-US"/>
        </w:rPr>
        <w:t>Landlords are reluctant to allow modifications for private renters, which means that home modifications are often not an option for renters with accessibility needs.</w:t>
      </w:r>
    </w:p>
    <w:p w:rsidR="007C6A5F" w:rsidRPr="003D1DF7" w:rsidRDefault="007C6A5F" w:rsidP="005A6F87">
      <w:pPr>
        <w:pStyle w:val="ListBullet"/>
        <w:numPr>
          <w:ilvl w:val="0"/>
          <w:numId w:val="17"/>
        </w:numPr>
        <w:rPr>
          <w:lang w:eastAsia="en-US"/>
        </w:rPr>
      </w:pPr>
      <w:r>
        <w:rPr>
          <w:lang w:eastAsia="en-US"/>
        </w:rPr>
        <w:t>Many households containing people with disabilities have low incomes.</w:t>
      </w:r>
    </w:p>
    <w:p w:rsidR="007C6A5F" w:rsidRDefault="007C6A5F" w:rsidP="007C6A5F">
      <w:pPr>
        <w:pStyle w:val="Heading2"/>
        <w:numPr>
          <w:ilvl w:val="1"/>
          <w:numId w:val="5"/>
        </w:numPr>
      </w:pPr>
      <w:bookmarkStart w:id="552" w:name="_Toc32321746"/>
      <w:bookmarkStart w:id="553" w:name="_Toc44598434"/>
      <w:bookmarkStart w:id="554" w:name="_Toc45654065"/>
      <w:r>
        <w:t>The need for accessible housing</w:t>
      </w:r>
      <w:bookmarkEnd w:id="552"/>
      <w:bookmarkEnd w:id="553"/>
      <w:bookmarkEnd w:id="554"/>
    </w:p>
    <w:p w:rsidR="007C6A5F" w:rsidRDefault="007C6A5F" w:rsidP="007C6A5F">
      <w:pPr>
        <w:pStyle w:val="BodyText"/>
      </w:pPr>
      <w:r>
        <w:t>ABCB define ‘accessible housing’ as any housing that includes features that enable use by people either with a disability or transitioning through life stages.</w:t>
      </w:r>
      <w:r>
        <w:rPr>
          <w:rStyle w:val="FootnoteReference"/>
        </w:rPr>
        <w:footnoteReference w:id="16"/>
      </w:r>
      <w:r>
        <w:t xml:space="preserve"> Based on the findings from the literature on accessible housing and consultations with stakeholders, accessible housing can potentially:</w:t>
      </w:r>
    </w:p>
    <w:p w:rsidR="007C6A5F" w:rsidRDefault="007C6A5F" w:rsidP="005A6F87">
      <w:pPr>
        <w:pStyle w:val="ListBullet"/>
        <w:numPr>
          <w:ilvl w:val="0"/>
          <w:numId w:val="17"/>
        </w:numPr>
        <w:rPr>
          <w:lang w:eastAsia="en-US" w:bidi="fa-IR"/>
        </w:rPr>
      </w:pPr>
      <w:r>
        <w:rPr>
          <w:lang w:eastAsia="en-US" w:bidi="fa-IR"/>
        </w:rPr>
        <w:t>reduce the incidence of falls for people with mobility limitations</w:t>
      </w:r>
    </w:p>
    <w:p w:rsidR="007C6A5F" w:rsidRDefault="007C6A5F" w:rsidP="005A6F87">
      <w:pPr>
        <w:pStyle w:val="ListBullet"/>
        <w:numPr>
          <w:ilvl w:val="0"/>
          <w:numId w:val="17"/>
        </w:numPr>
        <w:rPr>
          <w:lang w:eastAsia="en-US" w:bidi="fa-IR"/>
        </w:rPr>
      </w:pPr>
      <w:r>
        <w:rPr>
          <w:lang w:eastAsia="en-US" w:bidi="fa-IR"/>
        </w:rPr>
        <w:t>reduce care needs</w:t>
      </w:r>
    </w:p>
    <w:p w:rsidR="007C6A5F" w:rsidRDefault="007C6A5F" w:rsidP="005A6F87">
      <w:pPr>
        <w:pStyle w:val="ListBullet"/>
        <w:numPr>
          <w:ilvl w:val="0"/>
          <w:numId w:val="17"/>
        </w:numPr>
        <w:rPr>
          <w:lang w:eastAsia="en-US" w:bidi="fa-IR"/>
        </w:rPr>
      </w:pPr>
      <w:r>
        <w:rPr>
          <w:lang w:eastAsia="en-US" w:bidi="fa-IR"/>
        </w:rPr>
        <w:t>reduce costs associated with home modifications</w:t>
      </w:r>
    </w:p>
    <w:p w:rsidR="007C6A5F" w:rsidRDefault="007C6A5F" w:rsidP="005A6F87">
      <w:pPr>
        <w:pStyle w:val="ListBullet"/>
        <w:numPr>
          <w:ilvl w:val="0"/>
          <w:numId w:val="17"/>
        </w:numPr>
        <w:rPr>
          <w:lang w:eastAsia="en-US" w:bidi="fa-IR"/>
        </w:rPr>
      </w:pPr>
      <w:r>
        <w:rPr>
          <w:lang w:eastAsia="en-US" w:bidi="fa-IR"/>
        </w:rPr>
        <w:t>avoid the need for people who acquire a mobility</w:t>
      </w:r>
      <w:r>
        <w:rPr>
          <w:lang w:eastAsia="en-US" w:bidi="fa-IR"/>
        </w:rPr>
        <w:noBreakHyphen/>
        <w:t>related disability to move to more suitable accommodation</w:t>
      </w:r>
    </w:p>
    <w:p w:rsidR="007C6A5F" w:rsidRDefault="007C6A5F" w:rsidP="005A6F87">
      <w:pPr>
        <w:pStyle w:val="ListBullet"/>
        <w:numPr>
          <w:ilvl w:val="0"/>
          <w:numId w:val="17"/>
        </w:numPr>
        <w:rPr>
          <w:lang w:eastAsia="en-US" w:bidi="fa-IR"/>
        </w:rPr>
      </w:pPr>
      <w:r>
        <w:rPr>
          <w:lang w:eastAsia="en-US" w:bidi="fa-IR"/>
        </w:rPr>
        <w:t>reduce the length of hospital stays</w:t>
      </w:r>
    </w:p>
    <w:p w:rsidR="007C6A5F" w:rsidRDefault="007C6A5F" w:rsidP="005A6F87">
      <w:pPr>
        <w:pStyle w:val="ListBullet"/>
        <w:numPr>
          <w:ilvl w:val="0"/>
          <w:numId w:val="17"/>
        </w:numPr>
        <w:rPr>
          <w:lang w:eastAsia="en-US" w:bidi="fa-IR"/>
        </w:rPr>
      </w:pPr>
      <w:r>
        <w:rPr>
          <w:lang w:eastAsia="en-US" w:bidi="fa-IR"/>
        </w:rPr>
        <w:t>increase the ability of people with disabilities and the elderly to participate in society</w:t>
      </w:r>
    </w:p>
    <w:p w:rsidR="007C6A5F" w:rsidRDefault="007C6A5F" w:rsidP="005A6F87">
      <w:pPr>
        <w:pStyle w:val="ListBullet"/>
        <w:numPr>
          <w:ilvl w:val="0"/>
          <w:numId w:val="17"/>
        </w:numPr>
        <w:rPr>
          <w:lang w:eastAsia="en-US" w:bidi="fa-IR"/>
        </w:rPr>
      </w:pPr>
      <w:r>
        <w:rPr>
          <w:lang w:eastAsia="en-US" w:bidi="fa-IR"/>
        </w:rPr>
        <w:t>reduce the inappropriate or premature entry into aged care or other institutional care.</w:t>
      </w:r>
    </w:p>
    <w:p w:rsidR="007C6A5F" w:rsidRDefault="007C6A5F" w:rsidP="007C6A5F">
      <w:pPr>
        <w:pStyle w:val="BodyText"/>
      </w:pPr>
      <w:r>
        <w:t>Some stakeholders argued there are also likely to be economic benefits from an increase in employment opportunities for people with mobility</w:t>
      </w:r>
      <w:r>
        <w:noBreakHyphen/>
        <w:t xml:space="preserve">related disabilities. </w:t>
      </w:r>
      <w:r w:rsidR="00A577E2">
        <w:t>There is related literature that provides relevant insights</w:t>
      </w:r>
      <w:r w:rsidR="00313B07">
        <w:t xml:space="preserve"> into this issue; however, we</w:t>
      </w:r>
      <w:r>
        <w:t xml:space="preserve"> </w:t>
      </w:r>
      <w:r w:rsidR="00313B07">
        <w:t>were</w:t>
      </w:r>
      <w:r>
        <w:t xml:space="preserve"> not </w:t>
      </w:r>
      <w:r w:rsidR="00313B07">
        <w:t xml:space="preserve">able to </w:t>
      </w:r>
      <w:r>
        <w:t xml:space="preserve">identify any direct </w:t>
      </w:r>
      <w:r w:rsidR="00313B07">
        <w:t xml:space="preserve">quantifiable </w:t>
      </w:r>
      <w:r>
        <w:t xml:space="preserve">evidence to support </w:t>
      </w:r>
      <w:r w:rsidR="00313B07">
        <w:t>the qualitative evidence</w:t>
      </w:r>
      <w:r>
        <w:t>.</w:t>
      </w:r>
    </w:p>
    <w:p w:rsidR="007C6A5F" w:rsidRDefault="007C6A5F" w:rsidP="007C6A5F">
      <w:pPr>
        <w:pStyle w:val="BodyText"/>
      </w:pPr>
      <w:r>
        <w:t>Despite these benefits, many new dwellings are not being built to meet the current and future accessibility needs of all members of the community, including people with mobility impairments, such as older people and people with disabilities and other long-term health conditions, as well as those with temporary mobility impairments.</w:t>
      </w:r>
    </w:p>
    <w:p w:rsidR="007C6A5F" w:rsidRDefault="007C6A5F" w:rsidP="007C6A5F">
      <w:pPr>
        <w:pStyle w:val="BodyText"/>
      </w:pPr>
      <w:r>
        <w:t xml:space="preserve">As each individual with a disability (including ageing members of the community) will have specific accessibility needs, it is not possible to design houses that will meet the </w:t>
      </w:r>
      <w:r>
        <w:lastRenderedPageBreak/>
        <w:t>needs (including accessibility needs) of all members of the community. However, under universal design principles houses are designed for the widest number of people.</w:t>
      </w:r>
      <w:r>
        <w:rPr>
          <w:rStyle w:val="FootnoteReference"/>
        </w:rPr>
        <w:footnoteReference w:id="17"/>
      </w:r>
    </w:p>
    <w:p w:rsidR="007C6A5F" w:rsidRDefault="007C6A5F" w:rsidP="007C6A5F">
      <w:pPr>
        <w:pStyle w:val="BodyText"/>
      </w:pPr>
      <w:r>
        <w:t>To meet the needs of members of the community with mobility impairments, housing should be:</w:t>
      </w:r>
      <w:r>
        <w:rPr>
          <w:rStyle w:val="FootnoteReference"/>
        </w:rPr>
        <w:footnoteReference w:id="18"/>
      </w:r>
    </w:p>
    <w:p w:rsidR="007C6A5F" w:rsidRDefault="007C6A5F" w:rsidP="005A6F87">
      <w:pPr>
        <w:pStyle w:val="ListBullet"/>
        <w:numPr>
          <w:ilvl w:val="0"/>
          <w:numId w:val="17"/>
        </w:numPr>
      </w:pPr>
      <w:r>
        <w:t>easy to enter (and leave)</w:t>
      </w:r>
    </w:p>
    <w:p w:rsidR="007C6A5F" w:rsidRDefault="007C6A5F" w:rsidP="005A6F87">
      <w:pPr>
        <w:pStyle w:val="ListBullet"/>
        <w:numPr>
          <w:ilvl w:val="0"/>
          <w:numId w:val="17"/>
        </w:numPr>
      </w:pPr>
      <w:r>
        <w:t>easy to navigate in and around</w:t>
      </w:r>
    </w:p>
    <w:p w:rsidR="007C6A5F" w:rsidRDefault="007C6A5F" w:rsidP="005A6F87">
      <w:pPr>
        <w:pStyle w:val="ListBullet"/>
        <w:numPr>
          <w:ilvl w:val="0"/>
          <w:numId w:val="17"/>
        </w:numPr>
      </w:pPr>
      <w:r>
        <w:t>be capable of easy and cost</w:t>
      </w:r>
      <w:r>
        <w:noBreakHyphen/>
        <w:t>effective adaptation</w:t>
      </w:r>
    </w:p>
    <w:p w:rsidR="007C6A5F" w:rsidRDefault="007C6A5F" w:rsidP="005A6F87">
      <w:pPr>
        <w:pStyle w:val="ListBullet"/>
        <w:numPr>
          <w:ilvl w:val="0"/>
          <w:numId w:val="17"/>
        </w:numPr>
      </w:pPr>
      <w:r>
        <w:t>be responsive to the changing needs of home occupants.</w:t>
      </w:r>
    </w:p>
    <w:p w:rsidR="007C6A5F" w:rsidRDefault="007C6A5F" w:rsidP="007C6A5F">
      <w:pPr>
        <w:pStyle w:val="BodyText"/>
      </w:pPr>
      <w:r>
        <w:t>People with mobility impairments don’t just have accessibility needs but also have needs and preferences beyond accessibility, including preferences relating to the type of housing they live in, location and other factors.</w:t>
      </w:r>
    </w:p>
    <w:p w:rsidR="007C6A5F" w:rsidRDefault="007C6A5F" w:rsidP="007C6A5F">
      <w:pPr>
        <w:pStyle w:val="BodyText"/>
      </w:pPr>
      <w:r w:rsidRPr="005527ED">
        <w:t>According to the National Disability Strategy, finding suitable accommodation is important to all Australians</w:t>
      </w:r>
      <w:r>
        <w:t xml:space="preserve"> and</w:t>
      </w:r>
      <w:r w:rsidRPr="005527ED">
        <w:t xml:space="preserve"> is a prerequisite for a happy and stable life. However, there is evidence that many people with accessibility needs are not able to secure suitable</w:t>
      </w:r>
      <w:r>
        <w:t xml:space="preserve"> housing.</w:t>
      </w:r>
    </w:p>
    <w:p w:rsidR="007C6A5F" w:rsidRPr="00692247" w:rsidRDefault="007C6A5F" w:rsidP="005A6F87">
      <w:pPr>
        <w:pStyle w:val="ListBullet"/>
        <w:numPr>
          <w:ilvl w:val="0"/>
          <w:numId w:val="17"/>
        </w:numPr>
      </w:pPr>
      <w:r>
        <w:t>T</w:t>
      </w:r>
      <w:r w:rsidRPr="00692247">
        <w:t>he current National Disability Strategy</w:t>
      </w:r>
      <w:r>
        <w:t xml:space="preserve"> notes</w:t>
      </w:r>
      <w:r w:rsidRPr="00692247">
        <w:t xml:space="preserve"> there is evidence that people with disability experience substantial barriers in finding a place to live, especially in the private market. </w:t>
      </w:r>
      <w:r>
        <w:t xml:space="preserve">Housing </w:t>
      </w:r>
      <w:r w:rsidRPr="00692247">
        <w:t xml:space="preserve">designs </w:t>
      </w:r>
      <w:r>
        <w:t>that</w:t>
      </w:r>
      <w:r w:rsidRPr="00692247">
        <w:t xml:space="preserve"> do not allow the building structure of the home to change to meet the needs of a person who is ageing or who has a disability without significant expense</w:t>
      </w:r>
      <w:r>
        <w:t xml:space="preserve"> is identified</w:t>
      </w:r>
      <w:r w:rsidRPr="00692247">
        <w:t xml:space="preserve"> as a key barrier.</w:t>
      </w:r>
      <w:r w:rsidRPr="005527ED">
        <w:rPr>
          <w:rStyle w:val="FootnoteReference"/>
        </w:rPr>
        <w:footnoteReference w:id="19"/>
      </w:r>
    </w:p>
    <w:p w:rsidR="007C6A5F" w:rsidRDefault="007C6A5F" w:rsidP="005A6F87">
      <w:pPr>
        <w:pStyle w:val="ListBullet"/>
        <w:numPr>
          <w:ilvl w:val="0"/>
          <w:numId w:val="17"/>
        </w:numPr>
      </w:pPr>
      <w:r>
        <w:t xml:space="preserve">A </w:t>
      </w:r>
      <w:r>
        <w:rPr>
          <w:lang w:eastAsia="en-US" w:bidi="fa-IR"/>
        </w:rPr>
        <w:t>survey conducted by an advocacy group, the Australian Network for Universal Housing Design (ANUHD), found that 68 per cent of respondents had experienced difficulty in finding accessible housing.</w:t>
      </w:r>
    </w:p>
    <w:p w:rsidR="007C6A5F" w:rsidRDefault="007C6A5F" w:rsidP="005A6F87">
      <w:pPr>
        <w:pStyle w:val="ListBullet"/>
        <w:numPr>
          <w:ilvl w:val="0"/>
          <w:numId w:val="17"/>
        </w:numPr>
      </w:pPr>
      <w:r>
        <w:t>During the CIE’s targeted consultations, multiple stakeholders provided anecdotal evidence of people with disabilities experiencing difficulties in finding suitable accommodation.</w:t>
      </w:r>
    </w:p>
    <w:p w:rsidR="007C6A5F" w:rsidRDefault="007C6A5F" w:rsidP="007C6A5F">
      <w:pPr>
        <w:pStyle w:val="Heading3"/>
        <w:numPr>
          <w:ilvl w:val="2"/>
          <w:numId w:val="5"/>
        </w:numPr>
      </w:pPr>
      <w:r>
        <w:t>Number of people that potentially have accessibility needs</w:t>
      </w:r>
    </w:p>
    <w:p w:rsidR="007C6A5F" w:rsidRPr="00CF4861" w:rsidRDefault="007C6A5F" w:rsidP="007C6A5F">
      <w:pPr>
        <w:pStyle w:val="BodyText"/>
      </w:pPr>
      <w:r>
        <w:t xml:space="preserve">As noted above, under universal design principles, houses should be designed for the broadest group of people. This implies that all people could benefit to some extent from some accessibility features (relative to existing designs that do not incorporate these features). That said, </w:t>
      </w:r>
      <w:r w:rsidRPr="008F2F43">
        <w:t>the main group of people that would benefit from more accessible housing are those with mobility impairments.</w:t>
      </w:r>
    </w:p>
    <w:p w:rsidR="007C6A5F" w:rsidRDefault="007C6A5F" w:rsidP="007C6A5F">
      <w:pPr>
        <w:pStyle w:val="BodyText"/>
        <w:rPr>
          <w:lang w:eastAsia="en-US" w:bidi="fa-IR"/>
        </w:rPr>
      </w:pPr>
      <w:r>
        <w:rPr>
          <w:lang w:bidi="fa-IR"/>
        </w:rPr>
        <w:lastRenderedPageBreak/>
        <w:t xml:space="preserve">There is no definitive source of information available on the number of people with specific accessibility needs in relation to housing. The most comprehensive source of information available on the number of Australians with disabilities is the Australian Bureau of Statistics (ABS) Survey of Disabilities, Ageing and Carers (SDAC). </w:t>
      </w:r>
      <w:r>
        <w:rPr>
          <w:lang w:eastAsia="en-US" w:bidi="fa-IR"/>
        </w:rPr>
        <w:t>The ABS defines people with a disability as people who have any limitation, restriction or impairment which restricts everyday activities and has lasted, or is likely to last, for at least six months.</w:t>
      </w:r>
      <w:r>
        <w:rPr>
          <w:rStyle w:val="FootnoteReference"/>
          <w:lang w:eastAsia="en-US" w:bidi="fa-IR"/>
        </w:rPr>
        <w:footnoteReference w:id="20"/>
      </w:r>
      <w:r>
        <w:rPr>
          <w:lang w:eastAsia="en-US" w:bidi="fa-IR"/>
        </w:rPr>
        <w:t xml:space="preserve"> </w:t>
      </w:r>
    </w:p>
    <w:p w:rsidR="007C6A5F" w:rsidRDefault="007C6A5F" w:rsidP="007C6A5F">
      <w:pPr>
        <w:pStyle w:val="BodyText"/>
        <w:rPr>
          <w:lang w:bidi="fa-IR"/>
        </w:rPr>
      </w:pPr>
      <w:r>
        <w:rPr>
          <w:lang w:bidi="fa-IR"/>
        </w:rPr>
        <w:t>According to the 2018 edition of the SDAC, there were around 2.98 million people (around 12 per cent of the population) with a disability that results in a mobility limitation in 2018 (table </w:t>
      </w:r>
      <w:r>
        <w:rPr>
          <w:lang w:bidi="fa-IR"/>
        </w:rPr>
        <w:fldChar w:fldCharType="begin"/>
      </w:r>
      <w:r>
        <w:rPr>
          <w:lang w:bidi="fa-IR"/>
        </w:rPr>
        <w:instrText xml:space="preserve"> REF _Caption9081 </w:instrText>
      </w:r>
      <w:r>
        <w:rPr>
          <w:lang w:bidi="fa-IR"/>
        </w:rPr>
        <w:fldChar w:fldCharType="separate"/>
      </w:r>
      <w:r>
        <w:rPr>
          <w:noProof/>
        </w:rPr>
        <w:t>2</w:t>
      </w:r>
      <w:r w:rsidRPr="00695C93">
        <w:rPr>
          <w:noProof/>
        </w:rPr>
        <w:t>.</w:t>
      </w:r>
      <w:r>
        <w:rPr>
          <w:noProof/>
        </w:rPr>
        <w:t>2</w:t>
      </w:r>
      <w:r>
        <w:rPr>
          <w:lang w:bidi="fa-IR"/>
        </w:rPr>
        <w:fldChar w:fldCharType="end"/>
      </w:r>
      <w:r>
        <w:rPr>
          <w:lang w:bidi="fa-IR"/>
        </w:rPr>
        <w:t>). For around 1.39 million of these people, the mobility limitation is ‘mild’. The remaining 1.59 million people have moderate, severe and profound mobility limitations.</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2</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2</w:instrText>
      </w:r>
      <w:r w:rsidRPr="00695C93">
        <w:fldChar w:fldCharType="end"/>
      </w:r>
      <w:r w:rsidRPr="00695C93">
        <w:instrText xml:space="preserve">" "" </w:instrText>
      </w:r>
      <w:r w:rsidRPr="00695C93">
        <w:fldChar w:fldCharType="separate"/>
      </w:r>
      <w:bookmarkStart w:id="555" w:name="_Caption6841"/>
      <w:bookmarkStart w:id="556" w:name="_Caption8168"/>
      <w:bookmarkStart w:id="557" w:name="_Caption8040"/>
      <w:bookmarkStart w:id="558" w:name="_Caption9277"/>
      <w:bookmarkStart w:id="559" w:name="_Caption5056"/>
      <w:bookmarkStart w:id="560" w:name="_Caption3887"/>
      <w:bookmarkStart w:id="561" w:name="_Caption9423"/>
      <w:bookmarkStart w:id="562" w:name="_Caption7677"/>
      <w:bookmarkStart w:id="563" w:name="_Caption0968"/>
      <w:bookmarkStart w:id="564" w:name="_Caption4200"/>
      <w:bookmarkStart w:id="565" w:name="_Caption3466"/>
      <w:bookmarkStart w:id="566" w:name="_Caption6340"/>
      <w:bookmarkStart w:id="567" w:name="_Caption1202"/>
      <w:bookmarkStart w:id="568" w:name="_Caption0089"/>
      <w:bookmarkStart w:id="569" w:name="_Caption4344"/>
      <w:bookmarkStart w:id="570" w:name="_Caption6817"/>
      <w:bookmarkStart w:id="571" w:name="_Caption2167"/>
      <w:bookmarkStart w:id="572" w:name="_Caption4076"/>
      <w:bookmarkStart w:id="573" w:name="_Caption2810"/>
      <w:bookmarkStart w:id="574" w:name="_Caption6287"/>
      <w:bookmarkStart w:id="575" w:name="_Caption6457"/>
      <w:bookmarkStart w:id="576" w:name="_Caption6806"/>
      <w:bookmarkStart w:id="577" w:name="_Caption3108"/>
      <w:bookmarkStart w:id="578" w:name="_Caption3186"/>
      <w:bookmarkStart w:id="579" w:name="_Caption4708"/>
      <w:bookmarkStart w:id="580" w:name="_Caption2008"/>
      <w:bookmarkStart w:id="581" w:name="_Caption6834"/>
      <w:bookmarkStart w:id="582" w:name="_Caption9550"/>
      <w:bookmarkStart w:id="583" w:name="_Caption6407"/>
      <w:bookmarkStart w:id="584" w:name="_Caption1832"/>
      <w:bookmarkStart w:id="585" w:name="_Caption2722"/>
      <w:bookmarkStart w:id="586" w:name="_Caption6029"/>
      <w:bookmarkStart w:id="587" w:name="_Caption3530"/>
      <w:bookmarkStart w:id="588" w:name="_Caption7827"/>
      <w:bookmarkStart w:id="589" w:name="_Caption6109"/>
      <w:bookmarkStart w:id="590" w:name="_Caption0897"/>
      <w:bookmarkStart w:id="591" w:name="_Caption6028"/>
      <w:bookmarkStart w:id="592" w:name="_Caption1513"/>
      <w:bookmarkStart w:id="593" w:name="_Caption0955"/>
      <w:bookmarkStart w:id="594" w:name="_Caption9942"/>
      <w:bookmarkStart w:id="595" w:name="_Caption3319"/>
      <w:bookmarkStart w:id="596" w:name="_Caption8550"/>
      <w:bookmarkStart w:id="597" w:name="_Caption0973"/>
      <w:bookmarkStart w:id="598" w:name="_Caption5187"/>
      <w:bookmarkStart w:id="599" w:name="_Caption9351"/>
      <w:bookmarkStart w:id="600" w:name="_Caption7309"/>
      <w:bookmarkStart w:id="601" w:name="_Caption7297"/>
      <w:bookmarkStart w:id="602" w:name="_Caption3049"/>
      <w:bookmarkStart w:id="603" w:name="_Caption1399"/>
      <w:bookmarkStart w:id="604" w:name="_Caption4514"/>
      <w:bookmarkStart w:id="605" w:name="_Caption4005"/>
      <w:bookmarkStart w:id="606" w:name="_Caption1792"/>
      <w:bookmarkStart w:id="607" w:name="_Caption6844"/>
      <w:bookmarkStart w:id="608" w:name="_Caption3429"/>
      <w:bookmarkStart w:id="609" w:name="_Caption0493"/>
      <w:bookmarkStart w:id="610" w:name="_Caption5079"/>
      <w:bookmarkStart w:id="611" w:name="_Caption4035"/>
      <w:bookmarkStart w:id="612" w:name="_Caption4000"/>
      <w:bookmarkStart w:id="613" w:name="_Caption6515"/>
      <w:bookmarkStart w:id="614" w:name="_Caption6828"/>
      <w:bookmarkStart w:id="615" w:name="_Caption7573"/>
      <w:bookmarkStart w:id="616" w:name="_Caption9537"/>
      <w:bookmarkStart w:id="617" w:name="_Caption0122"/>
      <w:bookmarkStart w:id="618" w:name="_Caption1248"/>
      <w:bookmarkStart w:id="619" w:name="_Caption6840"/>
      <w:bookmarkStart w:id="620" w:name="_Caption3802"/>
      <w:bookmarkStart w:id="621" w:name="_Caption4751"/>
      <w:bookmarkStart w:id="622" w:name="_Caption9068"/>
      <w:bookmarkStart w:id="623" w:name="_Caption4857"/>
      <w:bookmarkStart w:id="624" w:name="_Caption2279"/>
      <w:bookmarkStart w:id="625" w:name="_Caption2760"/>
      <w:bookmarkStart w:id="626" w:name="_Caption6907"/>
      <w:bookmarkStart w:id="627" w:name="_Caption1456"/>
      <w:bookmarkStart w:id="628" w:name="_Caption7272"/>
      <w:bookmarkStart w:id="629" w:name="_Caption2096"/>
      <w:bookmarkStart w:id="630" w:name="_Caption7418"/>
      <w:bookmarkStart w:id="631" w:name="_Caption6716"/>
      <w:bookmarkStart w:id="632" w:name="_Caption8886"/>
      <w:bookmarkStart w:id="633" w:name="_Caption3374"/>
      <w:bookmarkStart w:id="634" w:name="_Caption9549"/>
      <w:bookmarkStart w:id="635" w:name="_Caption9169"/>
      <w:bookmarkStart w:id="636" w:name="_Caption3310"/>
      <w:bookmarkStart w:id="637" w:name="_Caption0340"/>
      <w:bookmarkStart w:id="638" w:name="_Caption9081"/>
      <w:bookmarkStart w:id="639" w:name="_Caption9325"/>
      <w:bookmarkStart w:id="640" w:name="_Caption1264"/>
      <w:bookmarkStart w:id="641" w:name="_Caption9869"/>
      <w:bookmarkStart w:id="642" w:name="_Caption7327"/>
      <w:bookmarkStart w:id="643" w:name="_Caption9960"/>
      <w:bookmarkStart w:id="644" w:name="_Caption2155"/>
      <w:bookmarkStart w:id="645" w:name="_Caption8795"/>
      <w:bookmarkStart w:id="646" w:name="_Caption9447"/>
      <w:bookmarkStart w:id="647" w:name="_Caption9609"/>
      <w:bookmarkStart w:id="648" w:name="_Caption2702"/>
      <w:bookmarkStart w:id="649" w:name="_Caption8435"/>
      <w:bookmarkStart w:id="650" w:name="_Caption5996"/>
      <w:bookmarkStart w:id="651" w:name="_Caption4330"/>
      <w:bookmarkStart w:id="652" w:name="_Caption8322"/>
      <w:bookmarkStart w:id="653" w:name="_Caption9273"/>
      <w:bookmarkStart w:id="654" w:name="_Caption1139"/>
      <w:bookmarkStart w:id="655" w:name="_Caption1901"/>
      <w:bookmarkStart w:id="656" w:name="_Caption1877"/>
      <w:bookmarkStart w:id="657" w:name="_Caption6629"/>
      <w:bookmarkStart w:id="658" w:name="_Caption6180"/>
      <w:bookmarkStart w:id="659" w:name="_Caption5802"/>
      <w:bookmarkStart w:id="660" w:name="_Caption1907"/>
      <w:bookmarkStart w:id="661" w:name="_Caption9295"/>
      <w:bookmarkStart w:id="662" w:name="_Caption7462"/>
      <w:bookmarkStart w:id="663" w:name="_Caption6150"/>
      <w:bookmarkStart w:id="664" w:name="_Caption5108"/>
      <w:bookmarkStart w:id="665" w:name="_Caption4979"/>
      <w:bookmarkStart w:id="666" w:name="_Caption4785"/>
      <w:bookmarkStart w:id="667" w:name="_Caption2557"/>
      <w:bookmarkStart w:id="668" w:name="_Caption9948"/>
      <w:bookmarkStart w:id="669" w:name="_Caption8573"/>
      <w:bookmarkStart w:id="670" w:name="_Caption6455"/>
      <w:bookmarkStart w:id="671" w:name="_Caption4750"/>
      <w:bookmarkStart w:id="672" w:name="_Caption1763"/>
      <w:bookmarkStart w:id="673" w:name="_Caption5647"/>
      <w:bookmarkStart w:id="674" w:name="_Caption2026"/>
      <w:bookmarkStart w:id="675" w:name="_Caption9737"/>
      <w:bookmarkStart w:id="676" w:name="_Caption9135"/>
      <w:bookmarkStart w:id="677" w:name="_Caption6922"/>
      <w:bookmarkStart w:id="678" w:name="_Caption7644"/>
      <w:bookmarkStart w:id="679" w:name="_Caption3432"/>
      <w:bookmarkStart w:id="680" w:name="_Caption9603"/>
      <w:bookmarkStart w:id="681" w:name="_Caption0145"/>
      <w:bookmarkStart w:id="682" w:name="_Caption0636"/>
      <w:bookmarkStart w:id="683" w:name="_Caption1872"/>
      <w:bookmarkStart w:id="684" w:name="_Caption4212"/>
      <w:bookmarkStart w:id="685" w:name="_Toc32321793"/>
      <w:bookmarkStart w:id="686" w:name="_Toc44598486"/>
      <w:bookmarkStart w:id="687" w:name="_Toc45654117"/>
      <w:r w:rsidR="00272AF3">
        <w:rPr>
          <w:noProof/>
        </w:rPr>
        <w:t>2</w:t>
      </w:r>
      <w:r w:rsidR="00272AF3" w:rsidRPr="00695C93">
        <w:rPr>
          <w:noProof/>
        </w:rPr>
        <w:t>.</w:t>
      </w:r>
      <w:r w:rsidR="00272AF3">
        <w:rPr>
          <w:noProof/>
        </w:rPr>
        <w:t>2</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r w:rsidRPr="00695C93">
        <w:fldChar w:fldCharType="end"/>
      </w:r>
      <w:r w:rsidRPr="00695C93">
        <w:tab/>
      </w:r>
      <w:r>
        <w:t>Number of people with a disability who have a mobility limitation</w:t>
      </w:r>
      <w:bookmarkEnd w:id="685"/>
      <w:bookmarkEnd w:id="686"/>
      <w:bookmarkEnd w:id="687"/>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2.2"/>
        <w:tblDescription w:val="Number of people with a disability who have a mobility limitation"/>
      </w:tblPr>
      <w:tblGrid>
        <w:gridCol w:w="1215"/>
        <w:gridCol w:w="1344"/>
        <w:gridCol w:w="1345"/>
        <w:gridCol w:w="1344"/>
        <w:gridCol w:w="1345"/>
        <w:gridCol w:w="1345"/>
      </w:tblGrid>
      <w:tr w:rsidR="007C6A5F" w:rsidTr="00B90733">
        <w:trPr>
          <w:trHeight w:val="230"/>
          <w:tblHeader/>
        </w:trPr>
        <w:tc>
          <w:tcPr>
            <w:tcW w:w="1215" w:type="dxa"/>
            <w:shd w:val="clear" w:color="auto" w:fill="6F6652" w:themeFill="accent5"/>
          </w:tcPr>
          <w:p w:rsidR="007C6A5F" w:rsidRDefault="00B90733" w:rsidP="00C36DA4">
            <w:pPr>
              <w:pStyle w:val="TableDataColumnHeading"/>
              <w:jc w:val="left"/>
              <w:rPr>
                <w:lang w:val="en-GB"/>
              </w:rPr>
            </w:pPr>
            <w:r>
              <w:rPr>
                <w:lang w:val="en-GB"/>
              </w:rPr>
              <w:t>Disability</w:t>
            </w:r>
          </w:p>
        </w:tc>
        <w:tc>
          <w:tcPr>
            <w:tcW w:w="1344" w:type="dxa"/>
            <w:shd w:val="clear" w:color="auto" w:fill="6F6652" w:themeFill="accent5"/>
          </w:tcPr>
          <w:p w:rsidR="007C6A5F" w:rsidRDefault="007C6A5F" w:rsidP="00C36DA4">
            <w:pPr>
              <w:pStyle w:val="TableDataColumnHeading"/>
              <w:rPr>
                <w:lang w:val="en-GB"/>
              </w:rPr>
            </w:pPr>
            <w:r>
              <w:rPr>
                <w:lang w:val="en-GB"/>
              </w:rPr>
              <w:t>0-14 years</w:t>
            </w:r>
            <w:r w:rsidR="00B90733">
              <w:rPr>
                <w:lang w:val="en-GB"/>
              </w:rPr>
              <w:br/>
              <w:t>(‘000)</w:t>
            </w:r>
          </w:p>
        </w:tc>
        <w:tc>
          <w:tcPr>
            <w:tcW w:w="1345" w:type="dxa"/>
            <w:shd w:val="clear" w:color="auto" w:fill="6F6652" w:themeFill="accent5"/>
          </w:tcPr>
          <w:p w:rsidR="007C6A5F" w:rsidRDefault="007C6A5F" w:rsidP="00C36DA4">
            <w:pPr>
              <w:pStyle w:val="TableDataColumnHeading"/>
              <w:rPr>
                <w:lang w:val="en-GB"/>
              </w:rPr>
            </w:pPr>
            <w:r>
              <w:rPr>
                <w:lang w:val="en-GB"/>
              </w:rPr>
              <w:t>15-64 years</w:t>
            </w:r>
            <w:r w:rsidR="00B90733">
              <w:rPr>
                <w:lang w:val="en-GB"/>
              </w:rPr>
              <w:br/>
              <w:t>(‘000)</w:t>
            </w:r>
          </w:p>
        </w:tc>
        <w:tc>
          <w:tcPr>
            <w:tcW w:w="1344" w:type="dxa"/>
            <w:shd w:val="clear" w:color="auto" w:fill="6F6652" w:themeFill="accent5"/>
          </w:tcPr>
          <w:p w:rsidR="007C6A5F" w:rsidRDefault="007C6A5F" w:rsidP="00C36DA4">
            <w:pPr>
              <w:pStyle w:val="TableDataColumnHeading"/>
              <w:rPr>
                <w:lang w:val="en-GB"/>
              </w:rPr>
            </w:pPr>
            <w:r>
              <w:rPr>
                <w:lang w:val="en-GB"/>
              </w:rPr>
              <w:t>65+ years</w:t>
            </w:r>
            <w:r w:rsidR="00B90733">
              <w:rPr>
                <w:lang w:val="en-GB"/>
              </w:rPr>
              <w:br/>
              <w:t>(‘000)</w:t>
            </w:r>
          </w:p>
        </w:tc>
        <w:tc>
          <w:tcPr>
            <w:tcW w:w="1345" w:type="dxa"/>
            <w:shd w:val="clear" w:color="auto" w:fill="6F6652" w:themeFill="accent5"/>
          </w:tcPr>
          <w:p w:rsidR="007C6A5F" w:rsidRDefault="007C6A5F" w:rsidP="00C36DA4">
            <w:pPr>
              <w:pStyle w:val="TableDataColumnHeading"/>
              <w:rPr>
                <w:lang w:val="en-GB"/>
              </w:rPr>
            </w:pPr>
            <w:r>
              <w:rPr>
                <w:lang w:val="en-GB"/>
              </w:rPr>
              <w:t>Total</w:t>
            </w:r>
            <w:r w:rsidR="00B90733">
              <w:rPr>
                <w:lang w:val="en-GB"/>
              </w:rPr>
              <w:br/>
              <w:t>(‘000)</w:t>
            </w:r>
          </w:p>
        </w:tc>
        <w:tc>
          <w:tcPr>
            <w:tcW w:w="1345" w:type="dxa"/>
            <w:shd w:val="clear" w:color="auto" w:fill="6F6652" w:themeFill="accent5"/>
          </w:tcPr>
          <w:p w:rsidR="007C6A5F" w:rsidRDefault="007C6A5F" w:rsidP="00C36DA4">
            <w:pPr>
              <w:pStyle w:val="TableDataColumnHeading"/>
              <w:rPr>
                <w:lang w:val="en-GB"/>
              </w:rPr>
            </w:pPr>
            <w:r>
              <w:rPr>
                <w:lang w:val="en-GB"/>
              </w:rPr>
              <w:t>Share of total</w:t>
            </w:r>
            <w:r w:rsidR="00B90733">
              <w:rPr>
                <w:lang w:val="en-GB"/>
              </w:rPr>
              <w:br/>
              <w:t>(per cent)</w:t>
            </w:r>
          </w:p>
        </w:tc>
      </w:tr>
      <w:tr w:rsidR="007C6A5F" w:rsidTr="002E1A6C">
        <w:trPr>
          <w:trHeight w:val="230"/>
        </w:trPr>
        <w:tc>
          <w:tcPr>
            <w:tcW w:w="121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Profound</w:t>
            </w:r>
          </w:p>
        </w:tc>
        <w:tc>
          <w:tcPr>
            <w:tcW w:w="134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78.8</w:t>
            </w:r>
          </w:p>
        </w:tc>
        <w:tc>
          <w:tcPr>
            <w:tcW w:w="134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168.3</w:t>
            </w:r>
          </w:p>
        </w:tc>
        <w:tc>
          <w:tcPr>
            <w:tcW w:w="134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384.9</w:t>
            </w:r>
          </w:p>
        </w:tc>
        <w:tc>
          <w:tcPr>
            <w:tcW w:w="134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632.0</w:t>
            </w:r>
          </w:p>
        </w:tc>
        <w:tc>
          <w:tcPr>
            <w:tcW w:w="134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2.6</w:t>
            </w:r>
          </w:p>
        </w:tc>
      </w:tr>
      <w:tr w:rsidR="007C6A5F" w:rsidTr="002E1A6C">
        <w:trPr>
          <w:trHeight w:val="230"/>
        </w:trPr>
        <w:tc>
          <w:tcPr>
            <w:tcW w:w="121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Severe</w:t>
            </w:r>
          </w:p>
        </w:tc>
        <w:tc>
          <w:tcPr>
            <w:tcW w:w="134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50.2</w:t>
            </w:r>
          </w:p>
        </w:tc>
        <w:tc>
          <w:tcPr>
            <w:tcW w:w="134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248.0</w:t>
            </w:r>
          </w:p>
        </w:tc>
        <w:tc>
          <w:tcPr>
            <w:tcW w:w="134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220.3</w:t>
            </w:r>
          </w:p>
        </w:tc>
        <w:tc>
          <w:tcPr>
            <w:tcW w:w="134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518.5</w:t>
            </w:r>
          </w:p>
        </w:tc>
        <w:tc>
          <w:tcPr>
            <w:tcW w:w="134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2.1</w:t>
            </w:r>
          </w:p>
        </w:tc>
      </w:tr>
      <w:tr w:rsidR="007C6A5F" w:rsidTr="002E1A6C">
        <w:trPr>
          <w:trHeight w:val="230"/>
        </w:trPr>
        <w:tc>
          <w:tcPr>
            <w:tcW w:w="121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Moderate</w:t>
            </w:r>
          </w:p>
        </w:tc>
        <w:tc>
          <w:tcPr>
            <w:tcW w:w="134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1.9</w:t>
            </w:r>
          </w:p>
        </w:tc>
        <w:tc>
          <w:tcPr>
            <w:tcW w:w="134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238.7</w:t>
            </w:r>
          </w:p>
        </w:tc>
        <w:tc>
          <w:tcPr>
            <w:tcW w:w="134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194.3</w:t>
            </w:r>
          </w:p>
        </w:tc>
        <w:tc>
          <w:tcPr>
            <w:tcW w:w="134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434.9</w:t>
            </w:r>
          </w:p>
        </w:tc>
        <w:tc>
          <w:tcPr>
            <w:tcW w:w="134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1.8</w:t>
            </w:r>
          </w:p>
        </w:tc>
      </w:tr>
      <w:tr w:rsidR="007C6A5F" w:rsidTr="00B5160B">
        <w:trPr>
          <w:trHeight w:val="230"/>
        </w:trPr>
        <w:tc>
          <w:tcPr>
            <w:tcW w:w="121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Mild</w:t>
            </w:r>
          </w:p>
        </w:tc>
        <w:tc>
          <w:tcPr>
            <w:tcW w:w="134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99.9</w:t>
            </w:r>
          </w:p>
        </w:tc>
        <w:tc>
          <w:tcPr>
            <w:tcW w:w="134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681.9</w:t>
            </w:r>
          </w:p>
        </w:tc>
        <w:tc>
          <w:tcPr>
            <w:tcW w:w="134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611.4</w:t>
            </w:r>
          </w:p>
        </w:tc>
        <w:tc>
          <w:tcPr>
            <w:tcW w:w="134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1 393.2</w:t>
            </w:r>
          </w:p>
        </w:tc>
        <w:tc>
          <w:tcPr>
            <w:tcW w:w="134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5.7</w:t>
            </w:r>
          </w:p>
        </w:tc>
      </w:tr>
      <w:tr w:rsidR="007C6A5F" w:rsidRPr="003D26C7" w:rsidTr="00B5160B">
        <w:trPr>
          <w:trHeight w:val="230"/>
        </w:trPr>
        <w:tc>
          <w:tcPr>
            <w:tcW w:w="1215" w:type="dxa"/>
            <w:tcBorders>
              <w:top w:val="single" w:sz="8" w:space="0" w:color="FFFFFF" w:themeColor="background1"/>
              <w:bottom w:val="single" w:sz="4" w:space="0" w:color="6F6652" w:themeColor="accent5"/>
            </w:tcBorders>
            <w:shd w:val="clear" w:color="auto" w:fill="C2DADB" w:themeFill="accent6" w:themeFillTint="99"/>
          </w:tcPr>
          <w:p w:rsidR="007C6A5F" w:rsidRPr="003D26C7" w:rsidRDefault="007C6A5F" w:rsidP="00C36DA4">
            <w:pPr>
              <w:pStyle w:val="TableDataEntries"/>
              <w:jc w:val="left"/>
              <w:rPr>
                <w:rFonts w:ascii="Franklin Gothic Demi" w:hAnsi="Franklin Gothic Demi"/>
                <w:lang w:val="en-GB"/>
              </w:rPr>
            </w:pPr>
            <w:r w:rsidRPr="003D26C7">
              <w:rPr>
                <w:rFonts w:ascii="Franklin Gothic Demi" w:hAnsi="Franklin Gothic Demi"/>
                <w:lang w:val="en-GB"/>
              </w:rPr>
              <w:t>Total</w:t>
            </w:r>
          </w:p>
        </w:tc>
        <w:tc>
          <w:tcPr>
            <w:tcW w:w="1344" w:type="dxa"/>
            <w:tcBorders>
              <w:top w:val="single" w:sz="8" w:space="0" w:color="FFFFFF" w:themeColor="background1"/>
              <w:bottom w:val="single" w:sz="4" w:space="0" w:color="6F6652" w:themeColor="accent5"/>
            </w:tcBorders>
            <w:shd w:val="clear" w:color="auto" w:fill="C2DADB" w:themeFill="accent6" w:themeFillTint="99"/>
          </w:tcPr>
          <w:p w:rsidR="007C6A5F" w:rsidRPr="003D26C7" w:rsidRDefault="007C6A5F" w:rsidP="00C36DA4">
            <w:pPr>
              <w:pStyle w:val="TableDataEntries"/>
              <w:rPr>
                <w:rFonts w:ascii="Franklin Gothic Demi" w:hAnsi="Franklin Gothic Demi"/>
                <w:lang w:val="en-GB"/>
              </w:rPr>
            </w:pPr>
            <w:r w:rsidRPr="003D26C7">
              <w:rPr>
                <w:rFonts w:ascii="Franklin Gothic Demi" w:hAnsi="Franklin Gothic Demi"/>
                <w:lang w:val="en-GB"/>
              </w:rPr>
              <w:t xml:space="preserve"> 230.8</w:t>
            </w:r>
          </w:p>
        </w:tc>
        <w:tc>
          <w:tcPr>
            <w:tcW w:w="1345" w:type="dxa"/>
            <w:tcBorders>
              <w:top w:val="single" w:sz="8" w:space="0" w:color="FFFFFF" w:themeColor="background1"/>
              <w:bottom w:val="single" w:sz="4" w:space="0" w:color="6F6652" w:themeColor="accent5"/>
            </w:tcBorders>
            <w:shd w:val="clear" w:color="auto" w:fill="C2DADB" w:themeFill="accent6" w:themeFillTint="99"/>
          </w:tcPr>
          <w:p w:rsidR="007C6A5F" w:rsidRPr="003D26C7" w:rsidRDefault="007C6A5F" w:rsidP="00C36DA4">
            <w:pPr>
              <w:pStyle w:val="TableDataEntries"/>
              <w:rPr>
                <w:rFonts w:ascii="Franklin Gothic Demi" w:hAnsi="Franklin Gothic Demi"/>
                <w:lang w:val="en-GB"/>
              </w:rPr>
            </w:pPr>
            <w:r w:rsidRPr="003D26C7">
              <w:rPr>
                <w:rFonts w:ascii="Franklin Gothic Demi" w:hAnsi="Franklin Gothic Demi"/>
                <w:lang w:val="en-GB"/>
              </w:rPr>
              <w:t>1 336.9</w:t>
            </w:r>
          </w:p>
        </w:tc>
        <w:tc>
          <w:tcPr>
            <w:tcW w:w="1344" w:type="dxa"/>
            <w:tcBorders>
              <w:top w:val="single" w:sz="8" w:space="0" w:color="FFFFFF" w:themeColor="background1"/>
              <w:bottom w:val="single" w:sz="4" w:space="0" w:color="6F6652" w:themeColor="accent5"/>
            </w:tcBorders>
            <w:shd w:val="clear" w:color="auto" w:fill="C2DADB" w:themeFill="accent6" w:themeFillTint="99"/>
          </w:tcPr>
          <w:p w:rsidR="007C6A5F" w:rsidRPr="003D26C7" w:rsidRDefault="007C6A5F" w:rsidP="00C36DA4">
            <w:pPr>
              <w:pStyle w:val="TableDataEntries"/>
              <w:rPr>
                <w:rFonts w:ascii="Franklin Gothic Demi" w:hAnsi="Franklin Gothic Demi"/>
                <w:lang w:val="en-GB"/>
              </w:rPr>
            </w:pPr>
            <w:r w:rsidRPr="003D26C7">
              <w:rPr>
                <w:rFonts w:ascii="Franklin Gothic Demi" w:hAnsi="Franklin Gothic Demi"/>
                <w:lang w:val="en-GB"/>
              </w:rPr>
              <w:t>1 410.9</w:t>
            </w:r>
          </w:p>
        </w:tc>
        <w:tc>
          <w:tcPr>
            <w:tcW w:w="1345" w:type="dxa"/>
            <w:tcBorders>
              <w:top w:val="single" w:sz="8" w:space="0" w:color="FFFFFF" w:themeColor="background1"/>
              <w:bottom w:val="single" w:sz="4" w:space="0" w:color="6F6652" w:themeColor="accent5"/>
            </w:tcBorders>
            <w:shd w:val="clear" w:color="auto" w:fill="C2DADB" w:themeFill="accent6" w:themeFillTint="99"/>
          </w:tcPr>
          <w:p w:rsidR="007C6A5F" w:rsidRPr="003D26C7" w:rsidRDefault="007C6A5F" w:rsidP="00C36DA4">
            <w:pPr>
              <w:pStyle w:val="TableDataEntries"/>
              <w:rPr>
                <w:rFonts w:ascii="Franklin Gothic Demi" w:hAnsi="Franklin Gothic Demi"/>
                <w:lang w:val="en-GB"/>
              </w:rPr>
            </w:pPr>
            <w:r w:rsidRPr="003D26C7">
              <w:rPr>
                <w:rFonts w:ascii="Franklin Gothic Demi" w:hAnsi="Franklin Gothic Demi"/>
                <w:lang w:val="en-GB"/>
              </w:rPr>
              <w:t>2 978.6</w:t>
            </w:r>
          </w:p>
        </w:tc>
        <w:tc>
          <w:tcPr>
            <w:tcW w:w="1345" w:type="dxa"/>
            <w:tcBorders>
              <w:top w:val="single" w:sz="8" w:space="0" w:color="FFFFFF" w:themeColor="background1"/>
              <w:bottom w:val="single" w:sz="4" w:space="0" w:color="6F6652" w:themeColor="accent5"/>
            </w:tcBorders>
            <w:shd w:val="clear" w:color="auto" w:fill="C2DADB" w:themeFill="accent6" w:themeFillTint="99"/>
          </w:tcPr>
          <w:p w:rsidR="007C6A5F" w:rsidRPr="003D26C7" w:rsidRDefault="007C6A5F" w:rsidP="00C36DA4">
            <w:pPr>
              <w:pStyle w:val="TableDataEntries"/>
              <w:rPr>
                <w:rFonts w:ascii="Franklin Gothic Demi" w:hAnsi="Franklin Gothic Demi"/>
                <w:lang w:val="en-GB"/>
              </w:rPr>
            </w:pPr>
            <w:r w:rsidRPr="003D26C7">
              <w:rPr>
                <w:rFonts w:ascii="Franklin Gothic Demi" w:hAnsi="Franklin Gothic Demi"/>
                <w:lang w:val="en-GB"/>
              </w:rPr>
              <w:t xml:space="preserve"> 12.1</w:t>
            </w:r>
          </w:p>
        </w:tc>
      </w:tr>
    </w:tbl>
    <w:p w:rsidR="007C6A5F" w:rsidDel="00430366" w:rsidRDefault="007C6A5F" w:rsidP="007C6A5F">
      <w:pPr>
        <w:pStyle w:val="Note"/>
        <w:rPr>
          <w:lang w:bidi="fa-IR"/>
        </w:rPr>
      </w:pPr>
      <w:r w:rsidRPr="007D1B4F" w:rsidDel="00430366">
        <w:rPr>
          <w:i/>
        </w:rPr>
        <w:t>Note:</w:t>
      </w:r>
      <w:r w:rsidRPr="00E879B8" w:rsidDel="00430366">
        <w:t xml:space="preserve"> </w:t>
      </w:r>
      <w:r>
        <w:t>TableBuilder randomly adjusts cells to minimise the risk of identifying individuals in aggregate statistics. This means that table totals do not always add exactly and the totals are not exactly consistent across tables.</w:t>
      </w:r>
    </w:p>
    <w:p w:rsidR="007C6A5F" w:rsidRDefault="007C6A5F" w:rsidP="007C6A5F">
      <w:pPr>
        <w:pStyle w:val="Source"/>
        <w:rPr>
          <w:lang w:bidi="fa-IR"/>
        </w:rPr>
      </w:pPr>
      <w:r w:rsidRPr="003D26C7">
        <w:rPr>
          <w:i/>
          <w:lang w:bidi="fa-IR"/>
        </w:rPr>
        <w:t>Source:</w:t>
      </w:r>
      <w:r>
        <w:rPr>
          <w:lang w:bidi="fa-IR"/>
        </w:rPr>
        <w:t xml:space="preserve"> </w:t>
      </w:r>
      <w:r>
        <w:t>ABS, Survey of Disabilities, Ageing and Carers, 2018, TableBuilder.</w:t>
      </w:r>
    </w:p>
    <w:p w:rsidR="007C6A5F" w:rsidRDefault="007C6A5F" w:rsidP="007C6A5F">
      <w:pPr>
        <w:pStyle w:val="BodyText"/>
        <w:rPr>
          <w:lang w:eastAsia="en-US" w:bidi="fa-IR"/>
        </w:rPr>
      </w:pPr>
      <w:r>
        <w:rPr>
          <w:lang w:eastAsia="en-US" w:bidi="fa-IR"/>
        </w:rPr>
        <w:t>We note that not all people with a mobility impairment will have specialised accessibility needs. On the other hand, several stakeholders noted that SDAC could understate the true number of people with accessibility needs because:</w:t>
      </w:r>
    </w:p>
    <w:p w:rsidR="007C6A5F" w:rsidRDefault="007C6A5F" w:rsidP="005A6F87">
      <w:pPr>
        <w:pStyle w:val="ListBullet"/>
        <w:numPr>
          <w:ilvl w:val="0"/>
          <w:numId w:val="17"/>
        </w:numPr>
        <w:rPr>
          <w:lang w:eastAsia="en-US" w:bidi="fa-IR"/>
        </w:rPr>
      </w:pPr>
      <w:r>
        <w:rPr>
          <w:lang w:eastAsia="en-US" w:bidi="fa-IR"/>
        </w:rPr>
        <w:t xml:space="preserve">many people </w:t>
      </w:r>
      <w:r w:rsidR="00313B07">
        <w:rPr>
          <w:lang w:eastAsia="en-US" w:bidi="fa-IR"/>
        </w:rPr>
        <w:t>with a long</w:t>
      </w:r>
      <w:r w:rsidR="00313B07">
        <w:rPr>
          <w:lang w:eastAsia="en-US" w:bidi="fa-IR"/>
        </w:rPr>
        <w:noBreakHyphen/>
        <w:t>term health condition that restricts their mobility</w:t>
      </w:r>
      <w:r w:rsidR="00FB10D9">
        <w:rPr>
          <w:lang w:eastAsia="en-US" w:bidi="fa-IR"/>
        </w:rPr>
        <w:t xml:space="preserve"> </w:t>
      </w:r>
      <w:r>
        <w:rPr>
          <w:lang w:eastAsia="en-US" w:bidi="fa-IR"/>
        </w:rPr>
        <w:t xml:space="preserve">do not identify as being </w:t>
      </w:r>
      <w:r w:rsidR="00FB10D9">
        <w:rPr>
          <w:lang w:eastAsia="en-US" w:bidi="fa-IR"/>
        </w:rPr>
        <w:t>a person with a disability</w:t>
      </w:r>
    </w:p>
    <w:p w:rsidR="007C6A5F" w:rsidRDefault="007C6A5F" w:rsidP="005A6F87">
      <w:pPr>
        <w:pStyle w:val="ListBullet"/>
        <w:numPr>
          <w:ilvl w:val="0"/>
          <w:numId w:val="17"/>
        </w:numPr>
        <w:rPr>
          <w:lang w:eastAsia="en-US" w:bidi="fa-IR"/>
        </w:rPr>
      </w:pPr>
      <w:r>
        <w:rPr>
          <w:lang w:eastAsia="en-US" w:bidi="fa-IR"/>
        </w:rPr>
        <w:t>the survey does not capture people with shorter</w:t>
      </w:r>
      <w:r>
        <w:rPr>
          <w:lang w:eastAsia="en-US" w:bidi="fa-IR"/>
        </w:rPr>
        <w:noBreakHyphen/>
        <w:t>term mobility impairments (i.e. those with a mobility limitation that is expected to last for less than 6 months).</w:t>
      </w:r>
    </w:p>
    <w:p w:rsidR="007C6A5F" w:rsidRDefault="007C6A5F" w:rsidP="007C6A5F">
      <w:pPr>
        <w:pStyle w:val="Heading3"/>
        <w:numPr>
          <w:ilvl w:val="2"/>
          <w:numId w:val="5"/>
        </w:numPr>
        <w:rPr>
          <w:lang w:eastAsia="en-US" w:bidi="fa-IR"/>
        </w:rPr>
      </w:pPr>
      <w:r>
        <w:rPr>
          <w:lang w:eastAsia="en-US" w:bidi="fa-IR"/>
        </w:rPr>
        <w:t>Users of mobility aids</w:t>
      </w:r>
    </w:p>
    <w:p w:rsidR="007C6A5F" w:rsidRDefault="007C6A5F" w:rsidP="007C6A5F">
      <w:pPr>
        <w:pStyle w:val="BodyText"/>
        <w:rPr>
          <w:lang w:bidi="fa-IR"/>
        </w:rPr>
      </w:pPr>
      <w:r>
        <w:rPr>
          <w:lang w:eastAsia="en-US" w:bidi="fa-IR"/>
        </w:rPr>
        <w:t xml:space="preserve">Although the needs of every individual will vary, the types of mobility aids used may be an indicator of the need for specific accessibility features in the home. In particular, wheelchair users (and to some extent users of other mobility aids with wheels, such as scooters/gophers or walking frames) have specific </w:t>
      </w:r>
      <w:r>
        <w:rPr>
          <w:lang w:bidi="fa-IR"/>
        </w:rPr>
        <w:t>accessibility requirements in relation to:</w:t>
      </w:r>
    </w:p>
    <w:p w:rsidR="007C6A5F" w:rsidRDefault="007C6A5F" w:rsidP="005A6F87">
      <w:pPr>
        <w:pStyle w:val="ListBullet"/>
        <w:numPr>
          <w:ilvl w:val="0"/>
          <w:numId w:val="17"/>
        </w:numPr>
        <w:rPr>
          <w:lang w:bidi="fa-IR"/>
        </w:rPr>
      </w:pPr>
      <w:r>
        <w:rPr>
          <w:lang w:bidi="fa-IR"/>
        </w:rPr>
        <w:t>level access</w:t>
      </w:r>
    </w:p>
    <w:p w:rsidR="007C6A5F" w:rsidRDefault="007C6A5F" w:rsidP="005A6F87">
      <w:pPr>
        <w:pStyle w:val="ListBullet"/>
        <w:numPr>
          <w:ilvl w:val="0"/>
          <w:numId w:val="17"/>
        </w:numPr>
        <w:rPr>
          <w:lang w:bidi="fa-IR"/>
        </w:rPr>
      </w:pPr>
      <w:r>
        <w:rPr>
          <w:lang w:bidi="fa-IR"/>
        </w:rPr>
        <w:lastRenderedPageBreak/>
        <w:t>the need for bedroom and bathrooms on the ground floor</w:t>
      </w:r>
    </w:p>
    <w:p w:rsidR="007C6A5F" w:rsidRDefault="007C6A5F" w:rsidP="005A6F87">
      <w:pPr>
        <w:pStyle w:val="ListBullet"/>
        <w:numPr>
          <w:ilvl w:val="0"/>
          <w:numId w:val="17"/>
        </w:numPr>
        <w:rPr>
          <w:lang w:bidi="fa-IR"/>
        </w:rPr>
      </w:pPr>
      <w:r>
        <w:rPr>
          <w:lang w:bidi="fa-IR"/>
        </w:rPr>
        <w:t>wider doorways and hallways, and</w:t>
      </w:r>
    </w:p>
    <w:p w:rsidR="007C6A5F" w:rsidRDefault="007C6A5F" w:rsidP="005A6F87">
      <w:pPr>
        <w:pStyle w:val="ListBullet"/>
        <w:numPr>
          <w:ilvl w:val="0"/>
          <w:numId w:val="17"/>
        </w:numPr>
        <w:rPr>
          <w:lang w:bidi="fa-IR"/>
        </w:rPr>
      </w:pPr>
      <w:r>
        <w:rPr>
          <w:lang w:bidi="fa-IR"/>
        </w:rPr>
        <w:t>space requirements in bathrooms, bedrooms etc.</w:t>
      </w:r>
    </w:p>
    <w:p w:rsidR="007C6A5F" w:rsidRDefault="007C6A5F" w:rsidP="007C6A5F">
      <w:pPr>
        <w:pStyle w:val="BodyText"/>
        <w:rPr>
          <w:lang w:bidi="fa-IR"/>
        </w:rPr>
      </w:pPr>
      <w:r>
        <w:rPr>
          <w:lang w:bidi="fa-IR"/>
        </w:rPr>
        <w:t>Dwellings that do not meet these accessibility requirements are unlikely to be suitable for a wheelchair user (i.e. a wheelchair user could not practically live in a dwelling that does not meet these requirements).</w:t>
      </w:r>
    </w:p>
    <w:p w:rsidR="007C6A5F" w:rsidRDefault="007C6A5F" w:rsidP="007C6A5F">
      <w:pPr>
        <w:pStyle w:val="BodyText"/>
        <w:rPr>
          <w:lang w:eastAsia="en-US" w:bidi="fa-IR"/>
        </w:rPr>
      </w:pPr>
      <w:r>
        <w:rPr>
          <w:lang w:eastAsia="en-US" w:bidi="fa-IR"/>
        </w:rPr>
        <w:t>According to SDAC data there were around 185 300 wheelchair users in 2018 and around 570 100 users of mobility aids with wheels including wheelchairs (table </w:t>
      </w:r>
      <w:r>
        <w:rPr>
          <w:lang w:eastAsia="en-US" w:bidi="fa-IR"/>
        </w:rPr>
        <w:fldChar w:fldCharType="begin"/>
      </w:r>
      <w:r>
        <w:rPr>
          <w:lang w:eastAsia="en-US" w:bidi="fa-IR"/>
        </w:rPr>
        <w:instrText xml:space="preserve"> REF _Caption8681 </w:instrText>
      </w:r>
      <w:r>
        <w:rPr>
          <w:lang w:eastAsia="en-US" w:bidi="fa-IR"/>
        </w:rPr>
        <w:fldChar w:fldCharType="separate"/>
      </w:r>
      <w:r>
        <w:rPr>
          <w:noProof/>
        </w:rPr>
        <w:t>2</w:t>
      </w:r>
      <w:r w:rsidRPr="00695C93">
        <w:rPr>
          <w:noProof/>
        </w:rPr>
        <w:t>.</w:t>
      </w:r>
      <w:r>
        <w:rPr>
          <w:noProof/>
        </w:rPr>
        <w:t>3</w:t>
      </w:r>
      <w:r>
        <w:rPr>
          <w:lang w:eastAsia="en-US" w:bidi="fa-IR"/>
        </w:rPr>
        <w:fldChar w:fldCharType="end"/>
      </w:r>
      <w:r>
        <w:rPr>
          <w:lang w:eastAsia="en-US" w:bidi="fa-IR"/>
        </w:rPr>
        <w:t>).</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2</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3</w:instrText>
      </w:r>
      <w:r w:rsidRPr="00695C93">
        <w:fldChar w:fldCharType="end"/>
      </w:r>
      <w:r w:rsidRPr="00695C93">
        <w:instrText xml:space="preserve">" "" </w:instrText>
      </w:r>
      <w:r w:rsidRPr="00695C93">
        <w:fldChar w:fldCharType="separate"/>
      </w:r>
      <w:bookmarkStart w:id="688" w:name="_Caption2543"/>
      <w:bookmarkStart w:id="689" w:name="_Caption1571"/>
      <w:bookmarkStart w:id="690" w:name="_Caption7767"/>
      <w:bookmarkStart w:id="691" w:name="_Caption9672"/>
      <w:bookmarkStart w:id="692" w:name="_Caption9966"/>
      <w:bookmarkStart w:id="693" w:name="_Caption8503"/>
      <w:bookmarkStart w:id="694" w:name="_Caption3670"/>
      <w:bookmarkStart w:id="695" w:name="_Caption6342"/>
      <w:bookmarkStart w:id="696" w:name="_Caption2781"/>
      <w:bookmarkStart w:id="697" w:name="_Caption9232"/>
      <w:bookmarkStart w:id="698" w:name="_Caption5628"/>
      <w:bookmarkStart w:id="699" w:name="_Caption5482"/>
      <w:bookmarkStart w:id="700" w:name="_Caption5836"/>
      <w:bookmarkStart w:id="701" w:name="_Caption3975"/>
      <w:bookmarkStart w:id="702" w:name="_Caption3770"/>
      <w:bookmarkStart w:id="703" w:name="_Caption7539"/>
      <w:bookmarkStart w:id="704" w:name="_Caption5010"/>
      <w:bookmarkStart w:id="705" w:name="_Caption2982"/>
      <w:bookmarkStart w:id="706" w:name="_Caption5093"/>
      <w:bookmarkStart w:id="707" w:name="_Caption9260"/>
      <w:bookmarkStart w:id="708" w:name="_Caption5182"/>
      <w:bookmarkStart w:id="709" w:name="_Caption7447"/>
      <w:bookmarkStart w:id="710" w:name="_Caption0986"/>
      <w:bookmarkStart w:id="711" w:name="_Caption6044"/>
      <w:bookmarkStart w:id="712" w:name="_Caption0254"/>
      <w:bookmarkStart w:id="713" w:name="_Caption1924"/>
      <w:bookmarkStart w:id="714" w:name="_Caption4111"/>
      <w:bookmarkStart w:id="715" w:name="_Caption9122"/>
      <w:bookmarkStart w:id="716" w:name="_Caption9588"/>
      <w:bookmarkStart w:id="717" w:name="_Caption1327"/>
      <w:bookmarkStart w:id="718" w:name="_Caption0947"/>
      <w:bookmarkStart w:id="719" w:name="_Caption3853"/>
      <w:bookmarkStart w:id="720" w:name="_Caption1166"/>
      <w:bookmarkStart w:id="721" w:name="_Caption6205"/>
      <w:bookmarkStart w:id="722" w:name="_Caption3815"/>
      <w:bookmarkStart w:id="723" w:name="_Caption5692"/>
      <w:bookmarkStart w:id="724" w:name="_Caption6831"/>
      <w:bookmarkStart w:id="725" w:name="_Caption6367"/>
      <w:bookmarkStart w:id="726" w:name="_Caption8602"/>
      <w:bookmarkStart w:id="727" w:name="_Caption1691"/>
      <w:bookmarkStart w:id="728" w:name="_Caption1682"/>
      <w:bookmarkStart w:id="729" w:name="_Caption0412"/>
      <w:bookmarkStart w:id="730" w:name="_Caption1106"/>
      <w:bookmarkStart w:id="731" w:name="_Caption0100"/>
      <w:bookmarkStart w:id="732" w:name="_Caption1779"/>
      <w:bookmarkStart w:id="733" w:name="_Caption5730"/>
      <w:bookmarkStart w:id="734" w:name="_Caption7127"/>
      <w:bookmarkStart w:id="735" w:name="_Caption8814"/>
      <w:bookmarkStart w:id="736" w:name="_Caption4508"/>
      <w:bookmarkStart w:id="737" w:name="_Caption4968"/>
      <w:bookmarkStart w:id="738" w:name="_Caption8681"/>
      <w:bookmarkStart w:id="739" w:name="_Caption1657"/>
      <w:bookmarkStart w:id="740" w:name="_Caption6265"/>
      <w:bookmarkStart w:id="741" w:name="_Caption5993"/>
      <w:bookmarkStart w:id="742" w:name="_Caption8744"/>
      <w:bookmarkStart w:id="743" w:name="_Caption3727"/>
      <w:bookmarkStart w:id="744" w:name="_Caption0535"/>
      <w:bookmarkStart w:id="745" w:name="_Caption6632"/>
      <w:bookmarkStart w:id="746" w:name="_Caption1600"/>
      <w:bookmarkStart w:id="747" w:name="_Caption9326"/>
      <w:bookmarkStart w:id="748" w:name="_Caption0456"/>
      <w:bookmarkStart w:id="749" w:name="_Caption0496"/>
      <w:bookmarkStart w:id="750" w:name="_Caption4349"/>
      <w:bookmarkStart w:id="751" w:name="_Caption9865"/>
      <w:bookmarkStart w:id="752" w:name="_Caption1610"/>
      <w:bookmarkStart w:id="753" w:name="_Caption4093"/>
      <w:bookmarkStart w:id="754" w:name="_Caption5765"/>
      <w:bookmarkStart w:id="755" w:name="_Caption9916"/>
      <w:bookmarkStart w:id="756" w:name="_Caption7871"/>
      <w:bookmarkStart w:id="757" w:name="_Caption1961"/>
      <w:bookmarkStart w:id="758" w:name="_Caption4985"/>
      <w:bookmarkStart w:id="759" w:name="_Caption9197"/>
      <w:bookmarkStart w:id="760" w:name="_Caption5222"/>
      <w:bookmarkStart w:id="761" w:name="_Caption3283"/>
      <w:bookmarkStart w:id="762" w:name="_Caption2488"/>
      <w:bookmarkStart w:id="763" w:name="_Caption5072"/>
      <w:bookmarkStart w:id="764" w:name="_Caption3033"/>
      <w:bookmarkStart w:id="765" w:name="_Caption8670"/>
      <w:bookmarkStart w:id="766" w:name="_Caption0910"/>
      <w:bookmarkStart w:id="767" w:name="_Caption4167"/>
      <w:bookmarkStart w:id="768" w:name="_Caption7260"/>
      <w:bookmarkStart w:id="769" w:name="_Caption1432"/>
      <w:bookmarkStart w:id="770" w:name="_Caption0809"/>
      <w:bookmarkStart w:id="771" w:name="_Caption1072"/>
      <w:bookmarkStart w:id="772" w:name="_Caption9488"/>
      <w:bookmarkStart w:id="773" w:name="_Caption0224"/>
      <w:bookmarkStart w:id="774" w:name="_Caption8978"/>
      <w:bookmarkStart w:id="775" w:name="_Caption2999"/>
      <w:bookmarkStart w:id="776" w:name="_Caption7742"/>
      <w:bookmarkStart w:id="777" w:name="_Caption3874"/>
      <w:bookmarkStart w:id="778" w:name="_Caption0141"/>
      <w:bookmarkStart w:id="779" w:name="_Caption5777"/>
      <w:bookmarkStart w:id="780" w:name="_Caption5507"/>
      <w:bookmarkStart w:id="781" w:name="_Caption0033"/>
      <w:bookmarkStart w:id="782" w:name="_Caption8128"/>
      <w:bookmarkStart w:id="783" w:name="_Caption5835"/>
      <w:bookmarkStart w:id="784" w:name="_Caption4235"/>
      <w:bookmarkStart w:id="785" w:name="_Caption0369"/>
      <w:bookmarkStart w:id="786" w:name="_Caption6382"/>
      <w:bookmarkStart w:id="787" w:name="_Caption6333"/>
      <w:bookmarkStart w:id="788" w:name="_Caption4350"/>
      <w:bookmarkStart w:id="789" w:name="_Caption2250"/>
      <w:bookmarkStart w:id="790" w:name="_Caption0637"/>
      <w:bookmarkStart w:id="791" w:name="_Caption8276"/>
      <w:bookmarkStart w:id="792" w:name="_Caption5149"/>
      <w:bookmarkStart w:id="793" w:name="_Caption4834"/>
      <w:bookmarkStart w:id="794" w:name="_Caption9200"/>
      <w:bookmarkStart w:id="795" w:name="_Caption5529"/>
      <w:bookmarkStart w:id="796" w:name="_Caption0754"/>
      <w:bookmarkStart w:id="797" w:name="_Caption1387"/>
      <w:bookmarkStart w:id="798" w:name="_Caption3876"/>
      <w:bookmarkStart w:id="799" w:name="_Caption5162"/>
      <w:bookmarkStart w:id="800" w:name="_Caption0784"/>
      <w:bookmarkStart w:id="801" w:name="_Caption9566"/>
      <w:bookmarkStart w:id="802" w:name="_Caption8082"/>
      <w:bookmarkStart w:id="803" w:name="_Caption1888"/>
      <w:bookmarkStart w:id="804" w:name="_Caption7976"/>
      <w:bookmarkStart w:id="805" w:name="_Caption6923"/>
      <w:bookmarkStart w:id="806" w:name="_Caption9456"/>
      <w:bookmarkStart w:id="807" w:name="_Caption0546"/>
      <w:bookmarkStart w:id="808" w:name="_Caption0327"/>
      <w:bookmarkStart w:id="809" w:name="_Caption4450"/>
      <w:bookmarkStart w:id="810" w:name="_Caption2503"/>
      <w:bookmarkStart w:id="811" w:name="_Toc32321794"/>
      <w:bookmarkStart w:id="812" w:name="_Toc44598487"/>
      <w:bookmarkStart w:id="813" w:name="_Toc45654118"/>
      <w:r w:rsidR="00272AF3">
        <w:rPr>
          <w:noProof/>
        </w:rPr>
        <w:t>2</w:t>
      </w:r>
      <w:r w:rsidR="00272AF3" w:rsidRPr="00695C93">
        <w:rPr>
          <w:noProof/>
        </w:rPr>
        <w:t>.</w:t>
      </w:r>
      <w:r w:rsidR="00272AF3">
        <w:rPr>
          <w:noProof/>
        </w:rPr>
        <w:t>3</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r w:rsidRPr="00695C93">
        <w:fldChar w:fldCharType="end"/>
      </w:r>
      <w:r w:rsidRPr="00695C93">
        <w:tab/>
      </w:r>
      <w:r>
        <w:t>Types of mobility aids</w:t>
      </w:r>
      <w:bookmarkEnd w:id="811"/>
      <w:bookmarkEnd w:id="812"/>
      <w:bookmarkEnd w:id="813"/>
    </w:p>
    <w:tbl>
      <w:tblPr>
        <w:tblStyle w:val="TableGridLight"/>
        <w:tblW w:w="7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2.3"/>
        <w:tblDescription w:val="Types of mobility aids"/>
      </w:tblPr>
      <w:tblGrid>
        <w:gridCol w:w="1843"/>
        <w:gridCol w:w="1375"/>
        <w:gridCol w:w="1573"/>
        <w:gridCol w:w="1573"/>
        <w:gridCol w:w="1572"/>
      </w:tblGrid>
      <w:tr w:rsidR="007C6A5F" w:rsidTr="004A1D3C">
        <w:trPr>
          <w:trHeight w:val="230"/>
          <w:tblHeader/>
        </w:trPr>
        <w:tc>
          <w:tcPr>
            <w:tcW w:w="1843" w:type="dxa"/>
            <w:shd w:val="clear" w:color="auto" w:fill="6F6652" w:themeFill="accent5"/>
          </w:tcPr>
          <w:p w:rsidR="007C6A5F" w:rsidRDefault="004A1D3C" w:rsidP="00C36DA4">
            <w:pPr>
              <w:pStyle w:val="TableDataColumnHeading"/>
              <w:jc w:val="left"/>
              <w:rPr>
                <w:lang w:val="en-GB"/>
              </w:rPr>
            </w:pPr>
            <w:r>
              <w:rPr>
                <w:lang w:val="en-GB"/>
              </w:rPr>
              <w:t>Mobility aids</w:t>
            </w:r>
          </w:p>
        </w:tc>
        <w:tc>
          <w:tcPr>
            <w:tcW w:w="1375" w:type="dxa"/>
            <w:shd w:val="clear" w:color="auto" w:fill="6F6652" w:themeFill="accent5"/>
          </w:tcPr>
          <w:p w:rsidR="007C6A5F" w:rsidRDefault="007C6A5F" w:rsidP="00C36DA4">
            <w:pPr>
              <w:pStyle w:val="TableDataColumnHeading"/>
              <w:rPr>
                <w:lang w:val="en-GB"/>
              </w:rPr>
            </w:pPr>
            <w:r>
              <w:rPr>
                <w:lang w:val="en-GB"/>
              </w:rPr>
              <w:t>0 to 14 years</w:t>
            </w:r>
            <w:r w:rsidR="004A1D3C">
              <w:rPr>
                <w:lang w:val="en-GB"/>
              </w:rPr>
              <w:br/>
              <w:t>(‘000)</w:t>
            </w:r>
          </w:p>
        </w:tc>
        <w:tc>
          <w:tcPr>
            <w:tcW w:w="1573" w:type="dxa"/>
            <w:shd w:val="clear" w:color="auto" w:fill="6F6652" w:themeFill="accent5"/>
          </w:tcPr>
          <w:p w:rsidR="007C6A5F" w:rsidRDefault="007C6A5F" w:rsidP="00C36DA4">
            <w:pPr>
              <w:pStyle w:val="TableDataColumnHeading"/>
              <w:rPr>
                <w:lang w:val="en-GB"/>
              </w:rPr>
            </w:pPr>
            <w:r>
              <w:rPr>
                <w:lang w:val="en-GB"/>
              </w:rPr>
              <w:t>15 - 64 years</w:t>
            </w:r>
            <w:r w:rsidR="004A1D3C">
              <w:rPr>
                <w:lang w:val="en-GB"/>
              </w:rPr>
              <w:br/>
              <w:t>(‘000)</w:t>
            </w:r>
          </w:p>
        </w:tc>
        <w:tc>
          <w:tcPr>
            <w:tcW w:w="1573" w:type="dxa"/>
            <w:shd w:val="clear" w:color="auto" w:fill="6F6652" w:themeFill="accent5"/>
          </w:tcPr>
          <w:p w:rsidR="007C6A5F" w:rsidRDefault="007C6A5F" w:rsidP="00C36DA4">
            <w:pPr>
              <w:pStyle w:val="TableDataColumnHeading"/>
              <w:rPr>
                <w:lang w:val="en-GB"/>
              </w:rPr>
            </w:pPr>
            <w:r>
              <w:rPr>
                <w:lang w:val="en-GB"/>
              </w:rPr>
              <w:t>65+ years</w:t>
            </w:r>
            <w:r w:rsidR="004A1D3C">
              <w:rPr>
                <w:lang w:val="en-GB"/>
              </w:rPr>
              <w:br/>
              <w:t>(‘000)</w:t>
            </w:r>
          </w:p>
        </w:tc>
        <w:tc>
          <w:tcPr>
            <w:tcW w:w="1572" w:type="dxa"/>
            <w:shd w:val="clear" w:color="auto" w:fill="6F6652" w:themeFill="accent5"/>
          </w:tcPr>
          <w:p w:rsidR="007C6A5F" w:rsidRDefault="007C6A5F" w:rsidP="00C36DA4">
            <w:pPr>
              <w:pStyle w:val="TableDataColumnHeading"/>
              <w:rPr>
                <w:lang w:val="en-GB"/>
              </w:rPr>
            </w:pPr>
            <w:r>
              <w:rPr>
                <w:lang w:val="en-GB"/>
              </w:rPr>
              <w:t>Total</w:t>
            </w:r>
            <w:r w:rsidR="004A1D3C">
              <w:rPr>
                <w:lang w:val="en-GB"/>
              </w:rPr>
              <w:br/>
              <w:t>(‘000)</w:t>
            </w:r>
          </w:p>
        </w:tc>
      </w:tr>
      <w:tr w:rsidR="007C6A5F" w:rsidTr="002E1A6C">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Wheelchairs</w:t>
            </w:r>
          </w:p>
        </w:tc>
        <w:tc>
          <w:tcPr>
            <w:tcW w:w="137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4.20</w:t>
            </w:r>
          </w:p>
        </w:tc>
        <w:tc>
          <w:tcPr>
            <w:tcW w:w="157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50.40</w:t>
            </w:r>
          </w:p>
        </w:tc>
        <w:tc>
          <w:tcPr>
            <w:tcW w:w="157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130.70</w:t>
            </w:r>
          </w:p>
        </w:tc>
        <w:tc>
          <w:tcPr>
            <w:tcW w:w="157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185.30</w:t>
            </w:r>
          </w:p>
        </w:tc>
      </w:tr>
      <w:tr w:rsidR="007C6A5F" w:rsidTr="002E1A6C">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Scooter/gopher</w:t>
            </w:r>
          </w:p>
        </w:tc>
        <w:tc>
          <w:tcPr>
            <w:tcW w:w="137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0.00</w:t>
            </w:r>
          </w:p>
        </w:tc>
        <w:tc>
          <w:tcPr>
            <w:tcW w:w="157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13.50</w:t>
            </w:r>
          </w:p>
        </w:tc>
        <w:tc>
          <w:tcPr>
            <w:tcW w:w="157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40.20</w:t>
            </w:r>
          </w:p>
        </w:tc>
        <w:tc>
          <w:tcPr>
            <w:tcW w:w="157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54.00</w:t>
            </w:r>
          </w:p>
        </w:tc>
      </w:tr>
      <w:tr w:rsidR="007C6A5F" w:rsidTr="002E1A6C">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Walking frame</w:t>
            </w:r>
          </w:p>
        </w:tc>
        <w:tc>
          <w:tcPr>
            <w:tcW w:w="137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0.00</w:t>
            </w:r>
          </w:p>
        </w:tc>
        <w:tc>
          <w:tcPr>
            <w:tcW w:w="157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46.30</w:t>
            </w:r>
          </w:p>
        </w:tc>
        <w:tc>
          <w:tcPr>
            <w:tcW w:w="157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284.00</w:t>
            </w:r>
          </w:p>
        </w:tc>
        <w:tc>
          <w:tcPr>
            <w:tcW w:w="157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330.80</w:t>
            </w:r>
          </w:p>
        </w:tc>
      </w:tr>
      <w:tr w:rsidR="007C6A5F" w:rsidRPr="008054BC" w:rsidTr="002E1A6C">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Pr>
          <w:p w:rsidR="007C6A5F" w:rsidRPr="008054BC" w:rsidRDefault="007C6A5F" w:rsidP="00C36DA4">
            <w:pPr>
              <w:pStyle w:val="TableDataEntries"/>
              <w:jc w:val="left"/>
              <w:rPr>
                <w:rFonts w:ascii="Franklin Gothic Demi" w:hAnsi="Franklin Gothic Demi"/>
                <w:lang w:val="en-GB"/>
              </w:rPr>
            </w:pPr>
            <w:r w:rsidRPr="008054BC">
              <w:rPr>
                <w:rFonts w:ascii="Franklin Gothic Demi" w:hAnsi="Franklin Gothic Demi"/>
                <w:lang w:val="en-GB"/>
              </w:rPr>
              <w:t>Total aids with wheels</w:t>
            </w:r>
          </w:p>
        </w:tc>
        <w:tc>
          <w:tcPr>
            <w:tcW w:w="1375" w:type="dxa"/>
            <w:tcBorders>
              <w:top w:val="single" w:sz="8" w:space="0" w:color="FFFFFF" w:themeColor="background1"/>
              <w:bottom w:val="single" w:sz="8" w:space="0" w:color="FFFFFF" w:themeColor="background1"/>
            </w:tcBorders>
            <w:shd w:val="clear" w:color="auto" w:fill="E9E8E5" w:themeFill="background2"/>
          </w:tcPr>
          <w:p w:rsidR="007C6A5F" w:rsidRPr="008054BC" w:rsidRDefault="007C6A5F" w:rsidP="00C36DA4">
            <w:pPr>
              <w:pStyle w:val="TableDataEntries"/>
              <w:rPr>
                <w:rFonts w:ascii="Franklin Gothic Demi" w:hAnsi="Franklin Gothic Demi"/>
                <w:lang w:val="en-GB"/>
              </w:rPr>
            </w:pPr>
            <w:r w:rsidRPr="008054BC">
              <w:rPr>
                <w:rFonts w:ascii="Franklin Gothic Demi" w:hAnsi="Franklin Gothic Demi"/>
                <w:lang w:val="en-GB"/>
              </w:rPr>
              <w:t xml:space="preserve"> 4.20</w:t>
            </w:r>
          </w:p>
        </w:tc>
        <w:tc>
          <w:tcPr>
            <w:tcW w:w="1573" w:type="dxa"/>
            <w:tcBorders>
              <w:top w:val="single" w:sz="8" w:space="0" w:color="FFFFFF" w:themeColor="background1"/>
              <w:bottom w:val="single" w:sz="8" w:space="0" w:color="FFFFFF" w:themeColor="background1"/>
            </w:tcBorders>
            <w:shd w:val="clear" w:color="auto" w:fill="E9E8E5" w:themeFill="background2"/>
          </w:tcPr>
          <w:p w:rsidR="007C6A5F" w:rsidRPr="008054BC" w:rsidRDefault="007C6A5F" w:rsidP="00C36DA4">
            <w:pPr>
              <w:pStyle w:val="TableDataEntries"/>
              <w:rPr>
                <w:rFonts w:ascii="Franklin Gothic Demi" w:hAnsi="Franklin Gothic Demi"/>
                <w:lang w:val="en-GB"/>
              </w:rPr>
            </w:pPr>
            <w:r w:rsidRPr="008054BC">
              <w:rPr>
                <w:rFonts w:ascii="Franklin Gothic Demi" w:hAnsi="Franklin Gothic Demi"/>
                <w:lang w:val="en-GB"/>
              </w:rPr>
              <w:t xml:space="preserve"> 110.20</w:t>
            </w:r>
          </w:p>
        </w:tc>
        <w:tc>
          <w:tcPr>
            <w:tcW w:w="1573" w:type="dxa"/>
            <w:tcBorders>
              <w:top w:val="single" w:sz="8" w:space="0" w:color="FFFFFF" w:themeColor="background1"/>
              <w:bottom w:val="single" w:sz="8" w:space="0" w:color="FFFFFF" w:themeColor="background1"/>
            </w:tcBorders>
            <w:shd w:val="clear" w:color="auto" w:fill="E9E8E5" w:themeFill="background2"/>
          </w:tcPr>
          <w:p w:rsidR="007C6A5F" w:rsidRPr="008054BC" w:rsidRDefault="007C6A5F" w:rsidP="00C36DA4">
            <w:pPr>
              <w:pStyle w:val="TableDataEntries"/>
              <w:rPr>
                <w:rFonts w:ascii="Franklin Gothic Demi" w:hAnsi="Franklin Gothic Demi"/>
                <w:lang w:val="en-GB"/>
              </w:rPr>
            </w:pPr>
            <w:r w:rsidRPr="008054BC">
              <w:rPr>
                <w:rFonts w:ascii="Franklin Gothic Demi" w:hAnsi="Franklin Gothic Demi"/>
                <w:lang w:val="en-GB"/>
              </w:rPr>
              <w:t xml:space="preserve"> 454.90</w:t>
            </w:r>
          </w:p>
        </w:tc>
        <w:tc>
          <w:tcPr>
            <w:tcW w:w="1572" w:type="dxa"/>
            <w:tcBorders>
              <w:top w:val="single" w:sz="8" w:space="0" w:color="FFFFFF" w:themeColor="background1"/>
              <w:bottom w:val="single" w:sz="8" w:space="0" w:color="FFFFFF" w:themeColor="background1"/>
            </w:tcBorders>
            <w:shd w:val="clear" w:color="auto" w:fill="E9E8E5" w:themeFill="background2"/>
          </w:tcPr>
          <w:p w:rsidR="007C6A5F" w:rsidRPr="008054BC" w:rsidRDefault="007C6A5F" w:rsidP="00C36DA4">
            <w:pPr>
              <w:pStyle w:val="TableDataEntries"/>
              <w:rPr>
                <w:rFonts w:ascii="Franklin Gothic Demi" w:hAnsi="Franklin Gothic Demi"/>
                <w:lang w:val="en-GB"/>
              </w:rPr>
            </w:pPr>
            <w:r w:rsidRPr="008054BC">
              <w:rPr>
                <w:rFonts w:ascii="Franklin Gothic Demi" w:hAnsi="Franklin Gothic Demi"/>
                <w:lang w:val="en-GB"/>
              </w:rPr>
              <w:t xml:space="preserve"> 570.10</w:t>
            </w:r>
          </w:p>
        </w:tc>
      </w:tr>
      <w:tr w:rsidR="007C6A5F" w:rsidTr="002E1A6C">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Other aids</w:t>
            </w:r>
          </w:p>
        </w:tc>
        <w:tc>
          <w:tcPr>
            <w:tcW w:w="137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3.00</w:t>
            </w:r>
          </w:p>
        </w:tc>
        <w:tc>
          <w:tcPr>
            <w:tcW w:w="157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69.60</w:t>
            </w:r>
          </w:p>
        </w:tc>
        <w:tc>
          <w:tcPr>
            <w:tcW w:w="157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36.70</w:t>
            </w:r>
          </w:p>
        </w:tc>
        <w:tc>
          <w:tcPr>
            <w:tcW w:w="157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107.60</w:t>
            </w:r>
          </w:p>
        </w:tc>
      </w:tr>
      <w:tr w:rsidR="007C6A5F" w:rsidTr="00B5160B">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Do not use aids</w:t>
            </w:r>
          </w:p>
        </w:tc>
        <w:tc>
          <w:tcPr>
            <w:tcW w:w="137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222.20</w:t>
            </w:r>
          </w:p>
        </w:tc>
        <w:tc>
          <w:tcPr>
            <w:tcW w:w="157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1 162.30</w:t>
            </w:r>
          </w:p>
        </w:tc>
        <w:tc>
          <w:tcPr>
            <w:tcW w:w="157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919.50</w:t>
            </w:r>
          </w:p>
        </w:tc>
        <w:tc>
          <w:tcPr>
            <w:tcW w:w="157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2 304.60</w:t>
            </w:r>
          </w:p>
        </w:tc>
      </w:tr>
      <w:tr w:rsidR="007C6A5F" w:rsidRPr="006A6631" w:rsidTr="00B5160B">
        <w:trPr>
          <w:trHeight w:val="230"/>
        </w:trPr>
        <w:tc>
          <w:tcPr>
            <w:tcW w:w="1843" w:type="dxa"/>
            <w:tcBorders>
              <w:top w:val="single" w:sz="8" w:space="0" w:color="FFFFFF" w:themeColor="background1"/>
              <w:bottom w:val="single" w:sz="4" w:space="0" w:color="6F6652" w:themeColor="accent5"/>
            </w:tcBorders>
            <w:shd w:val="clear" w:color="auto" w:fill="C2DADB" w:themeFill="accent6" w:themeFillTint="99"/>
          </w:tcPr>
          <w:p w:rsidR="007C6A5F" w:rsidRPr="006A6631" w:rsidRDefault="007C6A5F" w:rsidP="00C36DA4">
            <w:pPr>
              <w:pStyle w:val="TableDataEntries"/>
              <w:jc w:val="left"/>
              <w:rPr>
                <w:rFonts w:ascii="Franklin Gothic Demi" w:hAnsi="Franklin Gothic Demi"/>
                <w:lang w:val="en-GB"/>
              </w:rPr>
            </w:pPr>
            <w:r w:rsidRPr="006A6631">
              <w:rPr>
                <w:rFonts w:ascii="Franklin Gothic Demi" w:hAnsi="Franklin Gothic Demi"/>
                <w:lang w:val="en-GB"/>
              </w:rPr>
              <w:t>Total</w:t>
            </w:r>
          </w:p>
        </w:tc>
        <w:tc>
          <w:tcPr>
            <w:tcW w:w="1375" w:type="dxa"/>
            <w:tcBorders>
              <w:top w:val="single" w:sz="8" w:space="0" w:color="FFFFFF" w:themeColor="background1"/>
              <w:bottom w:val="single" w:sz="4" w:space="0" w:color="6F6652" w:themeColor="accent5"/>
            </w:tcBorders>
            <w:shd w:val="clear" w:color="auto" w:fill="C2DADB" w:themeFill="accent6" w:themeFillTint="99"/>
          </w:tcPr>
          <w:p w:rsidR="007C6A5F" w:rsidRPr="006A6631" w:rsidRDefault="007C6A5F" w:rsidP="00C36DA4">
            <w:pPr>
              <w:pStyle w:val="TableDataEntries"/>
              <w:rPr>
                <w:rFonts w:ascii="Franklin Gothic Demi" w:hAnsi="Franklin Gothic Demi"/>
                <w:lang w:val="en-GB"/>
              </w:rPr>
            </w:pPr>
            <w:r w:rsidRPr="006A6631">
              <w:rPr>
                <w:rFonts w:ascii="Franklin Gothic Demi" w:hAnsi="Franklin Gothic Demi"/>
                <w:lang w:val="en-GB"/>
              </w:rPr>
              <w:t xml:space="preserve"> 229.40</w:t>
            </w:r>
          </w:p>
        </w:tc>
        <w:tc>
          <w:tcPr>
            <w:tcW w:w="1573" w:type="dxa"/>
            <w:tcBorders>
              <w:top w:val="single" w:sz="8" w:space="0" w:color="FFFFFF" w:themeColor="background1"/>
              <w:bottom w:val="single" w:sz="4" w:space="0" w:color="6F6652" w:themeColor="accent5"/>
            </w:tcBorders>
            <w:shd w:val="clear" w:color="auto" w:fill="C2DADB" w:themeFill="accent6" w:themeFillTint="99"/>
          </w:tcPr>
          <w:p w:rsidR="007C6A5F" w:rsidRPr="006A6631" w:rsidRDefault="007C6A5F" w:rsidP="00C36DA4">
            <w:pPr>
              <w:pStyle w:val="TableDataEntries"/>
              <w:rPr>
                <w:rFonts w:ascii="Franklin Gothic Demi" w:hAnsi="Franklin Gothic Demi"/>
                <w:lang w:val="en-GB"/>
              </w:rPr>
            </w:pPr>
            <w:r w:rsidRPr="006A6631">
              <w:rPr>
                <w:rFonts w:ascii="Franklin Gothic Demi" w:hAnsi="Franklin Gothic Demi"/>
                <w:lang w:val="en-GB"/>
              </w:rPr>
              <w:t>1 342.10</w:t>
            </w:r>
          </w:p>
        </w:tc>
        <w:tc>
          <w:tcPr>
            <w:tcW w:w="1573" w:type="dxa"/>
            <w:tcBorders>
              <w:top w:val="single" w:sz="8" w:space="0" w:color="FFFFFF" w:themeColor="background1"/>
              <w:bottom w:val="single" w:sz="4" w:space="0" w:color="6F6652" w:themeColor="accent5"/>
            </w:tcBorders>
            <w:shd w:val="clear" w:color="auto" w:fill="C2DADB" w:themeFill="accent6" w:themeFillTint="99"/>
          </w:tcPr>
          <w:p w:rsidR="007C6A5F" w:rsidRPr="006A6631" w:rsidRDefault="007C6A5F" w:rsidP="00C36DA4">
            <w:pPr>
              <w:pStyle w:val="TableDataEntries"/>
              <w:rPr>
                <w:rFonts w:ascii="Franklin Gothic Demi" w:hAnsi="Franklin Gothic Demi"/>
                <w:lang w:val="en-GB"/>
              </w:rPr>
            </w:pPr>
            <w:r w:rsidRPr="006A6631">
              <w:rPr>
                <w:rFonts w:ascii="Franklin Gothic Demi" w:hAnsi="Franklin Gothic Demi"/>
                <w:lang w:val="en-GB"/>
              </w:rPr>
              <w:t>1 411.10</w:t>
            </w:r>
          </w:p>
        </w:tc>
        <w:tc>
          <w:tcPr>
            <w:tcW w:w="1572" w:type="dxa"/>
            <w:tcBorders>
              <w:top w:val="single" w:sz="8" w:space="0" w:color="FFFFFF" w:themeColor="background1"/>
              <w:bottom w:val="single" w:sz="4" w:space="0" w:color="6F6652" w:themeColor="accent5"/>
            </w:tcBorders>
            <w:shd w:val="clear" w:color="auto" w:fill="C2DADB" w:themeFill="accent6" w:themeFillTint="99"/>
          </w:tcPr>
          <w:p w:rsidR="007C6A5F" w:rsidRPr="006A6631" w:rsidRDefault="007C6A5F" w:rsidP="00C36DA4">
            <w:pPr>
              <w:pStyle w:val="TableDataEntries"/>
              <w:rPr>
                <w:rFonts w:ascii="Franklin Gothic Demi" w:hAnsi="Franklin Gothic Demi"/>
                <w:lang w:val="en-GB"/>
              </w:rPr>
            </w:pPr>
            <w:r w:rsidRPr="006A6631">
              <w:rPr>
                <w:rFonts w:ascii="Franklin Gothic Demi" w:hAnsi="Franklin Gothic Demi"/>
                <w:lang w:val="en-GB"/>
              </w:rPr>
              <w:t>2 982.30</w:t>
            </w:r>
          </w:p>
        </w:tc>
      </w:tr>
    </w:tbl>
    <w:p w:rsidR="007C6A5F" w:rsidDel="00430366" w:rsidRDefault="007C6A5F" w:rsidP="007C6A5F">
      <w:pPr>
        <w:pStyle w:val="Note"/>
        <w:rPr>
          <w:lang w:bidi="fa-IR"/>
        </w:rPr>
      </w:pPr>
      <w:r w:rsidRPr="007D1B4F" w:rsidDel="00430366">
        <w:rPr>
          <w:i/>
        </w:rPr>
        <w:t>Note:</w:t>
      </w:r>
      <w:r w:rsidRPr="00E879B8" w:rsidDel="00430366">
        <w:t xml:space="preserve"> </w:t>
      </w:r>
      <w:r>
        <w:t>TableBuilder randomly adjusts cells to minimise the risk of identifying individuals in aggregate statistics. This means that table totals do not always add exactly and the totals are not exactly consistent across tables.</w:t>
      </w:r>
    </w:p>
    <w:p w:rsidR="007C6A5F" w:rsidRDefault="007C6A5F" w:rsidP="007C6A5F">
      <w:pPr>
        <w:pStyle w:val="Source"/>
        <w:rPr>
          <w:lang w:bidi="fa-IR"/>
        </w:rPr>
      </w:pPr>
      <w:r w:rsidRPr="006A6631">
        <w:rPr>
          <w:i/>
          <w:lang w:bidi="fa-IR"/>
        </w:rPr>
        <w:t>Source:</w:t>
      </w:r>
      <w:r>
        <w:rPr>
          <w:lang w:bidi="fa-IR"/>
        </w:rPr>
        <w:t xml:space="preserve"> </w:t>
      </w:r>
      <w:r>
        <w:t>ABS, Survey of Disabilities, Ageing and Carers, 2018, TableBuilder.</w:t>
      </w:r>
    </w:p>
    <w:p w:rsidR="007C6A5F" w:rsidRDefault="007C6A5F" w:rsidP="007C6A5F">
      <w:pPr>
        <w:pStyle w:val="Heading3"/>
        <w:numPr>
          <w:ilvl w:val="2"/>
          <w:numId w:val="5"/>
        </w:numPr>
        <w:rPr>
          <w:lang w:eastAsia="en-US" w:bidi="fa-IR"/>
        </w:rPr>
      </w:pPr>
      <w:r>
        <w:rPr>
          <w:lang w:eastAsia="en-US" w:bidi="fa-IR"/>
        </w:rPr>
        <w:t>Projections of future needs</w:t>
      </w:r>
    </w:p>
    <w:p w:rsidR="007C6A5F" w:rsidRDefault="007C6A5F" w:rsidP="007C6A5F">
      <w:pPr>
        <w:pStyle w:val="BodyText"/>
        <w:rPr>
          <w:lang w:eastAsia="en-US" w:bidi="fa-IR"/>
        </w:rPr>
      </w:pPr>
      <w:r>
        <w:rPr>
          <w:lang w:eastAsia="en-US" w:bidi="fa-IR"/>
        </w:rPr>
        <w:t xml:space="preserve">The number of people with </w:t>
      </w:r>
      <w:r w:rsidR="005406A4">
        <w:rPr>
          <w:lang w:eastAsia="en-US" w:bidi="fa-IR"/>
        </w:rPr>
        <w:t xml:space="preserve">a </w:t>
      </w:r>
      <w:r>
        <w:rPr>
          <w:lang w:eastAsia="en-US" w:bidi="fa-IR"/>
        </w:rPr>
        <w:t>mobility limitation is expected to increase over time. This will be driven by both population growth as well as an ageing population.</w:t>
      </w:r>
    </w:p>
    <w:p w:rsidR="007C6A5F" w:rsidRDefault="007C6A5F" w:rsidP="007C6A5F">
      <w:pPr>
        <w:pStyle w:val="BodyText"/>
        <w:rPr>
          <w:lang w:eastAsia="en-US" w:bidi="fa-IR"/>
        </w:rPr>
      </w:pPr>
      <w:r>
        <w:rPr>
          <w:lang w:eastAsia="en-US" w:bidi="fa-IR"/>
        </w:rPr>
        <w:t>The old</w:t>
      </w:r>
      <w:r>
        <w:rPr>
          <w:lang w:eastAsia="en-US" w:bidi="fa-IR"/>
        </w:rPr>
        <w:noBreakHyphen/>
        <w:t>age dependency ratio is one indicator of population ageing. The old</w:t>
      </w:r>
      <w:r>
        <w:rPr>
          <w:lang w:eastAsia="en-US" w:bidi="fa-IR"/>
        </w:rPr>
        <w:noBreakHyphen/>
        <w:t>age dependency ratio is currently increasing rapidly as the ‘baby boomer’ generation (those who were born in the years following the end of World War II through to the early to mid</w:t>
      </w:r>
      <w:r>
        <w:rPr>
          <w:lang w:eastAsia="en-US" w:bidi="fa-IR"/>
        </w:rPr>
        <w:noBreakHyphen/>
        <w:t>1960s) reach retirement age. Based on ABS Projections (Series B – see chart </w:t>
      </w:r>
      <w:r>
        <w:rPr>
          <w:lang w:eastAsia="en-US" w:bidi="fa-IR"/>
        </w:rPr>
        <w:fldChar w:fldCharType="begin"/>
      </w:r>
      <w:r>
        <w:rPr>
          <w:lang w:eastAsia="en-US" w:bidi="fa-IR"/>
        </w:rPr>
        <w:instrText xml:space="preserve"> REF _Caption7135 </w:instrText>
      </w:r>
      <w:r>
        <w:rPr>
          <w:lang w:eastAsia="en-US" w:bidi="fa-IR"/>
        </w:rPr>
        <w:fldChar w:fldCharType="separate"/>
      </w:r>
      <w:r>
        <w:rPr>
          <w:noProof/>
        </w:rPr>
        <w:t>2</w:t>
      </w:r>
      <w:r w:rsidRPr="00C46A78">
        <w:rPr>
          <w:noProof/>
        </w:rPr>
        <w:t>.</w:t>
      </w:r>
      <w:r>
        <w:rPr>
          <w:noProof/>
        </w:rPr>
        <w:t>4</w:t>
      </w:r>
      <w:r>
        <w:rPr>
          <w:lang w:eastAsia="en-US" w:bidi="fa-IR"/>
        </w:rPr>
        <w:fldChar w:fldCharType="end"/>
      </w:r>
      <w:r>
        <w:rPr>
          <w:lang w:eastAsia="en-US" w:bidi="fa-IR"/>
        </w:rPr>
        <w:t>), the old</w:t>
      </w:r>
      <w:r>
        <w:rPr>
          <w:lang w:eastAsia="en-US" w:bidi="fa-IR"/>
        </w:rPr>
        <w:noBreakHyphen/>
        <w:t>age dependency ratio is expected to increase from the current level of around 24</w:t>
      </w:r>
      <w:r>
        <w:rPr>
          <w:lang w:eastAsia="en-US" w:bidi="fa-IR"/>
        </w:rPr>
        <w:noBreakHyphen/>
        <w:t>25 per cent to around 30 per cent over the next 15 years.</w:t>
      </w:r>
    </w:p>
    <w:p w:rsidR="007C6A5F" w:rsidRDefault="007C6A5F" w:rsidP="007C6A5F">
      <w:pPr>
        <w:pStyle w:val="Caption"/>
      </w:pPr>
      <w:r w:rsidRPr="00C46A78">
        <w:lastRenderedPageBreak/>
        <w:fldChar w:fldCharType="begin"/>
      </w:r>
      <w:r w:rsidRPr="00C46A78">
        <w:instrText xml:space="preserve"> IF 1 = 1 "</w:instrText>
      </w:r>
      <w:r w:rsidRPr="00C46A78">
        <w:fldChar w:fldCharType="begin"/>
      </w:r>
      <w:r w:rsidRPr="00C46A78">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C46A78">
        <w:instrText xml:space="preserve"> = 0 "</w:instrText>
      </w:r>
      <w:r w:rsidRPr="00C46A78">
        <w:fldChar w:fldCharType="begin"/>
      </w:r>
      <w:r w:rsidRPr="00C46A78">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C46A78">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C46A78">
        <w:instrText xml:space="preserve">." </w:instrText>
      </w:r>
      <w:r w:rsidRPr="00C46A78">
        <w:fldChar w:fldCharType="separate"/>
      </w:r>
      <w:r>
        <w:rPr>
          <w:noProof/>
        </w:rPr>
        <w:instrText>2</w:instrText>
      </w:r>
      <w:r w:rsidRPr="00C46A78">
        <w:rPr>
          <w:noProof/>
        </w:rPr>
        <w:instrText>.</w:instrText>
      </w:r>
      <w:r w:rsidRPr="00C46A78">
        <w:fldChar w:fldCharType="end"/>
      </w:r>
      <w:r w:rsidRPr="00C46A78">
        <w:instrText>" "</w:instrText>
      </w:r>
      <w:r>
        <w:rPr>
          <w:noProof/>
        </w:rPr>
        <w:fldChar w:fldCharType="begin"/>
      </w:r>
      <w:r>
        <w:rPr>
          <w:noProof/>
        </w:rPr>
        <w:instrText xml:space="preserve"> STYLEREF "Heading 6" \l \n </w:instrText>
      </w:r>
      <w:r>
        <w:rPr>
          <w:noProof/>
        </w:rPr>
        <w:fldChar w:fldCharType="separate"/>
      </w:r>
      <w:r w:rsidRPr="00C46A78">
        <w:rPr>
          <w:noProof/>
        </w:rPr>
        <w:instrText>A</w:instrText>
      </w:r>
      <w:r>
        <w:rPr>
          <w:noProof/>
        </w:rPr>
        <w:fldChar w:fldCharType="end"/>
      </w:r>
      <w:r w:rsidRPr="00C46A78">
        <w:instrText xml:space="preserve">." </w:instrText>
      </w:r>
      <w:r w:rsidRPr="00C46A78">
        <w:fldChar w:fldCharType="separate"/>
      </w:r>
      <w:r w:rsidR="00272AF3">
        <w:rPr>
          <w:noProof/>
        </w:rPr>
        <w:instrText>2</w:instrText>
      </w:r>
      <w:r w:rsidR="00272AF3" w:rsidRPr="00C46A78">
        <w:rPr>
          <w:noProof/>
        </w:rPr>
        <w:instrText>.</w:instrText>
      </w:r>
      <w:r w:rsidRPr="00C46A78">
        <w:fldChar w:fldCharType="end"/>
      </w:r>
      <w:r w:rsidRPr="00C46A78">
        <w:fldChar w:fldCharType="begin"/>
      </w:r>
      <w:r w:rsidRPr="00C46A78">
        <w:instrText xml:space="preserve"> SEQ Item \* ARABIC \s </w:instrText>
      </w:r>
      <w:r w:rsidRPr="00C46A78">
        <w:fldChar w:fldCharType="begin"/>
      </w:r>
      <w:r w:rsidRPr="00C46A78">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C46A78">
        <w:instrText xml:space="preserve"> = 0 "</w:instrText>
      </w:r>
      <w:r w:rsidRPr="00C46A78">
        <w:fldChar w:fldCharType="begin"/>
      </w:r>
      <w:r w:rsidRPr="00C46A78">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C46A78">
        <w:instrText xml:space="preserve"> = 0 "" "1" </w:instrText>
      </w:r>
      <w:r w:rsidRPr="00C46A78">
        <w:fldChar w:fldCharType="separate"/>
      </w:r>
      <w:r w:rsidR="00272AF3" w:rsidRPr="00C46A78">
        <w:rPr>
          <w:noProof/>
        </w:rPr>
        <w:instrText>1</w:instrText>
      </w:r>
      <w:r w:rsidRPr="00C46A78">
        <w:fldChar w:fldCharType="end"/>
      </w:r>
      <w:r w:rsidRPr="00C46A78">
        <w:instrText xml:space="preserve">" "6" </w:instrText>
      </w:r>
      <w:r w:rsidRPr="00C46A78">
        <w:fldChar w:fldCharType="separate"/>
      </w:r>
      <w:r w:rsidR="00272AF3" w:rsidRPr="00C46A78">
        <w:rPr>
          <w:noProof/>
        </w:rPr>
        <w:instrText>1</w:instrText>
      </w:r>
      <w:r w:rsidRPr="00C46A78">
        <w:fldChar w:fldCharType="end"/>
      </w:r>
      <w:r w:rsidRPr="00C46A78">
        <w:instrText xml:space="preserve"> </w:instrText>
      </w:r>
      <w:r w:rsidRPr="00C46A78">
        <w:fldChar w:fldCharType="separate"/>
      </w:r>
      <w:r>
        <w:rPr>
          <w:noProof/>
        </w:rPr>
        <w:instrText>4</w:instrText>
      </w:r>
      <w:r w:rsidRPr="00C46A78">
        <w:fldChar w:fldCharType="end"/>
      </w:r>
      <w:r w:rsidRPr="00C46A78">
        <w:instrText xml:space="preserve">" "" </w:instrText>
      </w:r>
      <w:r w:rsidRPr="00C46A78">
        <w:fldChar w:fldCharType="separate"/>
      </w:r>
      <w:bookmarkStart w:id="814" w:name="_Caption9927"/>
      <w:bookmarkStart w:id="815" w:name="_Caption0720"/>
      <w:bookmarkStart w:id="816" w:name="_Caption0032"/>
      <w:bookmarkStart w:id="817" w:name="_Caption3318"/>
      <w:bookmarkStart w:id="818" w:name="_Caption0220"/>
      <w:bookmarkStart w:id="819" w:name="_Caption6993"/>
      <w:bookmarkStart w:id="820" w:name="_Caption1317"/>
      <w:bookmarkStart w:id="821" w:name="_Caption5123"/>
      <w:bookmarkStart w:id="822" w:name="_Caption2685"/>
      <w:bookmarkStart w:id="823" w:name="_Caption9497"/>
      <w:bookmarkStart w:id="824" w:name="_Caption0992"/>
      <w:bookmarkStart w:id="825" w:name="_Caption1103"/>
      <w:bookmarkStart w:id="826" w:name="_Caption7379"/>
      <w:bookmarkStart w:id="827" w:name="_Caption2961"/>
      <w:bookmarkStart w:id="828" w:name="_Caption7028"/>
      <w:bookmarkStart w:id="829" w:name="_Caption9302"/>
      <w:bookmarkStart w:id="830" w:name="_Caption8512"/>
      <w:bookmarkStart w:id="831" w:name="_Caption8153"/>
      <w:bookmarkStart w:id="832" w:name="_Caption8084"/>
      <w:bookmarkStart w:id="833" w:name="_Caption7271"/>
      <w:bookmarkStart w:id="834" w:name="_Caption0854"/>
      <w:bookmarkStart w:id="835" w:name="_Caption5580"/>
      <w:bookmarkStart w:id="836" w:name="_Caption9384"/>
      <w:bookmarkStart w:id="837" w:name="_Caption7952"/>
      <w:bookmarkStart w:id="838" w:name="_Caption1124"/>
      <w:bookmarkStart w:id="839" w:name="_Caption1806"/>
      <w:bookmarkStart w:id="840" w:name="_Caption8999"/>
      <w:bookmarkStart w:id="841" w:name="_Caption5384"/>
      <w:bookmarkStart w:id="842" w:name="_Caption7131"/>
      <w:bookmarkStart w:id="843" w:name="_Caption1596"/>
      <w:bookmarkStart w:id="844" w:name="_Caption3617"/>
      <w:bookmarkStart w:id="845" w:name="_Caption7658"/>
      <w:bookmarkStart w:id="846" w:name="_Caption3571"/>
      <w:bookmarkStart w:id="847" w:name="_Caption9141"/>
      <w:bookmarkStart w:id="848" w:name="_Caption8367"/>
      <w:bookmarkStart w:id="849" w:name="_Caption2716"/>
      <w:bookmarkStart w:id="850" w:name="_Caption3218"/>
      <w:bookmarkStart w:id="851" w:name="_Caption4002"/>
      <w:bookmarkStart w:id="852" w:name="_Caption4875"/>
      <w:bookmarkStart w:id="853" w:name="_Caption9835"/>
      <w:bookmarkStart w:id="854" w:name="_Caption8787"/>
      <w:bookmarkStart w:id="855" w:name="_Caption7020"/>
      <w:bookmarkStart w:id="856" w:name="_Caption7135"/>
      <w:bookmarkStart w:id="857" w:name="_Caption3570"/>
      <w:bookmarkStart w:id="858" w:name="_Caption4654"/>
      <w:bookmarkStart w:id="859" w:name="_Caption3138"/>
      <w:bookmarkStart w:id="860" w:name="_Caption9124"/>
      <w:bookmarkStart w:id="861" w:name="_Caption6253"/>
      <w:bookmarkStart w:id="862" w:name="_Caption6142"/>
      <w:bookmarkStart w:id="863" w:name="_Caption4501"/>
      <w:bookmarkStart w:id="864" w:name="_Caption1434"/>
      <w:bookmarkStart w:id="865" w:name="_Caption3292"/>
      <w:bookmarkStart w:id="866" w:name="_Caption2813"/>
      <w:bookmarkStart w:id="867" w:name="_Caption6583"/>
      <w:bookmarkStart w:id="868" w:name="_Caption7460"/>
      <w:bookmarkStart w:id="869" w:name="_Caption2223"/>
      <w:bookmarkStart w:id="870" w:name="_Caption7557"/>
      <w:bookmarkStart w:id="871" w:name="_Caption7095"/>
      <w:bookmarkStart w:id="872" w:name="_Caption1784"/>
      <w:bookmarkStart w:id="873" w:name="_Caption0012"/>
      <w:bookmarkStart w:id="874" w:name="_Caption6633"/>
      <w:bookmarkStart w:id="875" w:name="_Caption8421"/>
      <w:bookmarkStart w:id="876" w:name="_Caption9463"/>
      <w:bookmarkStart w:id="877" w:name="_Caption4511"/>
      <w:bookmarkStart w:id="878" w:name="_Caption0709"/>
      <w:bookmarkStart w:id="879" w:name="_Caption7673"/>
      <w:bookmarkStart w:id="880" w:name="_Caption0929"/>
      <w:bookmarkStart w:id="881" w:name="_Caption5749"/>
      <w:bookmarkStart w:id="882" w:name="_Caption0787"/>
      <w:bookmarkStart w:id="883" w:name="_Caption0148"/>
      <w:bookmarkStart w:id="884" w:name="_Caption6400"/>
      <w:bookmarkStart w:id="885" w:name="_Caption0211"/>
      <w:bookmarkStart w:id="886" w:name="_Caption4687"/>
      <w:bookmarkStart w:id="887" w:name="_Caption0447"/>
      <w:bookmarkStart w:id="888" w:name="_Caption8633"/>
      <w:bookmarkStart w:id="889" w:name="_Caption9764"/>
      <w:bookmarkStart w:id="890" w:name="_Caption4026"/>
      <w:bookmarkStart w:id="891" w:name="_Caption2124"/>
      <w:bookmarkStart w:id="892" w:name="_Caption5002"/>
      <w:bookmarkStart w:id="893" w:name="_Caption0856"/>
      <w:bookmarkStart w:id="894" w:name="_Caption2681"/>
      <w:bookmarkStart w:id="895" w:name="_Caption2177"/>
      <w:bookmarkStart w:id="896" w:name="_Caption6331"/>
      <w:bookmarkStart w:id="897" w:name="_Caption1774"/>
      <w:bookmarkStart w:id="898" w:name="_Caption7121"/>
      <w:bookmarkStart w:id="899" w:name="_Caption6698"/>
      <w:bookmarkStart w:id="900" w:name="_Caption4055"/>
      <w:bookmarkStart w:id="901" w:name="_Caption2770"/>
      <w:bookmarkStart w:id="902" w:name="_Caption6130"/>
      <w:bookmarkStart w:id="903" w:name="_Caption7194"/>
      <w:bookmarkStart w:id="904" w:name="_Caption2815"/>
      <w:bookmarkStart w:id="905" w:name="_Caption1034"/>
      <w:bookmarkStart w:id="906" w:name="_Caption6687"/>
      <w:bookmarkStart w:id="907" w:name="_Caption7203"/>
      <w:bookmarkStart w:id="908" w:name="_Caption0974"/>
      <w:bookmarkStart w:id="909" w:name="_Caption3547"/>
      <w:bookmarkStart w:id="910" w:name="_Caption1623"/>
      <w:bookmarkStart w:id="911" w:name="_Toc32321795"/>
      <w:bookmarkStart w:id="912" w:name="_Toc44598488"/>
      <w:bookmarkStart w:id="913" w:name="_Toc45654119"/>
      <w:r w:rsidR="00272AF3">
        <w:rPr>
          <w:noProof/>
        </w:rPr>
        <w:t>2</w:t>
      </w:r>
      <w:r w:rsidR="00272AF3" w:rsidRPr="00C46A78">
        <w:rPr>
          <w:noProof/>
        </w:rPr>
        <w:t>.</w:t>
      </w:r>
      <w:r w:rsidR="00272AF3">
        <w:rPr>
          <w:noProof/>
        </w:rPr>
        <w:t>4</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r w:rsidRPr="00C46A78">
        <w:fldChar w:fldCharType="end"/>
      </w:r>
      <w:r w:rsidRPr="00C46A78">
        <w:tab/>
        <w:t>Population projections</w:t>
      </w:r>
      <w:bookmarkEnd w:id="911"/>
      <w:bookmarkEnd w:id="912"/>
      <w:bookmarkEnd w:id="913"/>
    </w:p>
    <w:p w:rsidR="007C6A5F" w:rsidRDefault="007C6A5F" w:rsidP="007C6A5F">
      <w:pPr>
        <w:pStyle w:val="Subtitlebox"/>
      </w:pPr>
      <w:r w:rsidRPr="00C46A78">
        <w:rPr>
          <w:noProof/>
        </w:rPr>
        <w:drawing>
          <wp:inline distT="0" distB="0" distL="0" distR="0" wp14:anchorId="17D56F6D" wp14:editId="72205600">
            <wp:extent cx="5040000" cy="2463650"/>
            <wp:effectExtent l="57150" t="57150" r="65405" b="51435"/>
            <wp:docPr id="42" name="Picture 42" descr="Chart 2.4 - Population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001"/>
                    <a:stretch/>
                  </pic:blipFill>
                  <pic:spPr bwMode="auto">
                    <a:xfrm>
                      <a:off x="0" y="0"/>
                      <a:ext cx="5040000" cy="2463650"/>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rsidR="007C6A5F" w:rsidRDefault="007C6A5F" w:rsidP="007C6A5F">
      <w:pPr>
        <w:pStyle w:val="Source"/>
      </w:pPr>
      <w:r>
        <w:rPr>
          <w:i/>
        </w:rPr>
        <w:t>Data source</w:t>
      </w:r>
      <w:r w:rsidRPr="00A67576">
        <w:rPr>
          <w:i/>
        </w:rPr>
        <w:t>:</w:t>
      </w:r>
      <w:r>
        <w:t xml:space="preserve"> ABS, Population Projections, Australia, 2017</w:t>
      </w:r>
      <w:r>
        <w:noBreakHyphen/>
        <w:t>2066, Catalogue No. 3222.0, Series B.</w:t>
      </w:r>
    </w:p>
    <w:p w:rsidR="007C6A5F" w:rsidRDefault="007C6A5F" w:rsidP="007C6A5F">
      <w:pPr>
        <w:pStyle w:val="BodyText"/>
        <w:rPr>
          <w:lang w:eastAsia="en-US" w:bidi="fa-IR"/>
        </w:rPr>
      </w:pPr>
      <w:r>
        <w:rPr>
          <w:lang w:eastAsia="en-US" w:bidi="fa-IR"/>
        </w:rPr>
        <w:t xml:space="preserve">As the proportion of the population with accessibility needs tends to increase with age </w:t>
      </w:r>
      <w:r w:rsidRPr="00C46A78">
        <w:rPr>
          <w:lang w:eastAsia="en-US" w:bidi="fa-IR"/>
        </w:rPr>
        <w:t>(chart </w:t>
      </w:r>
      <w:r w:rsidRPr="00C46A78">
        <w:rPr>
          <w:lang w:eastAsia="en-US" w:bidi="fa-IR"/>
        </w:rPr>
        <w:fldChar w:fldCharType="begin"/>
      </w:r>
      <w:r w:rsidRPr="00C46A78">
        <w:rPr>
          <w:lang w:eastAsia="en-US" w:bidi="fa-IR"/>
        </w:rPr>
        <w:instrText xml:space="preserve"> REF _Caption0940 </w:instrText>
      </w:r>
      <w:r>
        <w:rPr>
          <w:lang w:eastAsia="en-US" w:bidi="fa-IR"/>
        </w:rPr>
        <w:instrText xml:space="preserve"> \* MERGEFORMAT </w:instrText>
      </w:r>
      <w:r w:rsidRPr="00C46A78">
        <w:rPr>
          <w:lang w:eastAsia="en-US" w:bidi="fa-IR"/>
        </w:rPr>
        <w:fldChar w:fldCharType="separate"/>
      </w:r>
      <w:r>
        <w:rPr>
          <w:noProof/>
        </w:rPr>
        <w:t>2</w:t>
      </w:r>
      <w:r w:rsidRPr="00C46A78">
        <w:rPr>
          <w:noProof/>
        </w:rPr>
        <w:t>.</w:t>
      </w:r>
      <w:r>
        <w:rPr>
          <w:noProof/>
        </w:rPr>
        <w:t>5</w:t>
      </w:r>
      <w:r w:rsidRPr="00C46A78">
        <w:rPr>
          <w:lang w:eastAsia="en-US" w:bidi="fa-IR"/>
        </w:rPr>
        <w:fldChar w:fldCharType="end"/>
      </w:r>
      <w:r w:rsidRPr="00C46A78">
        <w:rPr>
          <w:lang w:eastAsia="en-US" w:bidi="fa-IR"/>
        </w:rPr>
        <w:t>), the ageing population will mean that the proportion of people with</w:t>
      </w:r>
      <w:r>
        <w:rPr>
          <w:lang w:eastAsia="en-US" w:bidi="fa-IR"/>
        </w:rPr>
        <w:t xml:space="preserve"> accessibility needs (including those with a mobility limitation and those using wheelchairs) will increase at a rate that exceeds population growth.</w:t>
      </w:r>
    </w:p>
    <w:p w:rsidR="007C6A5F" w:rsidRDefault="007C6A5F" w:rsidP="007C6A5F">
      <w:pPr>
        <w:pStyle w:val="Caption"/>
      </w:pPr>
      <w:r w:rsidRPr="00C46A78">
        <w:fldChar w:fldCharType="begin"/>
      </w:r>
      <w:r w:rsidRPr="00C46A78">
        <w:instrText xml:space="preserve"> IF 1 = 1 "</w:instrText>
      </w:r>
      <w:r w:rsidRPr="00C46A78">
        <w:fldChar w:fldCharType="begin"/>
      </w:r>
      <w:r w:rsidRPr="00C46A78">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C46A78">
        <w:instrText xml:space="preserve"> = 0 "</w:instrText>
      </w:r>
      <w:r w:rsidRPr="00C46A78">
        <w:fldChar w:fldCharType="begin"/>
      </w:r>
      <w:r w:rsidRPr="00C46A78">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C46A78">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C46A78">
        <w:instrText xml:space="preserve">." </w:instrText>
      </w:r>
      <w:r w:rsidRPr="00C46A78">
        <w:fldChar w:fldCharType="separate"/>
      </w:r>
      <w:r>
        <w:rPr>
          <w:noProof/>
        </w:rPr>
        <w:instrText>2</w:instrText>
      </w:r>
      <w:r w:rsidRPr="00C46A78">
        <w:rPr>
          <w:noProof/>
        </w:rPr>
        <w:instrText>.</w:instrText>
      </w:r>
      <w:r w:rsidRPr="00C46A78">
        <w:fldChar w:fldCharType="end"/>
      </w:r>
      <w:r w:rsidRPr="00C46A78">
        <w:instrText>" "</w:instrText>
      </w:r>
      <w:r>
        <w:rPr>
          <w:noProof/>
        </w:rPr>
        <w:fldChar w:fldCharType="begin"/>
      </w:r>
      <w:r>
        <w:rPr>
          <w:noProof/>
        </w:rPr>
        <w:instrText xml:space="preserve"> STYLEREF "Heading 6" \l \n </w:instrText>
      </w:r>
      <w:r>
        <w:rPr>
          <w:noProof/>
        </w:rPr>
        <w:fldChar w:fldCharType="separate"/>
      </w:r>
      <w:r w:rsidRPr="00C46A78">
        <w:rPr>
          <w:noProof/>
        </w:rPr>
        <w:instrText>A</w:instrText>
      </w:r>
      <w:r>
        <w:rPr>
          <w:noProof/>
        </w:rPr>
        <w:fldChar w:fldCharType="end"/>
      </w:r>
      <w:r w:rsidRPr="00C46A78">
        <w:instrText xml:space="preserve">." </w:instrText>
      </w:r>
      <w:r w:rsidRPr="00C46A78">
        <w:fldChar w:fldCharType="separate"/>
      </w:r>
      <w:r w:rsidR="00272AF3">
        <w:rPr>
          <w:noProof/>
        </w:rPr>
        <w:instrText>2</w:instrText>
      </w:r>
      <w:r w:rsidR="00272AF3" w:rsidRPr="00C46A78">
        <w:rPr>
          <w:noProof/>
        </w:rPr>
        <w:instrText>.</w:instrText>
      </w:r>
      <w:r w:rsidRPr="00C46A78">
        <w:fldChar w:fldCharType="end"/>
      </w:r>
      <w:r w:rsidRPr="00C46A78">
        <w:fldChar w:fldCharType="begin"/>
      </w:r>
      <w:r w:rsidRPr="00C46A78">
        <w:instrText xml:space="preserve"> SEQ Item \* ARABIC \s </w:instrText>
      </w:r>
      <w:r w:rsidRPr="00C46A78">
        <w:fldChar w:fldCharType="begin"/>
      </w:r>
      <w:r w:rsidRPr="00C46A78">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C46A78">
        <w:instrText xml:space="preserve"> = 0 "</w:instrText>
      </w:r>
      <w:r w:rsidRPr="00C46A78">
        <w:fldChar w:fldCharType="begin"/>
      </w:r>
      <w:r w:rsidRPr="00C46A78">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C46A78">
        <w:instrText xml:space="preserve"> = 0 "" "1" </w:instrText>
      </w:r>
      <w:r w:rsidRPr="00C46A78">
        <w:fldChar w:fldCharType="separate"/>
      </w:r>
      <w:r w:rsidR="00272AF3" w:rsidRPr="00C46A78">
        <w:rPr>
          <w:noProof/>
        </w:rPr>
        <w:instrText>1</w:instrText>
      </w:r>
      <w:r w:rsidRPr="00C46A78">
        <w:fldChar w:fldCharType="end"/>
      </w:r>
      <w:r w:rsidRPr="00C46A78">
        <w:instrText xml:space="preserve">" "6" </w:instrText>
      </w:r>
      <w:r w:rsidRPr="00C46A78">
        <w:fldChar w:fldCharType="separate"/>
      </w:r>
      <w:r w:rsidR="00272AF3" w:rsidRPr="00C46A78">
        <w:rPr>
          <w:noProof/>
        </w:rPr>
        <w:instrText>1</w:instrText>
      </w:r>
      <w:r w:rsidRPr="00C46A78">
        <w:fldChar w:fldCharType="end"/>
      </w:r>
      <w:r w:rsidRPr="00C46A78">
        <w:instrText xml:space="preserve"> </w:instrText>
      </w:r>
      <w:r w:rsidRPr="00C46A78">
        <w:fldChar w:fldCharType="separate"/>
      </w:r>
      <w:r>
        <w:rPr>
          <w:noProof/>
        </w:rPr>
        <w:instrText>5</w:instrText>
      </w:r>
      <w:r w:rsidRPr="00C46A78">
        <w:fldChar w:fldCharType="end"/>
      </w:r>
      <w:r w:rsidRPr="00C46A78">
        <w:instrText xml:space="preserve">" "" </w:instrText>
      </w:r>
      <w:r w:rsidRPr="00C46A78">
        <w:fldChar w:fldCharType="separate"/>
      </w:r>
      <w:bookmarkStart w:id="914" w:name="_Caption4494"/>
      <w:bookmarkStart w:id="915" w:name="_Caption2749"/>
      <w:bookmarkStart w:id="916" w:name="_Caption3858"/>
      <w:bookmarkStart w:id="917" w:name="_Caption6785"/>
      <w:bookmarkStart w:id="918" w:name="_Caption3381"/>
      <w:bookmarkStart w:id="919" w:name="_Caption7914"/>
      <w:bookmarkStart w:id="920" w:name="_Caption4547"/>
      <w:bookmarkStart w:id="921" w:name="_Caption7701"/>
      <w:bookmarkStart w:id="922" w:name="_Caption5276"/>
      <w:bookmarkStart w:id="923" w:name="_Caption7566"/>
      <w:bookmarkStart w:id="924" w:name="_Caption6428"/>
      <w:bookmarkStart w:id="925" w:name="_Caption4463"/>
      <w:bookmarkStart w:id="926" w:name="_Caption6805"/>
      <w:bookmarkStart w:id="927" w:name="_Caption5657"/>
      <w:bookmarkStart w:id="928" w:name="_Caption5212"/>
      <w:bookmarkStart w:id="929" w:name="_Caption1718"/>
      <w:bookmarkStart w:id="930" w:name="_Caption8792"/>
      <w:bookmarkStart w:id="931" w:name="_Caption4669"/>
      <w:bookmarkStart w:id="932" w:name="_Caption6762"/>
      <w:bookmarkStart w:id="933" w:name="_Caption3132"/>
      <w:bookmarkStart w:id="934" w:name="_Caption0987"/>
      <w:bookmarkStart w:id="935" w:name="_Caption6607"/>
      <w:bookmarkStart w:id="936" w:name="_Caption4190"/>
      <w:bookmarkStart w:id="937" w:name="_Caption9768"/>
      <w:bookmarkStart w:id="938" w:name="_Caption4928"/>
      <w:bookmarkStart w:id="939" w:name="_Caption9095"/>
      <w:bookmarkStart w:id="940" w:name="_Caption1603"/>
      <w:bookmarkStart w:id="941" w:name="_Caption0297"/>
      <w:bookmarkStart w:id="942" w:name="_Caption6450"/>
      <w:bookmarkStart w:id="943" w:name="_Caption0969"/>
      <w:bookmarkStart w:id="944" w:name="_Caption5606"/>
      <w:bookmarkStart w:id="945" w:name="_Caption0848"/>
      <w:bookmarkStart w:id="946" w:name="_Caption3077"/>
      <w:bookmarkStart w:id="947" w:name="_Caption3613"/>
      <w:bookmarkStart w:id="948" w:name="_Caption7366"/>
      <w:bookmarkStart w:id="949" w:name="_Caption1022"/>
      <w:bookmarkStart w:id="950" w:name="_Caption7171"/>
      <w:bookmarkStart w:id="951" w:name="_Caption1719"/>
      <w:bookmarkStart w:id="952" w:name="_Caption9335"/>
      <w:bookmarkStart w:id="953" w:name="_Caption6813"/>
      <w:bookmarkStart w:id="954" w:name="_Caption2161"/>
      <w:bookmarkStart w:id="955" w:name="_Caption5164"/>
      <w:bookmarkStart w:id="956" w:name="_Caption1673"/>
      <w:bookmarkStart w:id="957" w:name="_Caption0940"/>
      <w:bookmarkStart w:id="958" w:name="_Caption1876"/>
      <w:bookmarkStart w:id="959" w:name="_Caption7413"/>
      <w:bookmarkStart w:id="960" w:name="_Caption6693"/>
      <w:bookmarkStart w:id="961" w:name="_Caption2529"/>
      <w:bookmarkStart w:id="962" w:name="_Caption6778"/>
      <w:bookmarkStart w:id="963" w:name="_Caption7669"/>
      <w:bookmarkStart w:id="964" w:name="_Caption4104"/>
      <w:bookmarkStart w:id="965" w:name="_Caption8179"/>
      <w:bookmarkStart w:id="966" w:name="_Caption2968"/>
      <w:bookmarkStart w:id="967" w:name="_Caption5769"/>
      <w:bookmarkStart w:id="968" w:name="_Caption0064"/>
      <w:bookmarkStart w:id="969" w:name="_Caption3927"/>
      <w:bookmarkStart w:id="970" w:name="_Caption6905"/>
      <w:bookmarkStart w:id="971" w:name="_Caption3622"/>
      <w:bookmarkStart w:id="972" w:name="_Caption0609"/>
      <w:bookmarkStart w:id="973" w:name="_Caption7636"/>
      <w:bookmarkStart w:id="974" w:name="_Caption8129"/>
      <w:bookmarkStart w:id="975" w:name="_Caption6220"/>
      <w:bookmarkStart w:id="976" w:name="_Caption2855"/>
      <w:bookmarkStart w:id="977" w:name="_Caption6500"/>
      <w:bookmarkStart w:id="978" w:name="_Caption6050"/>
      <w:bookmarkStart w:id="979" w:name="_Caption0114"/>
      <w:bookmarkStart w:id="980" w:name="_Caption8171"/>
      <w:bookmarkStart w:id="981" w:name="_Caption7865"/>
      <w:bookmarkStart w:id="982" w:name="_Caption9358"/>
      <w:bookmarkStart w:id="983" w:name="_Caption0483"/>
      <w:bookmarkStart w:id="984" w:name="_Caption4905"/>
      <w:bookmarkStart w:id="985" w:name="_Caption7849"/>
      <w:bookmarkStart w:id="986" w:name="_Caption7520"/>
      <w:bookmarkStart w:id="987" w:name="_Caption3758"/>
      <w:bookmarkStart w:id="988" w:name="_Caption3893"/>
      <w:bookmarkStart w:id="989" w:name="_Caption2114"/>
      <w:bookmarkStart w:id="990" w:name="_Caption0645"/>
      <w:bookmarkStart w:id="991" w:name="_Caption5075"/>
      <w:bookmarkStart w:id="992" w:name="_Caption5083"/>
      <w:bookmarkStart w:id="993" w:name="_Caption7118"/>
      <w:bookmarkStart w:id="994" w:name="_Caption9930"/>
      <w:bookmarkStart w:id="995" w:name="_Caption5035"/>
      <w:bookmarkStart w:id="996" w:name="_Caption8386"/>
      <w:bookmarkStart w:id="997" w:name="_Caption1601"/>
      <w:bookmarkStart w:id="998" w:name="_Caption5839"/>
      <w:bookmarkStart w:id="999" w:name="_Caption4668"/>
      <w:bookmarkStart w:id="1000" w:name="_Caption7606"/>
      <w:bookmarkStart w:id="1001" w:name="_Caption0501"/>
      <w:bookmarkStart w:id="1002" w:name="_Caption1427"/>
      <w:bookmarkStart w:id="1003" w:name="_Caption8837"/>
      <w:bookmarkStart w:id="1004" w:name="_Caption5058"/>
      <w:bookmarkStart w:id="1005" w:name="_Caption4050"/>
      <w:bookmarkStart w:id="1006" w:name="_Caption9184"/>
      <w:bookmarkStart w:id="1007" w:name="_Caption2010"/>
      <w:bookmarkStart w:id="1008" w:name="_Caption7420"/>
      <w:bookmarkStart w:id="1009" w:name="_Caption1506"/>
      <w:bookmarkStart w:id="1010" w:name="_Caption1854"/>
      <w:bookmarkStart w:id="1011" w:name="_Toc32321796"/>
      <w:bookmarkStart w:id="1012" w:name="_Toc44598489"/>
      <w:bookmarkStart w:id="1013" w:name="_Toc45654120"/>
      <w:r w:rsidR="00272AF3">
        <w:rPr>
          <w:noProof/>
        </w:rPr>
        <w:t>2</w:t>
      </w:r>
      <w:r w:rsidR="00272AF3" w:rsidRPr="00C46A78">
        <w:rPr>
          <w:noProof/>
        </w:rPr>
        <w:t>.</w:t>
      </w:r>
      <w:r w:rsidR="00272AF3">
        <w:rPr>
          <w:noProof/>
        </w:rPr>
        <w:t>5</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r w:rsidRPr="00C46A78">
        <w:fldChar w:fldCharType="end"/>
      </w:r>
      <w:r w:rsidRPr="00C46A78">
        <w:tab/>
        <w:t>Mobility limitations and wheelchair users by age — share of population</w:t>
      </w:r>
      <w:bookmarkEnd w:id="1011"/>
      <w:bookmarkEnd w:id="1012"/>
      <w:bookmarkEnd w:id="1013"/>
    </w:p>
    <w:p w:rsidR="007C6A5F" w:rsidRDefault="007C6A5F" w:rsidP="007C6A5F">
      <w:pPr>
        <w:pStyle w:val="Subtitlebox"/>
      </w:pPr>
      <w:r w:rsidRPr="00C46A78">
        <w:rPr>
          <w:noProof/>
        </w:rPr>
        <w:drawing>
          <wp:inline distT="0" distB="0" distL="0" distR="0" wp14:anchorId="5D90410C" wp14:editId="021C5DBA">
            <wp:extent cx="5040000" cy="2370652"/>
            <wp:effectExtent l="57150" t="57150" r="65405" b="48895"/>
            <wp:docPr id="44" name="Picture 44" descr="Chart 2.5 - Mobility limitations and wheelchair users by age — share of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314" r="5971"/>
                    <a:stretch/>
                  </pic:blipFill>
                  <pic:spPr bwMode="auto">
                    <a:xfrm>
                      <a:off x="0" y="0"/>
                      <a:ext cx="5040000" cy="2370652"/>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rsidR="007C6A5F" w:rsidRDefault="007C6A5F" w:rsidP="007C6A5F">
      <w:pPr>
        <w:pStyle w:val="Source"/>
      </w:pPr>
      <w:r>
        <w:rPr>
          <w:i/>
        </w:rPr>
        <w:t>Data source</w:t>
      </w:r>
      <w:r w:rsidRPr="00A67576">
        <w:rPr>
          <w:i/>
        </w:rPr>
        <w:t>:</w:t>
      </w:r>
      <w:r>
        <w:t xml:space="preserve"> ABS, Survey of Disabilities, Ageing and Carers, 2018, TableBuilder; CIE.</w:t>
      </w:r>
    </w:p>
    <w:p w:rsidR="007C6A5F" w:rsidRDefault="007C6A5F" w:rsidP="007C6A5F">
      <w:pPr>
        <w:pStyle w:val="BodyText"/>
        <w:rPr>
          <w:lang w:eastAsia="en-US" w:bidi="fa-IR"/>
        </w:rPr>
      </w:pPr>
      <w:r>
        <w:rPr>
          <w:lang w:eastAsia="en-US" w:bidi="fa-IR"/>
        </w:rPr>
        <w:t xml:space="preserve">We project that the number of people with a mobility limitation will increase from around </w:t>
      </w:r>
      <w:r w:rsidRPr="00D8047B">
        <w:rPr>
          <w:sz w:val="22"/>
          <w:szCs w:val="22"/>
          <w:lang w:eastAsia="en-US" w:bidi="fa-IR"/>
        </w:rPr>
        <w:t>3</w:t>
      </w:r>
      <w:r>
        <w:rPr>
          <w:sz w:val="22"/>
          <w:szCs w:val="22"/>
          <w:lang w:eastAsia="en-US" w:bidi="fa-IR"/>
        </w:rPr>
        <w:t> million to around 5.75 million over the next 40 years (chart </w:t>
      </w:r>
      <w:r>
        <w:rPr>
          <w:sz w:val="22"/>
          <w:szCs w:val="22"/>
          <w:lang w:eastAsia="en-US" w:bidi="fa-IR"/>
        </w:rPr>
        <w:fldChar w:fldCharType="begin"/>
      </w:r>
      <w:r>
        <w:rPr>
          <w:sz w:val="22"/>
          <w:szCs w:val="22"/>
          <w:lang w:eastAsia="en-US" w:bidi="fa-IR"/>
        </w:rPr>
        <w:instrText xml:space="preserve"> REF _Caption0684 </w:instrText>
      </w:r>
      <w:r>
        <w:rPr>
          <w:sz w:val="22"/>
          <w:szCs w:val="22"/>
          <w:lang w:eastAsia="en-US" w:bidi="fa-IR"/>
        </w:rPr>
        <w:fldChar w:fldCharType="separate"/>
      </w:r>
      <w:r>
        <w:rPr>
          <w:noProof/>
        </w:rPr>
        <w:t>2</w:t>
      </w:r>
      <w:r w:rsidRPr="00C46A78">
        <w:rPr>
          <w:noProof/>
        </w:rPr>
        <w:t>.</w:t>
      </w:r>
      <w:r>
        <w:rPr>
          <w:noProof/>
        </w:rPr>
        <w:t>6</w:t>
      </w:r>
      <w:r>
        <w:rPr>
          <w:sz w:val="22"/>
          <w:szCs w:val="22"/>
          <w:lang w:eastAsia="en-US" w:bidi="fa-IR"/>
        </w:rPr>
        <w:fldChar w:fldCharType="end"/>
      </w:r>
      <w:r>
        <w:rPr>
          <w:sz w:val="22"/>
          <w:szCs w:val="22"/>
          <w:lang w:eastAsia="en-US" w:bidi="fa-IR"/>
        </w:rPr>
        <w:t xml:space="preserve">). This assumes that </w:t>
      </w:r>
      <w:r>
        <w:rPr>
          <w:lang w:eastAsia="en-US" w:bidi="fa-IR"/>
        </w:rPr>
        <w:t>the proportion of the population with a mobility limitation within each age bracket remains constant over time. We then apply these proportions to the population projections.</w:t>
      </w:r>
    </w:p>
    <w:p w:rsidR="007C6A5F" w:rsidRDefault="007C6A5F" w:rsidP="007C6A5F">
      <w:pPr>
        <w:pStyle w:val="Caption"/>
      </w:pPr>
      <w:r w:rsidRPr="00C46A78">
        <w:lastRenderedPageBreak/>
        <w:fldChar w:fldCharType="begin"/>
      </w:r>
      <w:r w:rsidRPr="00C46A78">
        <w:instrText xml:space="preserve"> IF 1 = 1 "</w:instrText>
      </w:r>
      <w:r w:rsidRPr="00C46A78">
        <w:fldChar w:fldCharType="begin"/>
      </w:r>
      <w:r w:rsidRPr="00C46A78">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C46A78">
        <w:instrText xml:space="preserve"> = 0 "</w:instrText>
      </w:r>
      <w:r w:rsidRPr="00C46A78">
        <w:fldChar w:fldCharType="begin"/>
      </w:r>
      <w:r w:rsidRPr="00C46A78">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C46A78">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C46A78">
        <w:instrText xml:space="preserve">." </w:instrText>
      </w:r>
      <w:r w:rsidRPr="00C46A78">
        <w:fldChar w:fldCharType="separate"/>
      </w:r>
      <w:r>
        <w:rPr>
          <w:noProof/>
        </w:rPr>
        <w:instrText>2</w:instrText>
      </w:r>
      <w:r w:rsidRPr="00C46A78">
        <w:rPr>
          <w:noProof/>
        </w:rPr>
        <w:instrText>.</w:instrText>
      </w:r>
      <w:r w:rsidRPr="00C46A78">
        <w:fldChar w:fldCharType="end"/>
      </w:r>
      <w:r w:rsidRPr="00C46A78">
        <w:instrText>" "</w:instrText>
      </w:r>
      <w:r>
        <w:rPr>
          <w:noProof/>
        </w:rPr>
        <w:fldChar w:fldCharType="begin"/>
      </w:r>
      <w:r>
        <w:rPr>
          <w:noProof/>
        </w:rPr>
        <w:instrText xml:space="preserve"> STYLEREF "Heading 6" \l \n </w:instrText>
      </w:r>
      <w:r>
        <w:rPr>
          <w:noProof/>
        </w:rPr>
        <w:fldChar w:fldCharType="separate"/>
      </w:r>
      <w:r w:rsidRPr="00C46A78">
        <w:rPr>
          <w:noProof/>
        </w:rPr>
        <w:instrText>A</w:instrText>
      </w:r>
      <w:r>
        <w:rPr>
          <w:noProof/>
        </w:rPr>
        <w:fldChar w:fldCharType="end"/>
      </w:r>
      <w:r w:rsidRPr="00C46A78">
        <w:instrText xml:space="preserve">." </w:instrText>
      </w:r>
      <w:r w:rsidRPr="00C46A78">
        <w:fldChar w:fldCharType="separate"/>
      </w:r>
      <w:r w:rsidR="00272AF3">
        <w:rPr>
          <w:noProof/>
        </w:rPr>
        <w:instrText>2</w:instrText>
      </w:r>
      <w:r w:rsidR="00272AF3" w:rsidRPr="00C46A78">
        <w:rPr>
          <w:noProof/>
        </w:rPr>
        <w:instrText>.</w:instrText>
      </w:r>
      <w:r w:rsidRPr="00C46A78">
        <w:fldChar w:fldCharType="end"/>
      </w:r>
      <w:r w:rsidRPr="00C46A78">
        <w:fldChar w:fldCharType="begin"/>
      </w:r>
      <w:r w:rsidRPr="00C46A78">
        <w:instrText xml:space="preserve"> SEQ Item \* ARABIC \s </w:instrText>
      </w:r>
      <w:r w:rsidRPr="00C46A78">
        <w:fldChar w:fldCharType="begin"/>
      </w:r>
      <w:r w:rsidRPr="00C46A78">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C46A78">
        <w:instrText xml:space="preserve"> = 0 "</w:instrText>
      </w:r>
      <w:r w:rsidRPr="00C46A78">
        <w:fldChar w:fldCharType="begin"/>
      </w:r>
      <w:r w:rsidRPr="00C46A78">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C46A78">
        <w:instrText xml:space="preserve"> = 0 "" "1" </w:instrText>
      </w:r>
      <w:r w:rsidRPr="00C46A78">
        <w:fldChar w:fldCharType="separate"/>
      </w:r>
      <w:r w:rsidR="00272AF3" w:rsidRPr="00C46A78">
        <w:rPr>
          <w:noProof/>
        </w:rPr>
        <w:instrText>1</w:instrText>
      </w:r>
      <w:r w:rsidRPr="00C46A78">
        <w:fldChar w:fldCharType="end"/>
      </w:r>
      <w:r w:rsidRPr="00C46A78">
        <w:instrText xml:space="preserve">" "6" </w:instrText>
      </w:r>
      <w:r w:rsidRPr="00C46A78">
        <w:fldChar w:fldCharType="separate"/>
      </w:r>
      <w:r w:rsidR="00272AF3" w:rsidRPr="00C46A78">
        <w:rPr>
          <w:noProof/>
        </w:rPr>
        <w:instrText>1</w:instrText>
      </w:r>
      <w:r w:rsidRPr="00C46A78">
        <w:fldChar w:fldCharType="end"/>
      </w:r>
      <w:r w:rsidRPr="00C46A78">
        <w:instrText xml:space="preserve"> </w:instrText>
      </w:r>
      <w:r w:rsidRPr="00C46A78">
        <w:fldChar w:fldCharType="separate"/>
      </w:r>
      <w:r>
        <w:rPr>
          <w:noProof/>
        </w:rPr>
        <w:instrText>6</w:instrText>
      </w:r>
      <w:r w:rsidRPr="00C46A78">
        <w:fldChar w:fldCharType="end"/>
      </w:r>
      <w:r w:rsidRPr="00C46A78">
        <w:instrText xml:space="preserve">" "" </w:instrText>
      </w:r>
      <w:r w:rsidRPr="00C46A78">
        <w:fldChar w:fldCharType="separate"/>
      </w:r>
      <w:bookmarkStart w:id="1014" w:name="_Caption0502"/>
      <w:bookmarkStart w:id="1015" w:name="_Caption9143"/>
      <w:bookmarkStart w:id="1016" w:name="_Caption7169"/>
      <w:bookmarkStart w:id="1017" w:name="_Caption5238"/>
      <w:bookmarkStart w:id="1018" w:name="_Caption7440"/>
      <w:bookmarkStart w:id="1019" w:name="_Caption4282"/>
      <w:bookmarkStart w:id="1020" w:name="_Caption2197"/>
      <w:bookmarkStart w:id="1021" w:name="_Caption3492"/>
      <w:bookmarkStart w:id="1022" w:name="_Caption1965"/>
      <w:bookmarkStart w:id="1023" w:name="_Caption1692"/>
      <w:bookmarkStart w:id="1024" w:name="_Caption9312"/>
      <w:bookmarkStart w:id="1025" w:name="_Caption4595"/>
      <w:bookmarkStart w:id="1026" w:name="_Caption8447"/>
      <w:bookmarkStart w:id="1027" w:name="_Caption6231"/>
      <w:bookmarkStart w:id="1028" w:name="_Caption6453"/>
      <w:bookmarkStart w:id="1029" w:name="_Caption4094"/>
      <w:bookmarkStart w:id="1030" w:name="_Caption1356"/>
      <w:bookmarkStart w:id="1031" w:name="_Caption7192"/>
      <w:bookmarkStart w:id="1032" w:name="_Caption3260"/>
      <w:bookmarkStart w:id="1033" w:name="_Caption5242"/>
      <w:bookmarkStart w:id="1034" w:name="_Caption1561"/>
      <w:bookmarkStart w:id="1035" w:name="_Caption7476"/>
      <w:bookmarkStart w:id="1036" w:name="_Caption4459"/>
      <w:bookmarkStart w:id="1037" w:name="_Caption4320"/>
      <w:bookmarkStart w:id="1038" w:name="_Caption1790"/>
      <w:bookmarkStart w:id="1039" w:name="_Caption2086"/>
      <w:bookmarkStart w:id="1040" w:name="_Caption5662"/>
      <w:bookmarkStart w:id="1041" w:name="_Caption4515"/>
      <w:bookmarkStart w:id="1042" w:name="_Caption9201"/>
      <w:bookmarkStart w:id="1043" w:name="_Caption1423"/>
      <w:bookmarkStart w:id="1044" w:name="_Caption2295"/>
      <w:bookmarkStart w:id="1045" w:name="_Caption9246"/>
      <w:bookmarkStart w:id="1046" w:name="_Caption8706"/>
      <w:bookmarkStart w:id="1047" w:name="_Caption8165"/>
      <w:bookmarkStart w:id="1048" w:name="_Caption5683"/>
      <w:bookmarkStart w:id="1049" w:name="_Caption9445"/>
      <w:bookmarkStart w:id="1050" w:name="_Caption0003"/>
      <w:bookmarkStart w:id="1051" w:name="_Caption0050"/>
      <w:bookmarkStart w:id="1052" w:name="_Caption0643"/>
      <w:bookmarkStart w:id="1053" w:name="_Caption9484"/>
      <w:bookmarkStart w:id="1054" w:name="_Caption8596"/>
      <w:bookmarkStart w:id="1055" w:name="_Caption3389"/>
      <w:bookmarkStart w:id="1056" w:name="_Caption9898"/>
      <w:bookmarkStart w:id="1057" w:name="_Caption4141"/>
      <w:bookmarkStart w:id="1058" w:name="_Caption2734"/>
      <w:bookmarkStart w:id="1059" w:name="_Caption0684"/>
      <w:bookmarkStart w:id="1060" w:name="_Caption8255"/>
      <w:bookmarkStart w:id="1061" w:name="_Caption2915"/>
      <w:bookmarkStart w:id="1062" w:name="_Caption8905"/>
      <w:bookmarkStart w:id="1063" w:name="_Caption6784"/>
      <w:bookmarkStart w:id="1064" w:name="_Caption6093"/>
      <w:bookmarkStart w:id="1065" w:name="_Caption8205"/>
      <w:bookmarkStart w:id="1066" w:name="_Caption7010"/>
      <w:bookmarkStart w:id="1067" w:name="_Caption7821"/>
      <w:bookmarkStart w:id="1068" w:name="_Caption4362"/>
      <w:bookmarkStart w:id="1069" w:name="_Caption2601"/>
      <w:bookmarkStart w:id="1070" w:name="_Caption7889"/>
      <w:bookmarkStart w:id="1071" w:name="_Caption7015"/>
      <w:bookmarkStart w:id="1072" w:name="_Caption4134"/>
      <w:bookmarkStart w:id="1073" w:name="_Caption9452"/>
      <w:bookmarkStart w:id="1074" w:name="_Caption2210"/>
      <w:bookmarkStart w:id="1075" w:name="_Caption3442"/>
      <w:bookmarkStart w:id="1076" w:name="_Caption6380"/>
      <w:bookmarkStart w:id="1077" w:name="_Caption0533"/>
      <w:bookmarkStart w:id="1078" w:name="_Caption8131"/>
      <w:bookmarkStart w:id="1079" w:name="_Caption5053"/>
      <w:bookmarkStart w:id="1080" w:name="_Caption0547"/>
      <w:bookmarkStart w:id="1081" w:name="_Caption7290"/>
      <w:bookmarkStart w:id="1082" w:name="_Caption1223"/>
      <w:bookmarkStart w:id="1083" w:name="_Caption6505"/>
      <w:bookmarkStart w:id="1084" w:name="_Caption5317"/>
      <w:bookmarkStart w:id="1085" w:name="_Caption7488"/>
      <w:bookmarkStart w:id="1086" w:name="_Caption7372"/>
      <w:bookmarkStart w:id="1087" w:name="_Caption3733"/>
      <w:bookmarkStart w:id="1088" w:name="_Caption0608"/>
      <w:bookmarkStart w:id="1089" w:name="_Caption5237"/>
      <w:bookmarkStart w:id="1090" w:name="_Caption0218"/>
      <w:bookmarkStart w:id="1091" w:name="_Caption9520"/>
      <w:bookmarkStart w:id="1092" w:name="_Caption4041"/>
      <w:bookmarkStart w:id="1093" w:name="_Caption4220"/>
      <w:bookmarkStart w:id="1094" w:name="_Caption1746"/>
      <w:bookmarkStart w:id="1095" w:name="_Caption4100"/>
      <w:bookmarkStart w:id="1096" w:name="_Caption2765"/>
      <w:bookmarkStart w:id="1097" w:name="_Caption3697"/>
      <w:bookmarkStart w:id="1098" w:name="_Caption2554"/>
      <w:bookmarkStart w:id="1099" w:name="_Caption3305"/>
      <w:bookmarkStart w:id="1100" w:name="_Caption8007"/>
      <w:bookmarkStart w:id="1101" w:name="_Caption3518"/>
      <w:bookmarkStart w:id="1102" w:name="_Caption6447"/>
      <w:bookmarkStart w:id="1103" w:name="_Caption8461"/>
      <w:bookmarkStart w:id="1104" w:name="_Caption4764"/>
      <w:bookmarkStart w:id="1105" w:name="_Caption0948"/>
      <w:bookmarkStart w:id="1106" w:name="_Caption9036"/>
      <w:bookmarkStart w:id="1107" w:name="_Caption2650"/>
      <w:bookmarkStart w:id="1108" w:name="_Caption6098"/>
      <w:bookmarkStart w:id="1109" w:name="_Caption9182"/>
      <w:bookmarkStart w:id="1110" w:name="_Caption9931"/>
      <w:bookmarkStart w:id="1111" w:name="_Toc32321797"/>
      <w:bookmarkStart w:id="1112" w:name="_Toc44598490"/>
      <w:bookmarkStart w:id="1113" w:name="_Toc45654121"/>
      <w:r w:rsidR="00272AF3">
        <w:rPr>
          <w:noProof/>
        </w:rPr>
        <w:t>2</w:t>
      </w:r>
      <w:r w:rsidR="00272AF3" w:rsidRPr="00C46A78">
        <w:rPr>
          <w:noProof/>
        </w:rPr>
        <w:t>.</w:t>
      </w:r>
      <w:r w:rsidR="00272AF3">
        <w:rPr>
          <w:noProof/>
        </w:rPr>
        <w:t>6</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r w:rsidRPr="00C46A78">
        <w:fldChar w:fldCharType="end"/>
      </w:r>
      <w:r w:rsidRPr="00C46A78">
        <w:tab/>
        <w:t>Number of people with a mobility limitation — projection</w:t>
      </w:r>
      <w:bookmarkEnd w:id="1111"/>
      <w:bookmarkEnd w:id="1112"/>
      <w:bookmarkEnd w:id="1113"/>
    </w:p>
    <w:p w:rsidR="007C6A5F" w:rsidRDefault="007C6A5F" w:rsidP="007C6A5F">
      <w:pPr>
        <w:pStyle w:val="Source"/>
        <w:rPr>
          <w:i/>
        </w:rPr>
      </w:pPr>
      <w:r w:rsidRPr="00C46A78">
        <w:rPr>
          <w:noProof/>
          <w:lang w:eastAsia="en-AU"/>
        </w:rPr>
        <w:drawing>
          <wp:inline distT="0" distB="0" distL="0" distR="0" wp14:anchorId="15445F6C" wp14:editId="7B0D6436">
            <wp:extent cx="5040000" cy="2544396"/>
            <wp:effectExtent l="57150" t="57150" r="65405" b="66040"/>
            <wp:docPr id="45" name="Picture 45" descr="Chart 2.6 - Number of people with a mobility limitation — 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704"/>
                    <a:stretch/>
                  </pic:blipFill>
                  <pic:spPr bwMode="auto">
                    <a:xfrm>
                      <a:off x="0" y="0"/>
                      <a:ext cx="5040000" cy="2544396"/>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rsidR="007C6A5F" w:rsidRDefault="007C6A5F" w:rsidP="007C6A5F">
      <w:pPr>
        <w:pStyle w:val="Source"/>
      </w:pPr>
      <w:r>
        <w:rPr>
          <w:i/>
        </w:rPr>
        <w:t>Data source</w:t>
      </w:r>
      <w:r w:rsidRPr="00A67576">
        <w:rPr>
          <w:i/>
        </w:rPr>
        <w:t>:</w:t>
      </w:r>
      <w:r>
        <w:t xml:space="preserve"> ABS, Population Projections, Australia, 2017</w:t>
      </w:r>
      <w:r>
        <w:noBreakHyphen/>
        <w:t>2066, Catalogue No. 3222.0, Series B; ABS, Survey of Disabilities, Ageing and Carers, 2018, TableBuilder, CIE.</w:t>
      </w:r>
    </w:p>
    <w:p w:rsidR="007C6A5F" w:rsidRDefault="007C6A5F" w:rsidP="007C6A5F">
      <w:pPr>
        <w:pStyle w:val="BodyText"/>
        <w:rPr>
          <w:lang w:eastAsia="en-US" w:bidi="fa-IR"/>
        </w:rPr>
      </w:pPr>
      <w:r>
        <w:rPr>
          <w:lang w:eastAsia="en-US" w:bidi="fa-IR"/>
        </w:rPr>
        <w:t>Using the same approach, we estimate that the number of wheelchair users will increase from around 185 000 to around 370 000 by 2060 (chart </w:t>
      </w:r>
      <w:r>
        <w:rPr>
          <w:lang w:eastAsia="en-US" w:bidi="fa-IR"/>
        </w:rPr>
        <w:fldChar w:fldCharType="begin"/>
      </w:r>
      <w:r>
        <w:rPr>
          <w:lang w:eastAsia="en-US" w:bidi="fa-IR"/>
        </w:rPr>
        <w:instrText xml:space="preserve"> REF _Caption4156 </w:instrText>
      </w:r>
      <w:r>
        <w:rPr>
          <w:lang w:eastAsia="en-US" w:bidi="fa-IR"/>
        </w:rPr>
        <w:fldChar w:fldCharType="separate"/>
      </w:r>
      <w:r>
        <w:rPr>
          <w:noProof/>
        </w:rPr>
        <w:t>2</w:t>
      </w:r>
      <w:r w:rsidRPr="00C46A78">
        <w:rPr>
          <w:noProof/>
        </w:rPr>
        <w:t>.</w:t>
      </w:r>
      <w:r>
        <w:rPr>
          <w:noProof/>
        </w:rPr>
        <w:t>7</w:t>
      </w:r>
      <w:r>
        <w:rPr>
          <w:lang w:eastAsia="en-US" w:bidi="fa-IR"/>
        </w:rPr>
        <w:fldChar w:fldCharType="end"/>
      </w:r>
      <w:r>
        <w:rPr>
          <w:lang w:eastAsia="en-US" w:bidi="fa-IR"/>
        </w:rPr>
        <w:t>).</w:t>
      </w:r>
    </w:p>
    <w:p w:rsidR="007C6A5F" w:rsidRDefault="007C6A5F" w:rsidP="007C6A5F">
      <w:pPr>
        <w:pStyle w:val="Caption"/>
      </w:pPr>
      <w:r w:rsidRPr="00C46A78">
        <w:fldChar w:fldCharType="begin"/>
      </w:r>
      <w:r w:rsidRPr="00C46A78">
        <w:instrText xml:space="preserve"> IF 1 = 1 "</w:instrText>
      </w:r>
      <w:r w:rsidRPr="00C46A78">
        <w:fldChar w:fldCharType="begin"/>
      </w:r>
      <w:r w:rsidRPr="00C46A78">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C46A78">
        <w:instrText xml:space="preserve"> = 0 "</w:instrText>
      </w:r>
      <w:r w:rsidRPr="00C46A78">
        <w:fldChar w:fldCharType="begin"/>
      </w:r>
      <w:r w:rsidRPr="00C46A78">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C46A78">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C46A78">
        <w:instrText xml:space="preserve">." </w:instrText>
      </w:r>
      <w:r w:rsidRPr="00C46A78">
        <w:fldChar w:fldCharType="separate"/>
      </w:r>
      <w:r>
        <w:rPr>
          <w:noProof/>
        </w:rPr>
        <w:instrText>2</w:instrText>
      </w:r>
      <w:r w:rsidRPr="00C46A78">
        <w:rPr>
          <w:noProof/>
        </w:rPr>
        <w:instrText>.</w:instrText>
      </w:r>
      <w:r w:rsidRPr="00C46A78">
        <w:fldChar w:fldCharType="end"/>
      </w:r>
      <w:r w:rsidRPr="00C46A78">
        <w:instrText>" "</w:instrText>
      </w:r>
      <w:r>
        <w:rPr>
          <w:noProof/>
        </w:rPr>
        <w:fldChar w:fldCharType="begin"/>
      </w:r>
      <w:r>
        <w:rPr>
          <w:noProof/>
        </w:rPr>
        <w:instrText xml:space="preserve"> STYLEREF "Heading 6" \l \n </w:instrText>
      </w:r>
      <w:r>
        <w:rPr>
          <w:noProof/>
        </w:rPr>
        <w:fldChar w:fldCharType="separate"/>
      </w:r>
      <w:r w:rsidRPr="00C46A78">
        <w:rPr>
          <w:noProof/>
        </w:rPr>
        <w:instrText>A</w:instrText>
      </w:r>
      <w:r>
        <w:rPr>
          <w:noProof/>
        </w:rPr>
        <w:fldChar w:fldCharType="end"/>
      </w:r>
      <w:r w:rsidRPr="00C46A78">
        <w:instrText xml:space="preserve">." </w:instrText>
      </w:r>
      <w:r w:rsidRPr="00C46A78">
        <w:fldChar w:fldCharType="separate"/>
      </w:r>
      <w:r w:rsidR="00272AF3">
        <w:rPr>
          <w:noProof/>
        </w:rPr>
        <w:instrText>2</w:instrText>
      </w:r>
      <w:r w:rsidR="00272AF3" w:rsidRPr="00C46A78">
        <w:rPr>
          <w:noProof/>
        </w:rPr>
        <w:instrText>.</w:instrText>
      </w:r>
      <w:r w:rsidRPr="00C46A78">
        <w:fldChar w:fldCharType="end"/>
      </w:r>
      <w:r w:rsidRPr="00C46A78">
        <w:fldChar w:fldCharType="begin"/>
      </w:r>
      <w:r w:rsidRPr="00C46A78">
        <w:instrText xml:space="preserve"> SEQ Item \* ARABIC \s </w:instrText>
      </w:r>
      <w:r w:rsidRPr="00C46A78">
        <w:fldChar w:fldCharType="begin"/>
      </w:r>
      <w:r w:rsidRPr="00C46A78">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C46A78">
        <w:instrText xml:space="preserve"> = 0 "</w:instrText>
      </w:r>
      <w:r w:rsidRPr="00C46A78">
        <w:fldChar w:fldCharType="begin"/>
      </w:r>
      <w:r w:rsidRPr="00C46A78">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C46A78">
        <w:instrText xml:space="preserve"> = 0 "" "1" </w:instrText>
      </w:r>
      <w:r w:rsidRPr="00C46A78">
        <w:fldChar w:fldCharType="separate"/>
      </w:r>
      <w:r w:rsidR="00272AF3" w:rsidRPr="00C46A78">
        <w:rPr>
          <w:noProof/>
        </w:rPr>
        <w:instrText>1</w:instrText>
      </w:r>
      <w:r w:rsidRPr="00C46A78">
        <w:fldChar w:fldCharType="end"/>
      </w:r>
      <w:r w:rsidRPr="00C46A78">
        <w:instrText xml:space="preserve">" "6" </w:instrText>
      </w:r>
      <w:r w:rsidRPr="00C46A78">
        <w:fldChar w:fldCharType="separate"/>
      </w:r>
      <w:r w:rsidR="00272AF3" w:rsidRPr="00C46A78">
        <w:rPr>
          <w:noProof/>
        </w:rPr>
        <w:instrText>1</w:instrText>
      </w:r>
      <w:r w:rsidRPr="00C46A78">
        <w:fldChar w:fldCharType="end"/>
      </w:r>
      <w:r w:rsidRPr="00C46A78">
        <w:instrText xml:space="preserve"> </w:instrText>
      </w:r>
      <w:r w:rsidRPr="00C46A78">
        <w:fldChar w:fldCharType="separate"/>
      </w:r>
      <w:r>
        <w:rPr>
          <w:noProof/>
        </w:rPr>
        <w:instrText>7</w:instrText>
      </w:r>
      <w:r w:rsidRPr="00C46A78">
        <w:fldChar w:fldCharType="end"/>
      </w:r>
      <w:r w:rsidRPr="00C46A78">
        <w:instrText xml:space="preserve">" "" </w:instrText>
      </w:r>
      <w:r w:rsidRPr="00C46A78">
        <w:fldChar w:fldCharType="separate"/>
      </w:r>
      <w:bookmarkStart w:id="1114" w:name="_Caption7551"/>
      <w:bookmarkStart w:id="1115" w:name="_Caption7582"/>
      <w:bookmarkStart w:id="1116" w:name="_Caption1681"/>
      <w:bookmarkStart w:id="1117" w:name="_Caption9485"/>
      <w:bookmarkStart w:id="1118" w:name="_Caption0151"/>
      <w:bookmarkStart w:id="1119" w:name="_Caption4938"/>
      <w:bookmarkStart w:id="1120" w:name="_Caption5587"/>
      <w:bookmarkStart w:id="1121" w:name="_Caption8166"/>
      <w:bookmarkStart w:id="1122" w:name="_Caption8388"/>
      <w:bookmarkStart w:id="1123" w:name="_Caption1065"/>
      <w:bookmarkStart w:id="1124" w:name="_Caption8056"/>
      <w:bookmarkStart w:id="1125" w:name="_Caption8120"/>
      <w:bookmarkStart w:id="1126" w:name="_Caption1398"/>
      <w:bookmarkStart w:id="1127" w:name="_Caption9115"/>
      <w:bookmarkStart w:id="1128" w:name="_Caption9444"/>
      <w:bookmarkStart w:id="1129" w:name="_Caption4734"/>
      <w:bookmarkStart w:id="1130" w:name="_Caption8232"/>
      <w:bookmarkStart w:id="1131" w:name="_Caption2171"/>
      <w:bookmarkStart w:id="1132" w:name="_Caption3046"/>
      <w:bookmarkStart w:id="1133" w:name="_Caption8085"/>
      <w:bookmarkStart w:id="1134" w:name="_Caption0132"/>
      <w:bookmarkStart w:id="1135" w:name="_Caption6902"/>
      <w:bookmarkStart w:id="1136" w:name="_Caption6488"/>
      <w:bookmarkStart w:id="1137" w:name="_Caption9340"/>
      <w:bookmarkStart w:id="1138" w:name="_Caption4247"/>
      <w:bookmarkStart w:id="1139" w:name="_Caption3862"/>
      <w:bookmarkStart w:id="1140" w:name="_Caption8413"/>
      <w:bookmarkStart w:id="1141" w:name="_Caption2485"/>
      <w:bookmarkStart w:id="1142" w:name="_Caption8987"/>
      <w:bookmarkStart w:id="1143" w:name="_Caption2719"/>
      <w:bookmarkStart w:id="1144" w:name="_Caption0359"/>
      <w:bookmarkStart w:id="1145" w:name="_Caption4052"/>
      <w:bookmarkStart w:id="1146" w:name="_Caption2511"/>
      <w:bookmarkStart w:id="1147" w:name="_Caption7163"/>
      <w:bookmarkStart w:id="1148" w:name="_Caption8699"/>
      <w:bookmarkStart w:id="1149" w:name="_Caption0834"/>
      <w:bookmarkStart w:id="1150" w:name="_Caption0883"/>
      <w:bookmarkStart w:id="1151" w:name="_Caption5656"/>
      <w:bookmarkStart w:id="1152" w:name="_Caption9376"/>
      <w:bookmarkStart w:id="1153" w:name="_Caption1473"/>
      <w:bookmarkStart w:id="1154" w:name="_Caption9237"/>
      <w:bookmarkStart w:id="1155" w:name="_Caption6059"/>
      <w:bookmarkStart w:id="1156" w:name="_Caption2568"/>
      <w:bookmarkStart w:id="1157" w:name="_Caption8200"/>
      <w:bookmarkStart w:id="1158" w:name="_Caption6259"/>
      <w:bookmarkStart w:id="1159" w:name="_Caption7653"/>
      <w:bookmarkStart w:id="1160" w:name="_Caption4156"/>
      <w:bookmarkStart w:id="1161" w:name="_Caption5159"/>
      <w:bookmarkStart w:id="1162" w:name="_Caption2851"/>
      <w:bookmarkStart w:id="1163" w:name="_Caption1768"/>
      <w:bookmarkStart w:id="1164" w:name="_Caption0285"/>
      <w:bookmarkStart w:id="1165" w:name="_Caption3439"/>
      <w:bookmarkStart w:id="1166" w:name="_Caption3018"/>
      <w:bookmarkStart w:id="1167" w:name="_Caption0518"/>
      <w:bookmarkStart w:id="1168" w:name="_Caption9434"/>
      <w:bookmarkStart w:id="1169" w:name="_Caption4545"/>
      <w:bookmarkStart w:id="1170" w:name="_Caption5188"/>
      <w:bookmarkStart w:id="1171" w:name="_Caption5759"/>
      <w:bookmarkStart w:id="1172" w:name="_Caption1527"/>
      <w:bookmarkStart w:id="1173" w:name="_Caption8314"/>
      <w:bookmarkStart w:id="1174" w:name="_Caption0008"/>
      <w:bookmarkStart w:id="1175" w:name="_Caption5792"/>
      <w:bookmarkStart w:id="1176" w:name="_Caption5805"/>
      <w:bookmarkStart w:id="1177" w:name="_Caption0467"/>
      <w:bookmarkStart w:id="1178" w:name="_Caption9373"/>
      <w:bookmarkStart w:id="1179" w:name="_Caption6269"/>
      <w:bookmarkStart w:id="1180" w:name="_Caption0841"/>
      <w:bookmarkStart w:id="1181" w:name="_Caption0601"/>
      <w:bookmarkStart w:id="1182" w:name="_Caption2612"/>
      <w:bookmarkStart w:id="1183" w:name="_Caption2766"/>
      <w:bookmarkStart w:id="1184" w:name="_Caption6625"/>
      <w:bookmarkStart w:id="1185" w:name="_Caption1135"/>
      <w:bookmarkStart w:id="1186" w:name="_Caption7814"/>
      <w:bookmarkStart w:id="1187" w:name="_Caption7003"/>
      <w:bookmarkStart w:id="1188" w:name="_Caption2449"/>
      <w:bookmarkStart w:id="1189" w:name="_Caption0751"/>
      <w:bookmarkStart w:id="1190" w:name="_Caption0299"/>
      <w:bookmarkStart w:id="1191" w:name="_Caption8599"/>
      <w:bookmarkStart w:id="1192" w:name="_Caption0943"/>
      <w:bookmarkStart w:id="1193" w:name="_Caption0308"/>
      <w:bookmarkStart w:id="1194" w:name="_Caption2641"/>
      <w:bookmarkStart w:id="1195" w:name="_Caption0656"/>
      <w:bookmarkStart w:id="1196" w:name="_Caption6971"/>
      <w:bookmarkStart w:id="1197" w:name="_Caption4592"/>
      <w:bookmarkStart w:id="1198" w:name="_Caption5305"/>
      <w:bookmarkStart w:id="1199" w:name="_Caption3386"/>
      <w:bookmarkStart w:id="1200" w:name="_Caption6454"/>
      <w:bookmarkStart w:id="1201" w:name="_Caption0995"/>
      <w:bookmarkStart w:id="1202" w:name="_Caption9305"/>
      <w:bookmarkStart w:id="1203" w:name="_Caption1452"/>
      <w:bookmarkStart w:id="1204" w:name="_Caption5404"/>
      <w:bookmarkStart w:id="1205" w:name="_Caption5139"/>
      <w:bookmarkStart w:id="1206" w:name="_Caption1534"/>
      <w:bookmarkStart w:id="1207" w:name="_Caption0941"/>
      <w:bookmarkStart w:id="1208" w:name="_Caption0385"/>
      <w:bookmarkStart w:id="1209" w:name="_Caption1105"/>
      <w:bookmarkStart w:id="1210" w:name="_Caption6086"/>
      <w:bookmarkStart w:id="1211" w:name="_Toc32321798"/>
      <w:bookmarkStart w:id="1212" w:name="_Toc44598491"/>
      <w:bookmarkStart w:id="1213" w:name="_Toc45654122"/>
      <w:r w:rsidR="00272AF3">
        <w:rPr>
          <w:noProof/>
        </w:rPr>
        <w:t>2</w:t>
      </w:r>
      <w:r w:rsidR="00272AF3" w:rsidRPr="00C46A78">
        <w:rPr>
          <w:noProof/>
        </w:rPr>
        <w:t>.</w:t>
      </w:r>
      <w:r w:rsidR="00272AF3">
        <w:rPr>
          <w:noProof/>
        </w:rPr>
        <w:t>7</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r w:rsidRPr="00C46A78">
        <w:fldChar w:fldCharType="end"/>
      </w:r>
      <w:r w:rsidRPr="00C46A78">
        <w:tab/>
        <w:t>Number of wheelchair users — projections</w:t>
      </w:r>
      <w:bookmarkEnd w:id="1211"/>
      <w:bookmarkEnd w:id="1212"/>
      <w:bookmarkEnd w:id="1213"/>
    </w:p>
    <w:p w:rsidR="007C6A5F" w:rsidRDefault="007C6A5F" w:rsidP="007C6A5F">
      <w:pPr>
        <w:pStyle w:val="Subtitlebox"/>
      </w:pPr>
      <w:r w:rsidRPr="00C46A78">
        <w:rPr>
          <w:noProof/>
        </w:rPr>
        <w:drawing>
          <wp:inline distT="0" distB="0" distL="0" distR="0" wp14:anchorId="4BCA6261" wp14:editId="2E2CF955">
            <wp:extent cx="5040000" cy="2540408"/>
            <wp:effectExtent l="57150" t="57150" r="65405" b="50800"/>
            <wp:docPr id="46" name="Picture 46" descr="Chart 2.7 - Number of wheelchair users —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53"/>
                    <a:stretch/>
                  </pic:blipFill>
                  <pic:spPr bwMode="auto">
                    <a:xfrm>
                      <a:off x="0" y="0"/>
                      <a:ext cx="5040000" cy="2540408"/>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rsidR="007C6A5F" w:rsidRDefault="007C6A5F" w:rsidP="007C6A5F">
      <w:pPr>
        <w:pStyle w:val="Source"/>
      </w:pPr>
      <w:r>
        <w:rPr>
          <w:i/>
        </w:rPr>
        <w:t>Data source</w:t>
      </w:r>
      <w:r w:rsidRPr="00A67576">
        <w:rPr>
          <w:i/>
        </w:rPr>
        <w:t>:</w:t>
      </w:r>
      <w:r>
        <w:t xml:space="preserve"> ABS, Population Projections, Australia, 2017</w:t>
      </w:r>
      <w:r>
        <w:noBreakHyphen/>
        <w:t>2066, Catalogue No. 3222.0, Series B; ABS, Survey of Disabilities, Ageing and Carers, 2018, TableBuilder, CIE.</w:t>
      </w:r>
    </w:p>
    <w:p w:rsidR="007C6A5F" w:rsidRDefault="007C6A5F" w:rsidP="007C6A5F">
      <w:pPr>
        <w:pStyle w:val="Heading2"/>
        <w:numPr>
          <w:ilvl w:val="1"/>
          <w:numId w:val="5"/>
        </w:numPr>
        <w:rPr>
          <w:lang w:bidi="fa-IR"/>
        </w:rPr>
      </w:pPr>
      <w:bookmarkStart w:id="1214" w:name="_Toc32321747"/>
      <w:bookmarkStart w:id="1215" w:name="_Toc44598435"/>
      <w:bookmarkStart w:id="1216" w:name="_Toc45654066"/>
      <w:r>
        <w:rPr>
          <w:lang w:bidi="fa-IR"/>
        </w:rPr>
        <w:t>Policy context</w:t>
      </w:r>
      <w:bookmarkEnd w:id="1214"/>
      <w:bookmarkEnd w:id="1215"/>
      <w:bookmarkEnd w:id="1216"/>
    </w:p>
    <w:p w:rsidR="00FB10D9" w:rsidRPr="00FB10D9" w:rsidRDefault="00FB10D9" w:rsidP="00FB10D9">
      <w:pPr>
        <w:pStyle w:val="BodyText"/>
        <w:rPr>
          <w:lang w:bidi="fa-IR"/>
        </w:rPr>
      </w:pPr>
      <w:r>
        <w:rPr>
          <w:lang w:bidi="fa-IR"/>
        </w:rPr>
        <w:t xml:space="preserve">Broadly there are a range of services provided or funded by the government, as well as other services available that are aimed at meeting the housing (and other) needs of those with disabilities and older people. </w:t>
      </w:r>
      <w:r w:rsidR="001C2B49">
        <w:rPr>
          <w:lang w:bidi="fa-IR"/>
        </w:rPr>
        <w:t>Consistent with the requirements of the COAG Best Practice Regulation Guidelines, i</w:t>
      </w:r>
      <w:r>
        <w:rPr>
          <w:lang w:bidi="fa-IR"/>
        </w:rPr>
        <w:t xml:space="preserve">t is important to take account of the evidence of impact </w:t>
      </w:r>
      <w:r>
        <w:rPr>
          <w:lang w:bidi="fa-IR"/>
        </w:rPr>
        <w:lastRenderedPageBreak/>
        <w:t>of these services in terms of the considerations of including accessible housing standards in the NCC.</w:t>
      </w:r>
    </w:p>
    <w:p w:rsidR="007C6A5F" w:rsidRDefault="007C6A5F" w:rsidP="007C6A5F">
      <w:pPr>
        <w:pStyle w:val="Heading3"/>
        <w:numPr>
          <w:ilvl w:val="2"/>
          <w:numId w:val="5"/>
        </w:numPr>
        <w:rPr>
          <w:lang w:bidi="fa-IR"/>
        </w:rPr>
      </w:pPr>
      <w:r>
        <w:rPr>
          <w:lang w:bidi="fa-IR"/>
        </w:rPr>
        <w:t>Increasing the private supply of accessible housing</w:t>
      </w:r>
    </w:p>
    <w:p w:rsidR="007C6A5F" w:rsidRDefault="007C6A5F" w:rsidP="007C6A5F">
      <w:pPr>
        <w:pStyle w:val="BodyText"/>
        <w:rPr>
          <w:lang w:bidi="fa-IR"/>
        </w:rPr>
      </w:pPr>
      <w:r>
        <w:rPr>
          <w:lang w:bidi="fa-IR"/>
        </w:rPr>
        <w:t>Various (mostly state) governments have policies in place to increase the supply of private accessible dwellings, either through planning regulation or through state</w:t>
      </w:r>
      <w:r>
        <w:rPr>
          <w:lang w:bidi="fa-IR"/>
        </w:rPr>
        <w:noBreakHyphen/>
        <w:t>based variations to the NCC. Table </w:t>
      </w:r>
      <w:r>
        <w:rPr>
          <w:lang w:bidi="fa-IR"/>
        </w:rPr>
        <w:fldChar w:fldCharType="begin"/>
      </w:r>
      <w:r>
        <w:rPr>
          <w:lang w:bidi="fa-IR"/>
        </w:rPr>
        <w:instrText xml:space="preserve"> REF _Caption2369 </w:instrText>
      </w:r>
      <w:r>
        <w:rPr>
          <w:lang w:bidi="fa-IR"/>
        </w:rPr>
        <w:fldChar w:fldCharType="separate"/>
      </w:r>
      <w:r>
        <w:rPr>
          <w:noProof/>
        </w:rPr>
        <w:t>2</w:t>
      </w:r>
      <w:r w:rsidRPr="00695C93">
        <w:rPr>
          <w:noProof/>
        </w:rPr>
        <w:t>.</w:t>
      </w:r>
      <w:r>
        <w:rPr>
          <w:noProof/>
        </w:rPr>
        <w:t>8</w:t>
      </w:r>
      <w:r>
        <w:rPr>
          <w:lang w:bidi="fa-IR"/>
        </w:rPr>
        <w:fldChar w:fldCharType="end"/>
      </w:r>
      <w:r>
        <w:rPr>
          <w:lang w:bidi="fa-IR"/>
        </w:rPr>
        <w:t xml:space="preserve"> summarises some existing state planning policies and variations to the NCC that aim to increase the supply of accessible dwellings.</w:t>
      </w:r>
    </w:p>
    <w:p w:rsidR="007C6A5F" w:rsidRDefault="007C6A5F" w:rsidP="007C6A5F">
      <w:pPr>
        <w:pStyle w:val="Caption"/>
        <w:ind w:left="568" w:hanging="568"/>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sidR="00F56BFF">
        <w:fldChar w:fldCharType="begin"/>
      </w:r>
      <w:r w:rsidR="00F56BFF">
        <w:instrText xml:space="preserve"> STYLEREF "Head</w:instrText>
      </w:r>
      <w:r w:rsidR="00F56BFF">
        <w:instrText xml:space="preserve">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2</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8</w:instrText>
      </w:r>
      <w:r w:rsidRPr="00695C93">
        <w:fldChar w:fldCharType="end"/>
      </w:r>
      <w:r w:rsidRPr="00695C93">
        <w:instrText xml:space="preserve">" "" </w:instrText>
      </w:r>
      <w:r w:rsidRPr="00695C93">
        <w:fldChar w:fldCharType="separate"/>
      </w:r>
      <w:bookmarkStart w:id="1217" w:name="_Caption6966"/>
      <w:bookmarkStart w:id="1218" w:name="_Caption3991"/>
      <w:bookmarkStart w:id="1219" w:name="_Caption9704"/>
      <w:bookmarkStart w:id="1220" w:name="_Caption0085"/>
      <w:bookmarkStart w:id="1221" w:name="_Caption4397"/>
      <w:bookmarkStart w:id="1222" w:name="_Caption4363"/>
      <w:bookmarkStart w:id="1223" w:name="_Caption8162"/>
      <w:bookmarkStart w:id="1224" w:name="_Caption4429"/>
      <w:bookmarkStart w:id="1225" w:name="_Caption0455"/>
      <w:bookmarkStart w:id="1226" w:name="_Caption1213"/>
      <w:bookmarkStart w:id="1227" w:name="_Caption8417"/>
      <w:bookmarkStart w:id="1228" w:name="_Caption9976"/>
      <w:bookmarkStart w:id="1229" w:name="_Caption8982"/>
      <w:bookmarkStart w:id="1230" w:name="_Caption2600"/>
      <w:bookmarkStart w:id="1231" w:name="_Caption1794"/>
      <w:bookmarkStart w:id="1232" w:name="_Caption9195"/>
      <w:bookmarkStart w:id="1233" w:name="_Caption4321"/>
      <w:bookmarkStart w:id="1234" w:name="_Caption6204"/>
      <w:bookmarkStart w:id="1235" w:name="_Caption4007"/>
      <w:bookmarkStart w:id="1236" w:name="_Caption4930"/>
      <w:bookmarkStart w:id="1237" w:name="_Caption5779"/>
      <w:bookmarkStart w:id="1238" w:name="_Caption1281"/>
      <w:bookmarkStart w:id="1239" w:name="_Caption6942"/>
      <w:bookmarkStart w:id="1240" w:name="_Caption5602"/>
      <w:bookmarkStart w:id="1241" w:name="_Caption4457"/>
      <w:bookmarkStart w:id="1242" w:name="_Caption4962"/>
      <w:bookmarkStart w:id="1243" w:name="_Caption4848"/>
      <w:bookmarkStart w:id="1244" w:name="_Caption8574"/>
      <w:bookmarkStart w:id="1245" w:name="_Caption6277"/>
      <w:bookmarkStart w:id="1246" w:name="_Caption8207"/>
      <w:bookmarkStart w:id="1247" w:name="_Caption7902"/>
      <w:bookmarkStart w:id="1248" w:name="_Caption2288"/>
      <w:bookmarkStart w:id="1249" w:name="_Caption6717"/>
      <w:bookmarkStart w:id="1250" w:name="_Caption5841"/>
      <w:bookmarkStart w:id="1251" w:name="_Caption3715"/>
      <w:bookmarkStart w:id="1252" w:name="_Caption1357"/>
      <w:bookmarkStart w:id="1253" w:name="_Caption3553"/>
      <w:bookmarkStart w:id="1254" w:name="_Caption6898"/>
      <w:bookmarkStart w:id="1255" w:name="_Caption5210"/>
      <w:bookmarkStart w:id="1256" w:name="_Caption8161"/>
      <w:bookmarkStart w:id="1257" w:name="_Caption2349"/>
      <w:bookmarkStart w:id="1258" w:name="_Caption7393"/>
      <w:bookmarkStart w:id="1259" w:name="_Caption4804"/>
      <w:bookmarkStart w:id="1260" w:name="_Caption9629"/>
      <w:bookmarkStart w:id="1261" w:name="_Caption4496"/>
      <w:bookmarkStart w:id="1262" w:name="_Caption9682"/>
      <w:bookmarkStart w:id="1263" w:name="_Caption7014"/>
      <w:bookmarkStart w:id="1264" w:name="_Caption5422"/>
      <w:bookmarkStart w:id="1265" w:name="_Caption5181"/>
      <w:bookmarkStart w:id="1266" w:name="_Caption4231"/>
      <w:bookmarkStart w:id="1267" w:name="_Caption1219"/>
      <w:bookmarkStart w:id="1268" w:name="_Caption7777"/>
      <w:bookmarkStart w:id="1269" w:name="_Caption2220"/>
      <w:bookmarkStart w:id="1270" w:name="_Caption6761"/>
      <w:bookmarkStart w:id="1271" w:name="_Caption5980"/>
      <w:bookmarkStart w:id="1272" w:name="_Caption9270"/>
      <w:bookmarkStart w:id="1273" w:name="_Caption7461"/>
      <w:bookmarkStart w:id="1274" w:name="_Caption5714"/>
      <w:bookmarkStart w:id="1275" w:name="_Caption0339"/>
      <w:bookmarkStart w:id="1276" w:name="_Caption0313"/>
      <w:bookmarkStart w:id="1277" w:name="_Caption3567"/>
      <w:bookmarkStart w:id="1278" w:name="_Caption6437"/>
      <w:bookmarkStart w:id="1279" w:name="_Caption2369"/>
      <w:bookmarkStart w:id="1280" w:name="_Caption9256"/>
      <w:bookmarkStart w:id="1281" w:name="_Caption7555"/>
      <w:bookmarkStart w:id="1282" w:name="_Caption0077"/>
      <w:bookmarkStart w:id="1283" w:name="_Caption7367"/>
      <w:bookmarkStart w:id="1284" w:name="_Caption0982"/>
      <w:bookmarkStart w:id="1285" w:name="_Caption2728"/>
      <w:bookmarkStart w:id="1286" w:name="_Caption2184"/>
      <w:bookmarkStart w:id="1287" w:name="_Caption2332"/>
      <w:bookmarkStart w:id="1288" w:name="_Caption2725"/>
      <w:bookmarkStart w:id="1289" w:name="_Caption9133"/>
      <w:bookmarkStart w:id="1290" w:name="_Caption6538"/>
      <w:bookmarkStart w:id="1291" w:name="_Caption3336"/>
      <w:bookmarkStart w:id="1292" w:name="_Caption3151"/>
      <w:bookmarkStart w:id="1293" w:name="_Caption8108"/>
      <w:bookmarkStart w:id="1294" w:name="_Caption5634"/>
      <w:bookmarkStart w:id="1295" w:name="_Caption3015"/>
      <w:bookmarkStart w:id="1296" w:name="_Caption7479"/>
      <w:bookmarkStart w:id="1297" w:name="_Caption2069"/>
      <w:bookmarkStart w:id="1298" w:name="_Caption9674"/>
      <w:bookmarkStart w:id="1299" w:name="_Caption1856"/>
      <w:bookmarkStart w:id="1300" w:name="_Caption9945"/>
      <w:bookmarkStart w:id="1301" w:name="_Caption2696"/>
      <w:bookmarkStart w:id="1302" w:name="_Caption6975"/>
      <w:bookmarkStart w:id="1303" w:name="_Caption5168"/>
      <w:bookmarkStart w:id="1304" w:name="_Caption6900"/>
      <w:bookmarkStart w:id="1305" w:name="_Caption5552"/>
      <w:bookmarkStart w:id="1306" w:name="_Caption7470"/>
      <w:bookmarkStart w:id="1307" w:name="_Caption6291"/>
      <w:bookmarkStart w:id="1308" w:name="_Caption4367"/>
      <w:bookmarkStart w:id="1309" w:name="_Caption4860"/>
      <w:bookmarkStart w:id="1310" w:name="_Caption0123"/>
      <w:bookmarkStart w:id="1311" w:name="_Caption8287"/>
      <w:bookmarkStart w:id="1312" w:name="_Caption3068"/>
      <w:bookmarkStart w:id="1313" w:name="_Caption0988"/>
      <w:bookmarkStart w:id="1314" w:name="_Caption0358"/>
      <w:bookmarkStart w:id="1315" w:name="_Caption3902"/>
      <w:bookmarkStart w:id="1316" w:name="_Caption8027"/>
      <w:bookmarkStart w:id="1317" w:name="_Caption6926"/>
      <w:bookmarkStart w:id="1318" w:name="_Caption1781"/>
      <w:bookmarkStart w:id="1319" w:name="_Caption4569"/>
      <w:bookmarkStart w:id="1320" w:name="_Caption5961"/>
      <w:bookmarkStart w:id="1321" w:name="_Caption4022"/>
      <w:bookmarkStart w:id="1322" w:name="_Caption9908"/>
      <w:bookmarkStart w:id="1323" w:name="_Caption5519"/>
      <w:bookmarkStart w:id="1324" w:name="_Caption7737"/>
      <w:bookmarkStart w:id="1325" w:name="_Caption4578"/>
      <w:bookmarkStart w:id="1326" w:name="_Caption8849"/>
      <w:bookmarkStart w:id="1327" w:name="_Caption2185"/>
      <w:bookmarkStart w:id="1328" w:name="_Caption1073"/>
      <w:bookmarkStart w:id="1329" w:name="_Caption0724"/>
      <w:bookmarkStart w:id="1330" w:name="_Caption0150"/>
      <w:bookmarkStart w:id="1331" w:name="_Caption4838"/>
      <w:bookmarkStart w:id="1332" w:name="_Caption3254"/>
      <w:bookmarkStart w:id="1333" w:name="_Caption4987"/>
      <w:bookmarkStart w:id="1334" w:name="_Caption2562"/>
      <w:bookmarkStart w:id="1335" w:name="_Caption2521"/>
      <w:bookmarkStart w:id="1336" w:name="_Caption8036"/>
      <w:bookmarkStart w:id="1337" w:name="_Caption1442"/>
      <w:bookmarkStart w:id="1338" w:name="_Caption7311"/>
      <w:bookmarkStart w:id="1339" w:name="_Caption2631"/>
      <w:bookmarkStart w:id="1340" w:name="_Caption9080"/>
      <w:bookmarkStart w:id="1341" w:name="_Caption8446"/>
      <w:bookmarkStart w:id="1342" w:name="_Caption3981"/>
      <w:bookmarkStart w:id="1343" w:name="_Caption0046"/>
      <w:bookmarkStart w:id="1344" w:name="_Caption8998"/>
      <w:bookmarkStart w:id="1345" w:name="_Caption9055"/>
      <w:bookmarkStart w:id="1346" w:name="_Caption0756"/>
      <w:bookmarkStart w:id="1347" w:name="_Caption3090"/>
      <w:bookmarkStart w:id="1348" w:name="_Caption4368"/>
      <w:bookmarkStart w:id="1349" w:name="_Caption8030"/>
      <w:bookmarkStart w:id="1350" w:name="_Caption0695"/>
      <w:bookmarkStart w:id="1351" w:name="_Caption9621"/>
      <w:bookmarkStart w:id="1352" w:name="_Caption8558"/>
      <w:bookmarkStart w:id="1353" w:name="_Caption8302"/>
      <w:bookmarkStart w:id="1354" w:name="_Caption1150"/>
      <w:bookmarkStart w:id="1355" w:name="_Caption1697"/>
      <w:bookmarkStart w:id="1356" w:name="_Caption0253"/>
      <w:bookmarkStart w:id="1357" w:name="_Caption5092"/>
      <w:bookmarkStart w:id="1358" w:name="_Caption5696"/>
      <w:bookmarkStart w:id="1359" w:name="_Caption9297"/>
      <w:bookmarkStart w:id="1360" w:name="_Caption1532"/>
      <w:bookmarkStart w:id="1361" w:name="_Caption6462"/>
      <w:bookmarkStart w:id="1362" w:name="_Caption7165"/>
      <w:bookmarkStart w:id="1363" w:name="_Caption5990"/>
      <w:bookmarkStart w:id="1364" w:name="_Caption6193"/>
      <w:bookmarkStart w:id="1365" w:name="_Caption5939"/>
      <w:bookmarkStart w:id="1366" w:name="_Caption2345"/>
      <w:bookmarkStart w:id="1367" w:name="_Caption8636"/>
      <w:bookmarkStart w:id="1368" w:name="_Caption1679"/>
      <w:bookmarkStart w:id="1369" w:name="_Caption5512"/>
      <w:bookmarkStart w:id="1370" w:name="_Toc24977943"/>
      <w:bookmarkStart w:id="1371" w:name="_Toc32321799"/>
      <w:bookmarkStart w:id="1372" w:name="_Toc44598492"/>
      <w:bookmarkStart w:id="1373" w:name="_Toc45654123"/>
      <w:r w:rsidR="00272AF3">
        <w:rPr>
          <w:noProof/>
        </w:rPr>
        <w:t>2</w:t>
      </w:r>
      <w:r w:rsidR="00272AF3" w:rsidRPr="00695C93">
        <w:rPr>
          <w:noProof/>
        </w:rPr>
        <w:t>.</w:t>
      </w:r>
      <w:r w:rsidR="00272AF3">
        <w:rPr>
          <w:noProof/>
        </w:rPr>
        <w:t>8</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r w:rsidRPr="00695C93">
        <w:fldChar w:fldCharType="end"/>
      </w:r>
      <w:r w:rsidRPr="00695C93">
        <w:tab/>
      </w:r>
      <w:r>
        <w:t>Summary of state and territory government policies that to increase the supply of accessible housing</w:t>
      </w:r>
      <w:bookmarkEnd w:id="1370"/>
      <w:bookmarkEnd w:id="1371"/>
      <w:bookmarkEnd w:id="1372"/>
      <w:bookmarkEnd w:id="1373"/>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2.8"/>
        <w:tblDescription w:val="Summary of state and territory government policies that to increase the supply of accessible housing"/>
      </w:tblPr>
      <w:tblGrid>
        <w:gridCol w:w="1276"/>
        <w:gridCol w:w="6661"/>
      </w:tblGrid>
      <w:tr w:rsidR="007C6A5F" w:rsidTr="002E1A6C">
        <w:trPr>
          <w:tblHeader/>
        </w:trPr>
        <w:tc>
          <w:tcPr>
            <w:tcW w:w="1276" w:type="dxa"/>
            <w:tcBorders>
              <w:bottom w:val="single" w:sz="8" w:space="0" w:color="FFFFFF" w:themeColor="background1"/>
            </w:tcBorders>
            <w:shd w:val="clear" w:color="auto" w:fill="6F6652" w:themeFill="accent5"/>
          </w:tcPr>
          <w:p w:rsidR="007C6A5F" w:rsidRDefault="007C6A5F" w:rsidP="00C36DA4">
            <w:pPr>
              <w:pStyle w:val="TableTextColumnHeading"/>
              <w:rPr>
                <w:lang w:bidi="fa-IR"/>
              </w:rPr>
            </w:pPr>
            <w:r>
              <w:rPr>
                <w:lang w:bidi="fa-IR"/>
              </w:rPr>
              <w:t>State</w:t>
            </w:r>
          </w:p>
        </w:tc>
        <w:tc>
          <w:tcPr>
            <w:tcW w:w="6661" w:type="dxa"/>
            <w:tcBorders>
              <w:bottom w:val="single" w:sz="8" w:space="0" w:color="FFFFFF" w:themeColor="background1"/>
            </w:tcBorders>
            <w:shd w:val="clear" w:color="auto" w:fill="6F6652" w:themeFill="accent5"/>
          </w:tcPr>
          <w:p w:rsidR="007C6A5F" w:rsidRDefault="007C6A5F" w:rsidP="00C36DA4">
            <w:pPr>
              <w:pStyle w:val="TableTextColumnHeading"/>
              <w:rPr>
                <w:lang w:bidi="fa-IR"/>
              </w:rPr>
            </w:pPr>
            <w:r>
              <w:rPr>
                <w:lang w:bidi="fa-IR"/>
              </w:rPr>
              <w:t>Planning policies aimed at increasing the supply of accessible housing</w:t>
            </w:r>
          </w:p>
        </w:tc>
      </w:tr>
      <w:tr w:rsidR="007C6A5F" w:rsidTr="002E1A6C">
        <w:tc>
          <w:tcPr>
            <w:tcW w:w="127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NSW</w:t>
            </w:r>
          </w:p>
        </w:tc>
        <w:tc>
          <w:tcPr>
            <w:tcW w:w="666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In NSW, there are 2 State Environment Planning Policies (SEPPs) relevant to the supply of accessible housing.</w:t>
            </w:r>
          </w:p>
          <w:p w:rsidR="007C6A5F" w:rsidRDefault="007C6A5F" w:rsidP="00C36DA4">
            <w:pPr>
              <w:pStyle w:val="TableListBullet"/>
              <w:rPr>
                <w:lang w:bidi="fa-IR"/>
              </w:rPr>
            </w:pPr>
            <w:r w:rsidRPr="00F610EA">
              <w:rPr>
                <w:i/>
                <w:iCs/>
                <w:lang w:bidi="fa-IR"/>
              </w:rPr>
              <w:t>SEPP No. 65 — Design Quality of Residential Apartment Development</w:t>
            </w:r>
            <w:r>
              <w:rPr>
                <w:lang w:bidi="fa-IR"/>
              </w:rPr>
              <w:t xml:space="preserve"> has an objective (4Q</w:t>
            </w:r>
            <w:r>
              <w:rPr>
                <w:lang w:bidi="fa-IR"/>
              </w:rPr>
              <w:noBreakHyphen/>
              <w:t xml:space="preserve">1) that universal design features are included in apartment design to promote flexible housing for all community members. The design guidance under this objective is that: developments achieve a benchmark of 20% of the total apartments incorporating LHDG’s silver level universal design features. </w:t>
            </w:r>
          </w:p>
          <w:p w:rsidR="007C6A5F" w:rsidRDefault="007C6A5F" w:rsidP="00C36DA4">
            <w:pPr>
              <w:pStyle w:val="TableListBullet"/>
              <w:rPr>
                <w:lang w:bidi="fa-IR"/>
              </w:rPr>
            </w:pPr>
            <w:r>
              <w:rPr>
                <w:lang w:bidi="fa-IR"/>
              </w:rPr>
              <w:t xml:space="preserve">The </w:t>
            </w:r>
            <w:r w:rsidRPr="00F610EA">
              <w:rPr>
                <w:i/>
                <w:iCs/>
                <w:lang w:bidi="fa-IR"/>
              </w:rPr>
              <w:t>Housing for Seniors or People with a Disability SEPP</w:t>
            </w:r>
            <w:r>
              <w:rPr>
                <w:lang w:bidi="fa-IR"/>
              </w:rPr>
              <w:t xml:space="preserve"> aims to increase the supply and diversity of residences that meet the needs of seniors or people with a disability by relaxing some local planning controls for developments that meet relevant design principles. </w:t>
            </w:r>
          </w:p>
        </w:tc>
      </w:tr>
      <w:tr w:rsidR="007C6A5F" w:rsidTr="002E1A6C">
        <w:tc>
          <w:tcPr>
            <w:tcW w:w="127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Victoria</w:t>
            </w:r>
          </w:p>
        </w:tc>
        <w:tc>
          <w:tcPr>
            <w:tcW w:w="666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 xml:space="preserve">Planning Scheme Clause 58 (Better Apartment Design Standards) requires that 50 per cent of apartments in a building of more than 5 storeys are designed and built with LHDG Platinum for path of entry, LHDG gold for main bedroom entry and toilet, and LHGD silver for shower. </w:t>
            </w:r>
          </w:p>
        </w:tc>
      </w:tr>
      <w:tr w:rsidR="007C6A5F" w:rsidTr="002E1A6C">
        <w:tc>
          <w:tcPr>
            <w:tcW w:w="127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Queensland</w:t>
            </w:r>
          </w:p>
        </w:tc>
        <w:tc>
          <w:tcPr>
            <w:tcW w:w="666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ListBullet"/>
              <w:rPr>
                <w:lang w:bidi="fa-IR"/>
              </w:rPr>
            </w:pPr>
            <w:r>
              <w:rPr>
                <w:lang w:bidi="fa-IR"/>
              </w:rPr>
              <w:t>Accessible housing requirements will apply in Priority Development Areas (PDAs) (but will vary across PDAs)</w:t>
            </w:r>
          </w:p>
          <w:p w:rsidR="007C6A5F" w:rsidRDefault="007C6A5F" w:rsidP="00C36DA4">
            <w:pPr>
              <w:pStyle w:val="TableListBullet2"/>
              <w:rPr>
                <w:lang w:bidi="fa-IR"/>
              </w:rPr>
            </w:pPr>
            <w:r>
              <w:rPr>
                <w:lang w:bidi="fa-IR"/>
              </w:rPr>
              <w:t>It will be mandatory for 10 per cent of all multiple residential dwellings to be accessible</w:t>
            </w:r>
          </w:p>
          <w:p w:rsidR="007C6A5F" w:rsidRDefault="007C6A5F" w:rsidP="00C36DA4">
            <w:pPr>
              <w:pStyle w:val="TableListBullet2"/>
              <w:rPr>
                <w:lang w:bidi="fa-IR"/>
              </w:rPr>
            </w:pPr>
            <w:r>
              <w:rPr>
                <w:lang w:bidi="fa-IR"/>
              </w:rPr>
              <w:t>In some PDAs 20 per cent of accessible dwellings should be provided.</w:t>
            </w:r>
          </w:p>
          <w:p w:rsidR="007C6A5F" w:rsidRDefault="007C6A5F" w:rsidP="00C36DA4">
            <w:pPr>
              <w:pStyle w:val="TableListBullet"/>
              <w:rPr>
                <w:lang w:bidi="fa-IR"/>
              </w:rPr>
            </w:pPr>
            <w:r>
              <w:rPr>
                <w:lang w:bidi="fa-IR"/>
              </w:rPr>
              <w:t>Preference for accessible dwellings to be spread across different house types.</w:t>
            </w:r>
          </w:p>
        </w:tc>
      </w:tr>
      <w:tr w:rsidR="007C6A5F" w:rsidTr="002E1A6C">
        <w:tc>
          <w:tcPr>
            <w:tcW w:w="127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Western Australia</w:t>
            </w:r>
          </w:p>
        </w:tc>
        <w:tc>
          <w:tcPr>
            <w:tcW w:w="666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ListBullet"/>
              <w:rPr>
                <w:lang w:bidi="fa-IR"/>
              </w:rPr>
            </w:pPr>
            <w:r>
              <w:rPr>
                <w:lang w:bidi="fa-IR"/>
              </w:rPr>
              <w:t>Residential Design Codes for Apartments (under State Planning Policy 7.3) require that:</w:t>
            </w:r>
          </w:p>
          <w:p w:rsidR="007C6A5F" w:rsidRDefault="007C6A5F" w:rsidP="00C36DA4">
            <w:pPr>
              <w:pStyle w:val="TableListBullet2"/>
              <w:rPr>
                <w:lang w:bidi="fa-IR"/>
              </w:rPr>
            </w:pPr>
            <w:r>
              <w:rPr>
                <w:lang w:bidi="fa-IR"/>
              </w:rPr>
              <w:t>20 per cent of all dwellings across a range of dwelling sizes, meet Silver Level requirements as defined in the LHDG; or</w:t>
            </w:r>
          </w:p>
          <w:p w:rsidR="007C6A5F" w:rsidRDefault="007C6A5F" w:rsidP="00C36DA4">
            <w:pPr>
              <w:pStyle w:val="TableListBullet2"/>
              <w:rPr>
                <w:lang w:bidi="fa-IR"/>
              </w:rPr>
            </w:pPr>
            <w:r>
              <w:rPr>
                <w:lang w:bidi="fa-IR"/>
              </w:rPr>
              <w:t>5 per cent of dwellings are designed to Platinum Level as defined in the LHDG.</w:t>
            </w:r>
          </w:p>
          <w:p w:rsidR="007C6A5F" w:rsidRDefault="007C6A5F" w:rsidP="00C36DA4">
            <w:pPr>
              <w:pStyle w:val="TableListBullet"/>
              <w:rPr>
                <w:lang w:bidi="fa-IR"/>
              </w:rPr>
            </w:pPr>
            <w:r>
              <w:rPr>
                <w:lang w:bidi="fa-IR"/>
              </w:rPr>
              <w:t>Compliance with AS4299 is required for aged and dependent persons’ dwellings. The relevant decision maker has discretion over where AS4299 applies for other types of housing. All single houses, grouped dwellings and multiple dwellings in areas within activity centres must provide wheelchair accessible connections between buildings and public footpaths and carparking areas.</w:t>
            </w:r>
          </w:p>
        </w:tc>
      </w:tr>
      <w:tr w:rsidR="007C6A5F" w:rsidTr="00B5160B">
        <w:tc>
          <w:tcPr>
            <w:tcW w:w="127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South Australia</w:t>
            </w:r>
          </w:p>
        </w:tc>
        <w:tc>
          <w:tcPr>
            <w:tcW w:w="666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In developments consisting of 20 or more residential sole</w:t>
            </w:r>
            <w:r>
              <w:rPr>
                <w:lang w:bidi="fa-IR"/>
              </w:rPr>
              <w:noBreakHyphen/>
              <w:t>occupancy units or dwellings, 5 per cent of the total number of sole</w:t>
            </w:r>
            <w:r>
              <w:rPr>
                <w:lang w:bidi="fa-IR"/>
              </w:rPr>
              <w:noBreakHyphen/>
              <w:t>occupancy units or dwellings must meet additional accessibility requirements</w:t>
            </w:r>
          </w:p>
        </w:tc>
      </w:tr>
      <w:tr w:rsidR="007C6A5F" w:rsidTr="00B5160B">
        <w:trPr>
          <w:cantSplit/>
        </w:trPr>
        <w:tc>
          <w:tcPr>
            <w:tcW w:w="1276"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TextEntries"/>
              <w:rPr>
                <w:lang w:bidi="fa-IR"/>
              </w:rPr>
            </w:pPr>
            <w:r>
              <w:rPr>
                <w:lang w:bidi="fa-IR"/>
              </w:rPr>
              <w:lastRenderedPageBreak/>
              <w:t>ACT</w:t>
            </w:r>
          </w:p>
        </w:tc>
        <w:tc>
          <w:tcPr>
            <w:tcW w:w="6661"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ListBullet"/>
              <w:rPr>
                <w:rStyle w:val="TableTextEntriesChar"/>
              </w:rPr>
            </w:pPr>
            <w:r>
              <w:rPr>
                <w:lang w:bidi="fa-IR"/>
              </w:rPr>
              <w:t xml:space="preserve">Under the </w:t>
            </w:r>
            <w:r w:rsidRPr="00F610EA">
              <w:rPr>
                <w:rStyle w:val="TableTextEntriesChar"/>
              </w:rPr>
              <w:t>ACT Territory Plan</w:t>
            </w:r>
            <w:r>
              <w:rPr>
                <w:rStyle w:val="TableTextEntriesChar"/>
              </w:rPr>
              <w:t>:</w:t>
            </w:r>
          </w:p>
          <w:p w:rsidR="007C6A5F" w:rsidRPr="005D7C54" w:rsidRDefault="007C6A5F" w:rsidP="00C36DA4">
            <w:pPr>
              <w:pStyle w:val="TableListBullet2"/>
              <w:rPr>
                <w:rStyle w:val="TableTextEntriesChar"/>
                <w:szCs w:val="19"/>
              </w:rPr>
            </w:pPr>
            <w:r>
              <w:rPr>
                <w:rStyle w:val="TableTextEntriesChar"/>
              </w:rPr>
              <w:t xml:space="preserve">Multi-unit developments of 10 or more dwellings in RZ2 zone are permitted to increase density where </w:t>
            </w:r>
            <w:r w:rsidRPr="00990E06">
              <w:rPr>
                <w:rStyle w:val="TableTextEntriesChar"/>
                <w:szCs w:val="19"/>
              </w:rPr>
              <w:t>dwellings ha</w:t>
            </w:r>
            <w:r w:rsidRPr="00AF7600">
              <w:rPr>
                <w:rStyle w:val="TableTextEntriesChar"/>
                <w:szCs w:val="19"/>
              </w:rPr>
              <w:t>ve accessibility feat</w:t>
            </w:r>
            <w:r w:rsidRPr="0061791D">
              <w:rPr>
                <w:rStyle w:val="TableTextEntriesChar"/>
                <w:szCs w:val="19"/>
              </w:rPr>
              <w:t>u</w:t>
            </w:r>
            <w:r w:rsidRPr="00BD6E9B">
              <w:rPr>
                <w:rStyle w:val="TableTextEntriesChar"/>
                <w:szCs w:val="19"/>
              </w:rPr>
              <w:t>r</w:t>
            </w:r>
            <w:r w:rsidRPr="00086A9D">
              <w:rPr>
                <w:rStyle w:val="TableTextEntriesChar"/>
                <w:szCs w:val="19"/>
              </w:rPr>
              <w:t>es (</w:t>
            </w:r>
            <w:r w:rsidRPr="000F3EA0">
              <w:rPr>
                <w:rStyle w:val="TableTextEntriesChar"/>
                <w:szCs w:val="19"/>
              </w:rPr>
              <w:t>s</w:t>
            </w:r>
            <w:r w:rsidRPr="00575319">
              <w:rPr>
                <w:rStyle w:val="TableTextEntriesChar"/>
                <w:szCs w:val="19"/>
              </w:rPr>
              <w:t>uch as door handles and hardware to AS1428.1) and meets AS4299</w:t>
            </w:r>
          </w:p>
          <w:p w:rsidR="007C6A5F" w:rsidRPr="009F2D2F" w:rsidRDefault="007C6A5F" w:rsidP="00C36DA4">
            <w:pPr>
              <w:pStyle w:val="TableListBullet2"/>
              <w:rPr>
                <w:rStyle w:val="TableTextEntriesChar"/>
                <w:szCs w:val="19"/>
              </w:rPr>
            </w:pPr>
            <w:r w:rsidRPr="009F2D2F">
              <w:rPr>
                <w:rStyle w:val="TableTextEntriesChar"/>
                <w:szCs w:val="19"/>
              </w:rPr>
              <w:t>In Multi-unit developments of 10 or more dwellings, 10 per cent comply with AS4299 housing class C</w:t>
            </w:r>
          </w:p>
          <w:p w:rsidR="007C6A5F" w:rsidRDefault="007C6A5F" w:rsidP="00C36DA4">
            <w:pPr>
              <w:pStyle w:val="TableListBullet2"/>
              <w:rPr>
                <w:lang w:bidi="fa-IR"/>
              </w:rPr>
            </w:pPr>
            <w:r w:rsidRPr="009F2D2F">
              <w:rPr>
                <w:rStyle w:val="TableTextEntriesChar"/>
                <w:szCs w:val="19"/>
              </w:rPr>
              <w:t xml:space="preserve"> Granny flats are required to meet</w:t>
            </w:r>
            <w:r w:rsidRPr="00F610EA">
              <w:rPr>
                <w:rStyle w:val="TableTextEntriesChar"/>
              </w:rPr>
              <w:t xml:space="preserve"> AS4299</w:t>
            </w:r>
            <w:r>
              <w:rPr>
                <w:lang w:bidi="fa-IR"/>
              </w:rPr>
              <w:t xml:space="preserve"> Class C (on land &gt;500 m</w:t>
            </w:r>
            <w:r w:rsidRPr="005471DB">
              <w:rPr>
                <w:vertAlign w:val="superscript"/>
                <w:lang w:bidi="fa-IR"/>
              </w:rPr>
              <w:t>2</w:t>
            </w:r>
            <w:r>
              <w:rPr>
                <w:lang w:bidi="fa-IR"/>
              </w:rPr>
              <w:t xml:space="preserve">). </w:t>
            </w:r>
          </w:p>
        </w:tc>
      </w:tr>
    </w:tbl>
    <w:p w:rsidR="007C6A5F" w:rsidRPr="005938DF" w:rsidRDefault="007C6A5F" w:rsidP="007C6A5F">
      <w:pPr>
        <w:pStyle w:val="Source"/>
        <w:jc w:val="both"/>
        <w:rPr>
          <w:lang w:bidi="fa-IR"/>
        </w:rPr>
      </w:pPr>
      <w:r w:rsidRPr="004B2D2E">
        <w:rPr>
          <w:i/>
          <w:lang w:bidi="fa-IR"/>
        </w:rPr>
        <w:t>Source</w:t>
      </w:r>
      <w:r w:rsidRPr="005471DB">
        <w:rPr>
          <w:i/>
          <w:lang w:bidi="fa-IR"/>
        </w:rPr>
        <w:t>:</w:t>
      </w:r>
      <w:r>
        <w:rPr>
          <w:lang w:bidi="fa-IR"/>
        </w:rPr>
        <w:t xml:space="preserve"> SGS 2019 </w:t>
      </w:r>
      <w:r>
        <w:rPr>
          <w:i/>
          <w:iCs/>
          <w:lang w:bidi="fa-IR"/>
        </w:rPr>
        <w:t xml:space="preserve">Planning Schemes Research </w:t>
      </w:r>
      <w:r>
        <w:rPr>
          <w:lang w:bidi="fa-IR"/>
        </w:rPr>
        <w:t>July; Western Australian Planning Commission, Residential Design Codes: Volume 2 — Apartments, State Planning Policy 7.3.</w:t>
      </w:r>
    </w:p>
    <w:p w:rsidR="007C6A5F" w:rsidRDefault="007C6A5F" w:rsidP="007C6A5F">
      <w:pPr>
        <w:pStyle w:val="BodyText"/>
        <w:rPr>
          <w:lang w:bidi="fa-IR"/>
        </w:rPr>
      </w:pPr>
      <w:r>
        <w:rPr>
          <w:lang w:bidi="fa-IR"/>
        </w:rPr>
        <w:t xml:space="preserve">In addition, some local governments in NSW and Victoria and Queensland have also introduced policies that aim to boost the supply of accessible housing. </w:t>
      </w:r>
    </w:p>
    <w:p w:rsidR="007C6A5F" w:rsidRDefault="007C6A5F" w:rsidP="007C6A5F">
      <w:pPr>
        <w:pStyle w:val="BodyText"/>
        <w:rPr>
          <w:lang w:bidi="fa-IR"/>
        </w:rPr>
      </w:pPr>
      <w:r w:rsidRPr="00F36A14">
        <w:rPr>
          <w:lang w:bidi="fa-IR"/>
        </w:rPr>
        <w:t>Although we have not explicitly taken into account these local government</w:t>
      </w:r>
      <w:r w:rsidR="005406A4">
        <w:rPr>
          <w:lang w:bidi="fa-IR"/>
        </w:rPr>
        <w:noBreakHyphen/>
      </w:r>
      <w:r w:rsidRPr="00F36A14">
        <w:rPr>
          <w:lang w:bidi="fa-IR"/>
        </w:rPr>
        <w:t xml:space="preserve">based requirements, </w:t>
      </w:r>
      <w:r w:rsidRPr="00687613">
        <w:rPr>
          <w:lang w:bidi="fa-IR"/>
        </w:rPr>
        <w:t xml:space="preserve">we </w:t>
      </w:r>
      <w:r w:rsidRPr="00F36A14">
        <w:rPr>
          <w:lang w:bidi="fa-IR"/>
        </w:rPr>
        <w:t>have indirectly taken this into account through</w:t>
      </w:r>
      <w:r w:rsidRPr="00F0430C">
        <w:rPr>
          <w:lang w:bidi="fa-IR"/>
        </w:rPr>
        <w:t xml:space="preserve"> nation-</w:t>
      </w:r>
      <w:r w:rsidRPr="00F36A14">
        <w:rPr>
          <w:lang w:bidi="fa-IR"/>
        </w:rPr>
        <w:t>level</w:t>
      </w:r>
      <w:r w:rsidRPr="00F0430C">
        <w:rPr>
          <w:lang w:bidi="fa-IR"/>
        </w:rPr>
        <w:t xml:space="preserve"> </w:t>
      </w:r>
      <w:r w:rsidRPr="00687613">
        <w:rPr>
          <w:lang w:bidi="fa-IR"/>
        </w:rPr>
        <w:t>assumptions on the extent to which each element of the LHDG standards is already being incorporated in</w:t>
      </w:r>
      <w:r w:rsidRPr="00F36A14">
        <w:rPr>
          <w:lang w:bidi="fa-IR"/>
        </w:rPr>
        <w:t>to the design of</w:t>
      </w:r>
      <w:r w:rsidRPr="00F0430C">
        <w:rPr>
          <w:lang w:bidi="fa-IR"/>
        </w:rPr>
        <w:t xml:space="preserve"> new </w:t>
      </w:r>
      <w:r w:rsidRPr="00687613">
        <w:rPr>
          <w:lang w:bidi="fa-IR"/>
        </w:rPr>
        <w:t xml:space="preserve">homes. These assumptions are </w:t>
      </w:r>
      <w:r w:rsidRPr="00F36A14">
        <w:rPr>
          <w:lang w:bidi="fa-IR"/>
        </w:rPr>
        <w:t>based on the</w:t>
      </w:r>
      <w:r w:rsidRPr="00F0430C">
        <w:rPr>
          <w:lang w:bidi="fa-IR"/>
        </w:rPr>
        <w:t xml:space="preserve"> </w:t>
      </w:r>
      <w:r w:rsidRPr="00F36A14">
        <w:rPr>
          <w:lang w:bidi="fa-IR"/>
        </w:rPr>
        <w:t xml:space="preserve">professional </w:t>
      </w:r>
      <w:r w:rsidR="001C2B49">
        <w:rPr>
          <w:lang w:bidi="fa-IR"/>
        </w:rPr>
        <w:t>advice</w:t>
      </w:r>
      <w:r w:rsidRPr="00F36A14">
        <w:rPr>
          <w:lang w:bidi="fa-IR"/>
        </w:rPr>
        <w:t xml:space="preserve"> of </w:t>
      </w:r>
      <w:r w:rsidRPr="00F0430C">
        <w:rPr>
          <w:lang w:bidi="fa-IR"/>
        </w:rPr>
        <w:t>quantity surveyors</w:t>
      </w:r>
      <w:r w:rsidRPr="00F36A14">
        <w:rPr>
          <w:lang w:bidi="fa-IR"/>
        </w:rPr>
        <w:t xml:space="preserve"> (see appendix </w:t>
      </w:r>
      <w:r>
        <w:rPr>
          <w:lang w:bidi="fa-IR"/>
        </w:rPr>
        <w:t>I</w:t>
      </w:r>
      <w:r w:rsidRPr="00F36A14">
        <w:rPr>
          <w:lang w:bidi="fa-IR"/>
        </w:rPr>
        <w:t>)</w:t>
      </w:r>
      <w:r w:rsidRPr="00F0430C">
        <w:rPr>
          <w:lang w:bidi="fa-IR"/>
        </w:rPr>
        <w:t xml:space="preserve">. </w:t>
      </w:r>
    </w:p>
    <w:p w:rsidR="007C6A5F" w:rsidRDefault="007C6A5F" w:rsidP="007C6A5F">
      <w:pPr>
        <w:pStyle w:val="Heading3"/>
        <w:numPr>
          <w:ilvl w:val="2"/>
          <w:numId w:val="5"/>
        </w:numPr>
        <w:rPr>
          <w:lang w:bidi="fa-IR"/>
        </w:rPr>
      </w:pPr>
      <w:r>
        <w:rPr>
          <w:lang w:bidi="fa-IR"/>
        </w:rPr>
        <w:t>Social housing</w:t>
      </w:r>
    </w:p>
    <w:p w:rsidR="007C6A5F" w:rsidRDefault="007C6A5F" w:rsidP="007C6A5F">
      <w:pPr>
        <w:pStyle w:val="BodyText"/>
        <w:rPr>
          <w:lang w:bidi="fa-IR"/>
        </w:rPr>
      </w:pPr>
      <w:r>
        <w:rPr>
          <w:lang w:bidi="fa-IR"/>
        </w:rPr>
        <w:t>State and Territory governments are also a direct provider of housing to people in need, including some with mobility</w:t>
      </w:r>
      <w:r>
        <w:rPr>
          <w:lang w:bidi="fa-IR"/>
        </w:rPr>
        <w:noBreakHyphen/>
        <w:t>related disabilitie</w:t>
      </w:r>
      <w:r w:rsidR="005406A4">
        <w:rPr>
          <w:lang w:bidi="fa-IR"/>
        </w:rPr>
        <w:t>s</w:t>
      </w:r>
      <w:r>
        <w:rPr>
          <w:lang w:bidi="fa-IR"/>
        </w:rPr>
        <w:t>. Some state governments also have accessibility requirements/targets for social housing. These accessibility requirements for social housing are summarised in table </w:t>
      </w:r>
      <w:r>
        <w:rPr>
          <w:lang w:bidi="fa-IR"/>
        </w:rPr>
        <w:fldChar w:fldCharType="begin"/>
      </w:r>
      <w:r>
        <w:rPr>
          <w:lang w:bidi="fa-IR"/>
        </w:rPr>
        <w:instrText xml:space="preserve"> REF _Caption2706 </w:instrText>
      </w:r>
      <w:r>
        <w:rPr>
          <w:lang w:bidi="fa-IR"/>
        </w:rPr>
        <w:fldChar w:fldCharType="separate"/>
      </w:r>
      <w:r>
        <w:rPr>
          <w:noProof/>
        </w:rPr>
        <w:t>2</w:t>
      </w:r>
      <w:r w:rsidRPr="00695C93">
        <w:rPr>
          <w:noProof/>
        </w:rPr>
        <w:t>.</w:t>
      </w:r>
      <w:r>
        <w:rPr>
          <w:noProof/>
        </w:rPr>
        <w:t>9</w:t>
      </w:r>
      <w:r>
        <w:rPr>
          <w:lang w:bidi="fa-IR"/>
        </w:rPr>
        <w:fldChar w:fldCharType="end"/>
      </w:r>
      <w:r>
        <w:rPr>
          <w:lang w:bidi="fa-IR"/>
        </w:rPr>
        <w:t>.</w:t>
      </w:r>
    </w:p>
    <w:p w:rsidR="007C6A5F" w:rsidRDefault="007C6A5F" w:rsidP="007C6A5F">
      <w:pPr>
        <w:pStyle w:val="Caption"/>
        <w:ind w:left="568" w:hanging="568"/>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2</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9</w:instrText>
      </w:r>
      <w:r w:rsidRPr="00695C93">
        <w:fldChar w:fldCharType="end"/>
      </w:r>
      <w:r w:rsidRPr="00695C93">
        <w:instrText xml:space="preserve">" "" </w:instrText>
      </w:r>
      <w:r w:rsidRPr="00695C93">
        <w:fldChar w:fldCharType="separate"/>
      </w:r>
      <w:bookmarkStart w:id="1374" w:name="_Caption0531"/>
      <w:bookmarkStart w:id="1375" w:name="_Caption7377"/>
      <w:bookmarkStart w:id="1376" w:name="_Caption5218"/>
      <w:bookmarkStart w:id="1377" w:name="_Caption4845"/>
      <w:bookmarkStart w:id="1378" w:name="_Caption8133"/>
      <w:bookmarkStart w:id="1379" w:name="_Caption1130"/>
      <w:bookmarkStart w:id="1380" w:name="_Caption6630"/>
      <w:bookmarkStart w:id="1381" w:name="_Caption2477"/>
      <w:bookmarkStart w:id="1382" w:name="_Caption1497"/>
      <w:bookmarkStart w:id="1383" w:name="_Caption2838"/>
      <w:bookmarkStart w:id="1384" w:name="_Caption3463"/>
      <w:bookmarkStart w:id="1385" w:name="_Caption7497"/>
      <w:bookmarkStart w:id="1386" w:name="_Caption6912"/>
      <w:bookmarkStart w:id="1387" w:name="_Caption1162"/>
      <w:bookmarkStart w:id="1388" w:name="_Caption4531"/>
      <w:bookmarkStart w:id="1389" w:name="_Caption0222"/>
      <w:bookmarkStart w:id="1390" w:name="_Caption6803"/>
      <w:bookmarkStart w:id="1391" w:name="_Caption3000"/>
      <w:bookmarkStart w:id="1392" w:name="_Caption1123"/>
      <w:bookmarkStart w:id="1393" w:name="_Caption1979"/>
      <w:bookmarkStart w:id="1394" w:name="_Caption2636"/>
      <w:bookmarkStart w:id="1395" w:name="_Caption0213"/>
      <w:bookmarkStart w:id="1396" w:name="_Caption8238"/>
      <w:bookmarkStart w:id="1397" w:name="_Caption4162"/>
      <w:bookmarkStart w:id="1398" w:name="_Caption7916"/>
      <w:bookmarkStart w:id="1399" w:name="_Caption9168"/>
      <w:bookmarkStart w:id="1400" w:name="_Caption8199"/>
      <w:bookmarkStart w:id="1401" w:name="_Caption7439"/>
      <w:bookmarkStart w:id="1402" w:name="_Caption2376"/>
      <w:bookmarkStart w:id="1403" w:name="_Caption6431"/>
      <w:bookmarkStart w:id="1404" w:name="_Caption5272"/>
      <w:bookmarkStart w:id="1405" w:name="_Caption0859"/>
      <w:bookmarkStart w:id="1406" w:name="_Caption4099"/>
      <w:bookmarkStart w:id="1407" w:name="_Caption1020"/>
      <w:bookmarkStart w:id="1408" w:name="_Caption3939"/>
      <w:bookmarkStart w:id="1409" w:name="_Caption6804"/>
      <w:bookmarkStart w:id="1410" w:name="_Caption9509"/>
      <w:bookmarkStart w:id="1411" w:name="_Caption3256"/>
      <w:bookmarkStart w:id="1412" w:name="_Caption5674"/>
      <w:bookmarkStart w:id="1413" w:name="_Caption8095"/>
      <w:bookmarkStart w:id="1414" w:name="_Caption3608"/>
      <w:bookmarkStart w:id="1415" w:name="_Caption8736"/>
      <w:bookmarkStart w:id="1416" w:name="_Caption9022"/>
      <w:bookmarkStart w:id="1417" w:name="_Caption4944"/>
      <w:bookmarkStart w:id="1418" w:name="_Caption8540"/>
      <w:bookmarkStart w:id="1419" w:name="_Caption7825"/>
      <w:bookmarkStart w:id="1420" w:name="_Caption5158"/>
      <w:bookmarkStart w:id="1421" w:name="_Caption6221"/>
      <w:bookmarkStart w:id="1422" w:name="_Caption0669"/>
      <w:bookmarkStart w:id="1423" w:name="_Caption5031"/>
      <w:bookmarkStart w:id="1424" w:name="_Caption2322"/>
      <w:bookmarkStart w:id="1425" w:name="_Caption5921"/>
      <w:bookmarkStart w:id="1426" w:name="_Caption7708"/>
      <w:bookmarkStart w:id="1427" w:name="_Caption0540"/>
      <w:bookmarkStart w:id="1428" w:name="_Caption7542"/>
      <w:bookmarkStart w:id="1429" w:name="_Caption1860"/>
      <w:bookmarkStart w:id="1430" w:name="_Caption2706"/>
      <w:bookmarkStart w:id="1431" w:name="_Caption4682"/>
      <w:bookmarkStart w:id="1432" w:name="_Caption8478"/>
      <w:bookmarkStart w:id="1433" w:name="_Caption5221"/>
      <w:bookmarkStart w:id="1434" w:name="_Caption4809"/>
      <w:bookmarkStart w:id="1435" w:name="_Caption6930"/>
      <w:bookmarkStart w:id="1436" w:name="_Caption9369"/>
      <w:bookmarkStart w:id="1437" w:name="_Caption5114"/>
      <w:bookmarkStart w:id="1438" w:name="_Caption8966"/>
      <w:bookmarkStart w:id="1439" w:name="_Caption5785"/>
      <w:bookmarkStart w:id="1440" w:name="_Caption6328"/>
      <w:bookmarkStart w:id="1441" w:name="_Caption8089"/>
      <w:bookmarkStart w:id="1442" w:name="_Caption0840"/>
      <w:bookmarkStart w:id="1443" w:name="_Caption0673"/>
      <w:bookmarkStart w:id="1444" w:name="_Caption8280"/>
      <w:bookmarkStart w:id="1445" w:name="_Caption0382"/>
      <w:bookmarkStart w:id="1446" w:name="_Caption8384"/>
      <w:bookmarkStart w:id="1447" w:name="_Caption5695"/>
      <w:bookmarkStart w:id="1448" w:name="_Caption9411"/>
      <w:bookmarkStart w:id="1449" w:name="_Caption5409"/>
      <w:bookmarkStart w:id="1450" w:name="_Caption4112"/>
      <w:bookmarkStart w:id="1451" w:name="_Caption1246"/>
      <w:bookmarkStart w:id="1452" w:name="_Caption7632"/>
      <w:bookmarkStart w:id="1453" w:name="_Caption6928"/>
      <w:bookmarkStart w:id="1454" w:name="_Caption9386"/>
      <w:bookmarkStart w:id="1455" w:name="_Caption9952"/>
      <w:bookmarkStart w:id="1456" w:name="_Caption6491"/>
      <w:bookmarkStart w:id="1457" w:name="_Caption0521"/>
      <w:bookmarkStart w:id="1458" w:name="_Caption2163"/>
      <w:bookmarkStart w:id="1459" w:name="_Caption8990"/>
      <w:bookmarkStart w:id="1460" w:name="_Caption3099"/>
      <w:bookmarkStart w:id="1461" w:name="_Caption7431"/>
      <w:bookmarkStart w:id="1462" w:name="_Caption9698"/>
      <w:bookmarkStart w:id="1463" w:name="_Caption7732"/>
      <w:bookmarkStart w:id="1464" w:name="_Caption9817"/>
      <w:bookmarkStart w:id="1465" w:name="_Caption0154"/>
      <w:bookmarkStart w:id="1466" w:name="_Caption1226"/>
      <w:bookmarkStart w:id="1467" w:name="_Caption2374"/>
      <w:bookmarkStart w:id="1468" w:name="_Caption8620"/>
      <w:bookmarkStart w:id="1469" w:name="_Caption3387"/>
      <w:bookmarkStart w:id="1470" w:name="_Caption3532"/>
      <w:bookmarkStart w:id="1471" w:name="_Caption8637"/>
      <w:bookmarkStart w:id="1472" w:name="_Caption4812"/>
      <w:bookmarkStart w:id="1473" w:name="_Caption7073"/>
      <w:bookmarkStart w:id="1474" w:name="_Caption8954"/>
      <w:bookmarkStart w:id="1475" w:name="_Caption3841"/>
      <w:bookmarkStart w:id="1476" w:name="_Caption1935"/>
      <w:bookmarkStart w:id="1477" w:name="_Caption7702"/>
      <w:bookmarkStart w:id="1478" w:name="_Caption4610"/>
      <w:bookmarkStart w:id="1479" w:name="_Caption9462"/>
      <w:bookmarkStart w:id="1480" w:name="_Caption1471"/>
      <w:bookmarkStart w:id="1481" w:name="_Caption5677"/>
      <w:bookmarkStart w:id="1482" w:name="_Caption5632"/>
      <w:bookmarkStart w:id="1483" w:name="_Caption1122"/>
      <w:bookmarkStart w:id="1484" w:name="_Caption1033"/>
      <w:bookmarkStart w:id="1485" w:name="_Caption0055"/>
      <w:bookmarkStart w:id="1486" w:name="_Caption1099"/>
      <w:bookmarkStart w:id="1487" w:name="_Caption2653"/>
      <w:bookmarkStart w:id="1488" w:name="_Caption6534"/>
      <w:bookmarkStart w:id="1489" w:name="_Caption1683"/>
      <w:bookmarkStart w:id="1490" w:name="_Caption4568"/>
      <w:bookmarkStart w:id="1491" w:name="_Caption5248"/>
      <w:bookmarkStart w:id="1492" w:name="_Caption7098"/>
      <w:bookmarkStart w:id="1493" w:name="_Caption5781"/>
      <w:bookmarkStart w:id="1494" w:name="_Caption6980"/>
      <w:bookmarkStart w:id="1495" w:name="_Caption5471"/>
      <w:bookmarkStart w:id="1496" w:name="_Caption2832"/>
      <w:bookmarkStart w:id="1497" w:name="_Caption0746"/>
      <w:bookmarkStart w:id="1498" w:name="_Caption1758"/>
      <w:bookmarkStart w:id="1499" w:name="_Caption8366"/>
      <w:bookmarkStart w:id="1500" w:name="_Caption4358"/>
      <w:bookmarkStart w:id="1501" w:name="_Caption2173"/>
      <w:bookmarkStart w:id="1502" w:name="_Caption1892"/>
      <w:bookmarkStart w:id="1503" w:name="_Caption1388"/>
      <w:bookmarkStart w:id="1504" w:name="_Caption5843"/>
      <w:bookmarkStart w:id="1505" w:name="_Caption6580"/>
      <w:bookmarkStart w:id="1506" w:name="_Caption3589"/>
      <w:bookmarkStart w:id="1507" w:name="_Caption4289"/>
      <w:bookmarkStart w:id="1508" w:name="_Caption6653"/>
      <w:bookmarkStart w:id="1509" w:name="_Caption2704"/>
      <w:bookmarkStart w:id="1510" w:name="_Caption9397"/>
      <w:bookmarkStart w:id="1511" w:name="_Toc24977944"/>
      <w:bookmarkStart w:id="1512" w:name="_Toc32321800"/>
      <w:bookmarkStart w:id="1513" w:name="_Toc44598493"/>
      <w:bookmarkStart w:id="1514" w:name="_Toc45654124"/>
      <w:r w:rsidR="00272AF3">
        <w:rPr>
          <w:noProof/>
        </w:rPr>
        <w:t>2</w:t>
      </w:r>
      <w:r w:rsidR="00272AF3" w:rsidRPr="00695C93">
        <w:rPr>
          <w:noProof/>
        </w:rPr>
        <w:t>.</w:t>
      </w:r>
      <w:r w:rsidR="00272AF3">
        <w:rPr>
          <w:noProof/>
        </w:rPr>
        <w:t>9</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r w:rsidRPr="00695C93">
        <w:fldChar w:fldCharType="end"/>
      </w:r>
      <w:r w:rsidRPr="00695C93">
        <w:tab/>
      </w:r>
      <w:r>
        <w:t>Summary of state and territory government social housing accessibility requirements</w:t>
      </w:r>
      <w:bookmarkEnd w:id="1511"/>
      <w:bookmarkEnd w:id="1512"/>
      <w:bookmarkEnd w:id="1513"/>
      <w:bookmarkEnd w:id="1514"/>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2.9"/>
        <w:tblDescription w:val="Summary of state and territory government social housing accessibility requirements"/>
      </w:tblPr>
      <w:tblGrid>
        <w:gridCol w:w="1276"/>
        <w:gridCol w:w="6661"/>
      </w:tblGrid>
      <w:tr w:rsidR="007C6A5F" w:rsidTr="00B5160B">
        <w:trPr>
          <w:tblHeader/>
        </w:trPr>
        <w:tc>
          <w:tcPr>
            <w:tcW w:w="1276" w:type="dxa"/>
            <w:tcBorders>
              <w:bottom w:val="single" w:sz="8" w:space="0" w:color="FFFFFF" w:themeColor="background1"/>
            </w:tcBorders>
            <w:shd w:val="clear" w:color="auto" w:fill="6F6652" w:themeFill="accent5"/>
          </w:tcPr>
          <w:p w:rsidR="007C6A5F" w:rsidRDefault="007C6A5F" w:rsidP="00C36DA4">
            <w:pPr>
              <w:pStyle w:val="TableTextColumnHeading"/>
              <w:rPr>
                <w:lang w:bidi="fa-IR"/>
              </w:rPr>
            </w:pPr>
            <w:r>
              <w:rPr>
                <w:lang w:bidi="fa-IR"/>
              </w:rPr>
              <w:t>State</w:t>
            </w:r>
          </w:p>
        </w:tc>
        <w:tc>
          <w:tcPr>
            <w:tcW w:w="6661" w:type="dxa"/>
            <w:tcBorders>
              <w:bottom w:val="single" w:sz="8" w:space="0" w:color="FFFFFF" w:themeColor="background1"/>
            </w:tcBorders>
            <w:shd w:val="clear" w:color="auto" w:fill="6F6652" w:themeFill="accent5"/>
          </w:tcPr>
          <w:p w:rsidR="007C6A5F" w:rsidRDefault="007C6A5F" w:rsidP="00C36DA4">
            <w:pPr>
              <w:pStyle w:val="TableTextColumnHeading"/>
              <w:rPr>
                <w:lang w:bidi="fa-IR"/>
              </w:rPr>
            </w:pPr>
            <w:r>
              <w:rPr>
                <w:lang w:bidi="fa-IR"/>
              </w:rPr>
              <w:t>Policies aimed at increasing the supply of accessible housing</w:t>
            </w:r>
          </w:p>
        </w:tc>
      </w:tr>
      <w:tr w:rsidR="007C6A5F" w:rsidTr="002E1A6C">
        <w:tc>
          <w:tcPr>
            <w:tcW w:w="127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NSW</w:t>
            </w:r>
          </w:p>
        </w:tc>
        <w:tc>
          <w:tcPr>
            <w:tcW w:w="666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NSW Government has a policy that 10 per cent of all new public housing must be ‘adaptable’. That is the dwelling must be easily converted at minimal cost to be suitable for people who use wheelchairs.</w:t>
            </w:r>
          </w:p>
        </w:tc>
      </w:tr>
      <w:tr w:rsidR="007C6A5F" w:rsidTr="002E1A6C">
        <w:tc>
          <w:tcPr>
            <w:tcW w:w="127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Victoria</w:t>
            </w:r>
          </w:p>
        </w:tc>
        <w:tc>
          <w:tcPr>
            <w:tcW w:w="6661" w:type="dxa"/>
            <w:tcBorders>
              <w:top w:val="single" w:sz="8" w:space="0" w:color="FFFFFF" w:themeColor="background1"/>
              <w:bottom w:val="single" w:sz="8" w:space="0" w:color="FFFFFF" w:themeColor="background1"/>
            </w:tcBorders>
            <w:shd w:val="clear" w:color="auto" w:fill="E9E8E5" w:themeFill="background2"/>
          </w:tcPr>
          <w:p w:rsidR="007C6A5F" w:rsidRPr="00B34888" w:rsidRDefault="007C6A5F" w:rsidP="00C36DA4">
            <w:pPr>
              <w:pStyle w:val="TableTextEntries"/>
              <w:rPr>
                <w:lang w:bidi="fa-IR"/>
              </w:rPr>
            </w:pPr>
            <w:r w:rsidRPr="004A5B77">
              <w:t>The design of new dwellings must</w:t>
            </w:r>
            <w:r>
              <w:t>, where practical,</w:t>
            </w:r>
            <w:r w:rsidRPr="004A5B77">
              <w:t xml:space="preserve"> achieve the standard of Gold level of the </w:t>
            </w:r>
            <w:r w:rsidRPr="00E60255">
              <w:rPr>
                <w:rStyle w:val="Emphasis"/>
              </w:rPr>
              <w:t>Liveable Housing Design Guidelines or AS4299 Adaptable Housing</w:t>
            </w:r>
            <w:r>
              <w:rPr>
                <w:rStyle w:val="Emphasis"/>
              </w:rPr>
              <w:t xml:space="preserve"> </w:t>
            </w:r>
            <w:r>
              <w:rPr>
                <w:rStyle w:val="Emphasis"/>
                <w:i w:val="0"/>
                <w:iCs w:val="0"/>
              </w:rPr>
              <w:t>(except for car spaces)</w:t>
            </w:r>
          </w:p>
        </w:tc>
      </w:tr>
      <w:tr w:rsidR="007C6A5F" w:rsidTr="002E1A6C">
        <w:tc>
          <w:tcPr>
            <w:tcW w:w="127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Queensland</w:t>
            </w:r>
          </w:p>
        </w:tc>
        <w:tc>
          <w:tcPr>
            <w:tcW w:w="666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ListBullet"/>
              <w:rPr>
                <w:lang w:bidi="fa-IR"/>
              </w:rPr>
            </w:pPr>
            <w:r>
              <w:rPr>
                <w:lang w:bidi="fa-IR"/>
              </w:rPr>
              <w:t>50 per cent of all new Class 1 social housing will be built to LHDG Gold standard</w:t>
            </w:r>
          </w:p>
          <w:p w:rsidR="007C6A5F" w:rsidRDefault="007C6A5F" w:rsidP="00C36DA4">
            <w:pPr>
              <w:pStyle w:val="TableListBullet"/>
              <w:rPr>
                <w:lang w:bidi="fa-IR"/>
              </w:rPr>
            </w:pPr>
            <w:r>
              <w:rPr>
                <w:lang w:bidi="fa-IR"/>
              </w:rPr>
              <w:t>For Class 2 dwellings:</w:t>
            </w:r>
          </w:p>
          <w:p w:rsidR="007C6A5F" w:rsidRDefault="007C6A5F" w:rsidP="00C36DA4">
            <w:pPr>
              <w:pStyle w:val="TableListBullet2"/>
              <w:rPr>
                <w:lang w:bidi="fa-IR"/>
              </w:rPr>
            </w:pPr>
            <w:r>
              <w:rPr>
                <w:lang w:bidi="fa-IR"/>
              </w:rPr>
              <w:t>Ground floor apartments will be built to LHDG Platinum standard</w:t>
            </w:r>
          </w:p>
          <w:p w:rsidR="007C6A5F" w:rsidRDefault="007C6A5F" w:rsidP="00C36DA4">
            <w:pPr>
              <w:pStyle w:val="TableListBullet2"/>
              <w:rPr>
                <w:lang w:bidi="fa-IR"/>
              </w:rPr>
            </w:pPr>
            <w:r>
              <w:rPr>
                <w:lang w:bidi="fa-IR"/>
              </w:rPr>
              <w:t>All lift serviced apartments will be built to LHDG Gold standard</w:t>
            </w:r>
          </w:p>
        </w:tc>
      </w:tr>
      <w:tr w:rsidR="007C6A5F" w:rsidTr="002E1A6C">
        <w:tc>
          <w:tcPr>
            <w:tcW w:w="127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South Australia</w:t>
            </w:r>
          </w:p>
        </w:tc>
        <w:tc>
          <w:tcPr>
            <w:tcW w:w="666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The South Australian Housing Trust is committed to providing a minimum of 75 per cent of all new houses to meet Universal Design Criteria.</w:t>
            </w:r>
          </w:p>
        </w:tc>
      </w:tr>
      <w:tr w:rsidR="007C6A5F" w:rsidTr="002E1A6C">
        <w:tc>
          <w:tcPr>
            <w:tcW w:w="127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Tasmania</w:t>
            </w:r>
          </w:p>
        </w:tc>
        <w:tc>
          <w:tcPr>
            <w:tcW w:w="666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t>All new social housing properties will be universally designed and suitably diverse for a range of tenants including the elderly, those living with disability, families or singles (a total of 1155 new home by June 2023).</w:t>
            </w:r>
          </w:p>
        </w:tc>
      </w:tr>
      <w:tr w:rsidR="007C6A5F" w:rsidTr="00B5160B">
        <w:trPr>
          <w:cantSplit/>
        </w:trPr>
        <w:tc>
          <w:tcPr>
            <w:tcW w:w="127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ACT</w:t>
            </w:r>
          </w:p>
        </w:tc>
        <w:tc>
          <w:tcPr>
            <w:tcW w:w="666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 xml:space="preserve">10 per cent of new social housing meets AS4299 (124 over 2 years) </w:t>
            </w:r>
          </w:p>
        </w:tc>
      </w:tr>
      <w:tr w:rsidR="007C6A5F" w:rsidTr="00B5160B">
        <w:tc>
          <w:tcPr>
            <w:tcW w:w="1276"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TextEntries"/>
              <w:rPr>
                <w:lang w:bidi="fa-IR"/>
              </w:rPr>
            </w:pPr>
            <w:r>
              <w:rPr>
                <w:lang w:bidi="fa-IR"/>
              </w:rPr>
              <w:lastRenderedPageBreak/>
              <w:t>Northern Territory</w:t>
            </w:r>
          </w:p>
        </w:tc>
        <w:tc>
          <w:tcPr>
            <w:tcW w:w="6661" w:type="dxa"/>
            <w:tcBorders>
              <w:top w:val="single" w:sz="8" w:space="0" w:color="FFFFFF" w:themeColor="background1"/>
              <w:bottom w:val="single" w:sz="4" w:space="0" w:color="6F6652" w:themeColor="accent5"/>
            </w:tcBorders>
            <w:shd w:val="clear" w:color="auto" w:fill="E9E8E5" w:themeFill="background2"/>
          </w:tcPr>
          <w:p w:rsidR="007C6A5F" w:rsidDel="00990E06" w:rsidRDefault="007C6A5F" w:rsidP="00C36DA4">
            <w:pPr>
              <w:pStyle w:val="TableTextEntries"/>
              <w:rPr>
                <w:lang w:bidi="fa-IR"/>
              </w:rPr>
            </w:pPr>
            <w:r>
              <w:rPr>
                <w:lang w:bidi="fa-IR"/>
              </w:rPr>
              <w:t>Urban Public Housing Design Guidelines require all new urban public housing meets silver level (128 units in 2016)</w:t>
            </w:r>
          </w:p>
        </w:tc>
      </w:tr>
    </w:tbl>
    <w:p w:rsidR="007C6A5F" w:rsidRPr="00494B27" w:rsidRDefault="007C6A5F" w:rsidP="007C6A5F">
      <w:pPr>
        <w:pStyle w:val="Source"/>
        <w:jc w:val="both"/>
      </w:pPr>
      <w:r w:rsidRPr="004B2D2E">
        <w:rPr>
          <w:i/>
          <w:lang w:bidi="fa-IR"/>
        </w:rPr>
        <w:t>Source</w:t>
      </w:r>
      <w:r w:rsidRPr="005471DB">
        <w:rPr>
          <w:i/>
          <w:lang w:bidi="fa-IR"/>
        </w:rPr>
        <w:t>:</w:t>
      </w:r>
      <w:r>
        <w:rPr>
          <w:lang w:bidi="fa-IR"/>
        </w:rPr>
        <w:t xml:space="preserve"> Information provided by ABCB; </w:t>
      </w:r>
      <w:r>
        <w:t>NSW FACS website,</w:t>
      </w:r>
      <w:r w:rsidRPr="00494B27">
        <w:t xml:space="preserve"> </w:t>
      </w:r>
      <w:hyperlink r:id="rId26" w:history="1">
        <w:r w:rsidRPr="00494B27">
          <w:rPr>
            <w:rFonts w:eastAsiaTheme="minorEastAsia"/>
          </w:rPr>
          <w:t>https://www.facs.nsw.gov.au/housing/policies/acquiring-new-public-housing-policy</w:t>
        </w:r>
      </w:hyperlink>
      <w:r w:rsidRPr="00494B27">
        <w:rPr>
          <w:rFonts w:eastAsiaTheme="minorEastAsia"/>
        </w:rPr>
        <w:t>, accessed October 2019</w:t>
      </w:r>
      <w:r>
        <w:rPr>
          <w:rFonts w:eastAsiaTheme="minorEastAsia"/>
        </w:rPr>
        <w:t>.</w:t>
      </w:r>
    </w:p>
    <w:p w:rsidR="007C6A5F" w:rsidRDefault="007C6A5F" w:rsidP="007C6A5F">
      <w:pPr>
        <w:pStyle w:val="Heading3"/>
        <w:numPr>
          <w:ilvl w:val="2"/>
          <w:numId w:val="5"/>
        </w:numPr>
        <w:rPr>
          <w:lang w:bidi="fa-IR"/>
        </w:rPr>
      </w:pPr>
      <w:r>
        <w:rPr>
          <w:lang w:bidi="fa-IR"/>
        </w:rPr>
        <w:t>Government assistance for under 65s</w:t>
      </w:r>
    </w:p>
    <w:p w:rsidR="007C6A5F" w:rsidRDefault="007C6A5F" w:rsidP="007C6A5F">
      <w:pPr>
        <w:pStyle w:val="BodyText"/>
        <w:rPr>
          <w:lang w:bidi="fa-IR"/>
        </w:rPr>
      </w:pPr>
      <w:r>
        <w:rPr>
          <w:lang w:bidi="fa-IR"/>
        </w:rPr>
        <w:t>The National Disability Insurance Scheme (NDIS) provides funding to assist eligible people under the age of 65 to meet their housing needs.</w:t>
      </w:r>
    </w:p>
    <w:p w:rsidR="007C6A5F" w:rsidRDefault="007C6A5F" w:rsidP="007C6A5F">
      <w:pPr>
        <w:pStyle w:val="Heading4"/>
        <w:numPr>
          <w:ilvl w:val="3"/>
          <w:numId w:val="5"/>
        </w:numPr>
        <w:rPr>
          <w:lang w:bidi="fa-IR"/>
        </w:rPr>
      </w:pPr>
      <w:r>
        <w:rPr>
          <w:lang w:bidi="fa-IR"/>
        </w:rPr>
        <w:t>Specialist Disability Accommodation</w:t>
      </w:r>
    </w:p>
    <w:p w:rsidR="007C6A5F" w:rsidRDefault="007C6A5F" w:rsidP="007C6A5F">
      <w:pPr>
        <w:pStyle w:val="BodyText"/>
        <w:rPr>
          <w:shd w:val="clear" w:color="auto" w:fill="FFFFFF"/>
        </w:rPr>
      </w:pPr>
      <w:r>
        <w:rPr>
          <w:lang w:bidi="fa-IR"/>
        </w:rPr>
        <w:t xml:space="preserve">Some NDIS participants receive Specialist Disability Accommodation (SDA) as part of their NDIS packages. </w:t>
      </w:r>
      <w:r>
        <w:rPr>
          <w:shd w:val="clear" w:color="auto" w:fill="FFFFFF"/>
        </w:rPr>
        <w:t xml:space="preserve">SDA refers to accommodation for people who require specialist housing solutions, including to assist with the delivery of support that caters for their extreme functional impairment or very high support needs. Funding is provided </w:t>
      </w:r>
      <w:r w:rsidR="00864A96">
        <w:rPr>
          <w:shd w:val="clear" w:color="auto" w:fill="FFFFFF"/>
        </w:rPr>
        <w:t xml:space="preserve">only </w:t>
      </w:r>
      <w:r>
        <w:rPr>
          <w:shd w:val="clear" w:color="auto" w:fill="FFFFFF"/>
        </w:rPr>
        <w:t>to a small proportion of NDIS participants with extreme functional impairment or very high support needs who meet specific eligibility criteria.</w:t>
      </w:r>
      <w:r>
        <w:rPr>
          <w:rStyle w:val="FootnoteReference"/>
          <w:shd w:val="clear" w:color="auto" w:fill="FFFFFF"/>
        </w:rPr>
        <w:footnoteReference w:id="21"/>
      </w:r>
      <w:r>
        <w:rPr>
          <w:shd w:val="clear" w:color="auto" w:fill="FFFFFF"/>
        </w:rPr>
        <w:t xml:space="preserve"> SDA funding will not be available to many people with a mobility limitation.</w:t>
      </w:r>
    </w:p>
    <w:p w:rsidR="007C6A5F" w:rsidRDefault="007C6A5F" w:rsidP="007C6A5F">
      <w:pPr>
        <w:pStyle w:val="BodyText"/>
        <w:rPr>
          <w:shd w:val="clear" w:color="auto" w:fill="FFFFFF"/>
        </w:rPr>
      </w:pPr>
      <w:r>
        <w:rPr>
          <w:shd w:val="clear" w:color="auto" w:fill="FFFFFF"/>
        </w:rPr>
        <w:t xml:space="preserve">Under SDA, the National Disability Insurance Agency (NDIA) funds private organisations that provide accommodation that meets specified design standards to an eligible participant. </w:t>
      </w:r>
    </w:p>
    <w:p w:rsidR="007C6A5F" w:rsidRDefault="007C6A5F" w:rsidP="007C6A5F">
      <w:pPr>
        <w:pStyle w:val="Heading4"/>
        <w:numPr>
          <w:ilvl w:val="3"/>
          <w:numId w:val="5"/>
        </w:numPr>
        <w:rPr>
          <w:lang w:bidi="fa-IR"/>
        </w:rPr>
      </w:pPr>
      <w:r>
        <w:rPr>
          <w:lang w:bidi="fa-IR"/>
        </w:rPr>
        <w:t>Home modifications</w:t>
      </w:r>
    </w:p>
    <w:p w:rsidR="007C6A5F" w:rsidRDefault="007C6A5F" w:rsidP="007C6A5F">
      <w:pPr>
        <w:pStyle w:val="BodyText"/>
        <w:rPr>
          <w:lang w:bidi="fa-IR"/>
        </w:rPr>
      </w:pPr>
      <w:r>
        <w:rPr>
          <w:lang w:bidi="fa-IR"/>
        </w:rPr>
        <w:t>Home modifications are also funded through the NDIS in 2 main ways:</w:t>
      </w:r>
    </w:p>
    <w:p w:rsidR="007C6A5F" w:rsidRDefault="007C6A5F" w:rsidP="005A6F87">
      <w:pPr>
        <w:pStyle w:val="ListBullet"/>
        <w:numPr>
          <w:ilvl w:val="0"/>
          <w:numId w:val="17"/>
        </w:numPr>
        <w:rPr>
          <w:lang w:bidi="fa-IR"/>
        </w:rPr>
      </w:pPr>
      <w:r>
        <w:rPr>
          <w:lang w:bidi="fa-IR"/>
        </w:rPr>
        <w:t>Participants can choose to fund minor home modifications (up to $1500) from their core support budget.</w:t>
      </w:r>
    </w:p>
    <w:p w:rsidR="007C6A5F" w:rsidRDefault="007C6A5F" w:rsidP="005A6F87">
      <w:pPr>
        <w:pStyle w:val="ListBullet"/>
        <w:numPr>
          <w:ilvl w:val="0"/>
          <w:numId w:val="17"/>
        </w:numPr>
        <w:rPr>
          <w:lang w:bidi="fa-IR"/>
        </w:rPr>
      </w:pPr>
      <w:r>
        <w:rPr>
          <w:lang w:bidi="fa-IR"/>
        </w:rPr>
        <w:t>Higher cost home modifications can also be funded through the capital support budget.</w:t>
      </w:r>
    </w:p>
    <w:p w:rsidR="007C6A5F" w:rsidRDefault="007C6A5F" w:rsidP="007C6A5F">
      <w:pPr>
        <w:pStyle w:val="Heading3"/>
        <w:numPr>
          <w:ilvl w:val="2"/>
          <w:numId w:val="5"/>
        </w:numPr>
        <w:rPr>
          <w:lang w:bidi="fa-IR"/>
        </w:rPr>
      </w:pPr>
      <w:r>
        <w:rPr>
          <w:lang w:bidi="fa-IR"/>
        </w:rPr>
        <w:t>Government assistance for over 65s</w:t>
      </w:r>
    </w:p>
    <w:p w:rsidR="007C6A5F" w:rsidRDefault="007C6A5F" w:rsidP="007C6A5F">
      <w:pPr>
        <w:pStyle w:val="BodyText"/>
        <w:rPr>
          <w:lang w:bidi="fa-IR"/>
        </w:rPr>
      </w:pPr>
      <w:r>
        <w:rPr>
          <w:lang w:bidi="fa-IR"/>
        </w:rPr>
        <w:t>People over the age of 65 are generally not eligible for NDIS funding. However, they are eligible for government funding through various aged care programs.</w:t>
      </w:r>
    </w:p>
    <w:p w:rsidR="007C6A5F" w:rsidRDefault="007C6A5F" w:rsidP="007C6A5F">
      <w:pPr>
        <w:pStyle w:val="Heading4"/>
        <w:numPr>
          <w:ilvl w:val="3"/>
          <w:numId w:val="5"/>
        </w:numPr>
        <w:rPr>
          <w:lang w:bidi="fa-IR"/>
        </w:rPr>
      </w:pPr>
      <w:r>
        <w:rPr>
          <w:lang w:bidi="fa-IR"/>
        </w:rPr>
        <w:t>Funding for aged care places</w:t>
      </w:r>
    </w:p>
    <w:p w:rsidR="007C6A5F" w:rsidRDefault="007C6A5F" w:rsidP="007C6A5F">
      <w:pPr>
        <w:pStyle w:val="BodyText"/>
        <w:rPr>
          <w:lang w:bidi="fa-IR"/>
        </w:rPr>
      </w:pPr>
      <w:r>
        <w:rPr>
          <w:lang w:bidi="fa-IR"/>
        </w:rPr>
        <w:t xml:space="preserve">Residential aged care, which is partly funded by the Australian Government, is one mechanism through which some older Australians (and some younger Australians) receive accommodation that is suitable for people with mobility (and other) impairments (although some stakeholders noted that not all residential aged care facilities are </w:t>
      </w:r>
      <w:r>
        <w:rPr>
          <w:lang w:bidi="fa-IR"/>
        </w:rPr>
        <w:lastRenderedPageBreak/>
        <w:t xml:space="preserve">accessible) . </w:t>
      </w:r>
      <w:r w:rsidRPr="007461B7">
        <w:rPr>
          <w:lang w:bidi="fa-IR"/>
        </w:rPr>
        <w:t>This type of accommodation is generally only suitable for those who need care as well as accessible accommodation.</w:t>
      </w:r>
    </w:p>
    <w:p w:rsidR="007C6A5F" w:rsidRDefault="007C6A5F" w:rsidP="007C6A5F">
      <w:pPr>
        <w:pStyle w:val="BodyText"/>
        <w:rPr>
          <w:lang w:bidi="fa-IR"/>
        </w:rPr>
      </w:pPr>
      <w:r>
        <w:rPr>
          <w:lang w:bidi="fa-IR"/>
        </w:rPr>
        <w:t xml:space="preserve">Given that residential aged care typically goes beyond the provision of suitable accommodation, so designing more houses consistent with universal design principles will not replace the need for aged care. However, more accessible housing may reduce or delay the need for residential aged care to serve the needs of some older Australians who may otherwise be able to stay in their own homes for longer (i.e. ageing in place). </w:t>
      </w:r>
    </w:p>
    <w:p w:rsidR="007C6A5F" w:rsidRDefault="007C6A5F" w:rsidP="007C6A5F">
      <w:pPr>
        <w:pStyle w:val="Heading4"/>
        <w:numPr>
          <w:ilvl w:val="3"/>
          <w:numId w:val="5"/>
        </w:numPr>
        <w:rPr>
          <w:lang w:bidi="fa-IR"/>
        </w:rPr>
      </w:pPr>
      <w:r>
        <w:rPr>
          <w:lang w:bidi="fa-IR"/>
        </w:rPr>
        <w:t>Funding for home modifications</w:t>
      </w:r>
    </w:p>
    <w:p w:rsidR="007C6A5F" w:rsidRDefault="007C6A5F" w:rsidP="007C6A5F">
      <w:pPr>
        <w:pStyle w:val="BodyText"/>
        <w:rPr>
          <w:lang w:bidi="fa-IR"/>
        </w:rPr>
      </w:pPr>
      <w:r>
        <w:rPr>
          <w:lang w:bidi="fa-IR"/>
        </w:rPr>
        <w:t>For older Australians, government funding is provided for home modifications through the following programs:</w:t>
      </w:r>
      <w:r>
        <w:rPr>
          <w:rStyle w:val="FootnoteReference"/>
          <w:lang w:bidi="fa-IR"/>
        </w:rPr>
        <w:footnoteReference w:id="22"/>
      </w:r>
    </w:p>
    <w:p w:rsidR="007C6A5F" w:rsidRDefault="007C6A5F" w:rsidP="005A6F87">
      <w:pPr>
        <w:pStyle w:val="ListBullet"/>
        <w:numPr>
          <w:ilvl w:val="0"/>
          <w:numId w:val="17"/>
        </w:numPr>
        <w:rPr>
          <w:lang w:bidi="fa-IR"/>
        </w:rPr>
      </w:pPr>
      <w:r>
        <w:rPr>
          <w:lang w:bidi="fa-IR"/>
        </w:rPr>
        <w:t>The Commonwealth Home Support Program (CHSP) — this program helps senior Australians access entry</w:t>
      </w:r>
      <w:r>
        <w:rPr>
          <w:lang w:bidi="fa-IR"/>
        </w:rPr>
        <w:noBreakHyphen/>
        <w:t>level support to live independently and safely at home. Home modifications to improve safety and access (such as ramps and rails) are among the services offered.</w:t>
      </w:r>
    </w:p>
    <w:p w:rsidR="007C6A5F" w:rsidRDefault="007C6A5F" w:rsidP="005A6F87">
      <w:pPr>
        <w:pStyle w:val="ListBullet"/>
        <w:numPr>
          <w:ilvl w:val="0"/>
          <w:numId w:val="17"/>
        </w:numPr>
        <w:rPr>
          <w:lang w:bidi="fa-IR"/>
        </w:rPr>
      </w:pPr>
      <w:r>
        <w:rPr>
          <w:lang w:bidi="fa-IR"/>
        </w:rPr>
        <w:t>Home Care Packages (HCPs) — are designed for those with more complex care needs. These packages can include home modifications.</w:t>
      </w:r>
    </w:p>
    <w:p w:rsidR="007C6A5F" w:rsidRDefault="007C6A5F" w:rsidP="007C6A5F">
      <w:pPr>
        <w:pStyle w:val="Heading3"/>
        <w:numPr>
          <w:ilvl w:val="2"/>
          <w:numId w:val="5"/>
        </w:numPr>
        <w:rPr>
          <w:lang w:bidi="fa-IR"/>
        </w:rPr>
      </w:pPr>
      <w:r>
        <w:rPr>
          <w:lang w:bidi="fa-IR"/>
        </w:rPr>
        <w:t>No fault motor accident insurance</w:t>
      </w:r>
    </w:p>
    <w:p w:rsidR="007C6A5F" w:rsidRPr="00621B32" w:rsidRDefault="007C6A5F" w:rsidP="007C6A5F">
      <w:pPr>
        <w:pStyle w:val="BodyText"/>
        <w:rPr>
          <w:lang w:bidi="fa-IR"/>
        </w:rPr>
      </w:pPr>
      <w:r>
        <w:rPr>
          <w:lang w:bidi="fa-IR"/>
        </w:rPr>
        <w:t>Most states have compulsory no</w:t>
      </w:r>
      <w:r>
        <w:rPr>
          <w:lang w:bidi="fa-IR"/>
        </w:rPr>
        <w:noBreakHyphen/>
        <w:t>fault accident insurance. This is a funding mechanism to ensure that the needs of people who acquire a disability through a motor accident are met. In many cases, these insurance schemes will fund home modifications, or find suitable alternative accommodation for people who have acquired a disability through a motor accident.</w:t>
      </w:r>
    </w:p>
    <w:p w:rsidR="007C6A5F" w:rsidRDefault="007C6A5F" w:rsidP="007C6A5F">
      <w:pPr>
        <w:pStyle w:val="Heading3"/>
        <w:numPr>
          <w:ilvl w:val="2"/>
          <w:numId w:val="5"/>
        </w:numPr>
        <w:rPr>
          <w:lang w:bidi="fa-IR"/>
        </w:rPr>
      </w:pPr>
      <w:r>
        <w:rPr>
          <w:lang w:bidi="fa-IR"/>
        </w:rPr>
        <w:t>Other government assistance with accommodation</w:t>
      </w:r>
      <w:r>
        <w:rPr>
          <w:lang w:bidi="fa-IR"/>
        </w:rPr>
        <w:noBreakHyphen/>
        <w:t>related expenses</w:t>
      </w:r>
    </w:p>
    <w:p w:rsidR="007C6A5F" w:rsidRDefault="007C6A5F" w:rsidP="007C6A5F">
      <w:pPr>
        <w:pStyle w:val="BodyText"/>
        <w:rPr>
          <w:lang w:bidi="fa-IR"/>
        </w:rPr>
      </w:pPr>
      <w:r>
        <w:rPr>
          <w:lang w:bidi="fa-IR"/>
        </w:rPr>
        <w:t>Another way that governments assist people with mobility</w:t>
      </w:r>
      <w:r>
        <w:rPr>
          <w:lang w:bidi="fa-IR"/>
        </w:rPr>
        <w:noBreakHyphen/>
        <w:t>related disabilities to access housing (including accessible housing) is through direct financial assistance. Some people with mobility</w:t>
      </w:r>
      <w:r>
        <w:rPr>
          <w:lang w:bidi="fa-IR"/>
        </w:rPr>
        <w:noBreakHyphen/>
        <w:t>related disabilities may be eligible for Commonwealth Rent Assistance (CRA), which is an income supplement payable to eligible people who rent in the private rental market or community housing.</w:t>
      </w:r>
      <w:r>
        <w:rPr>
          <w:rStyle w:val="FootnoteReference"/>
          <w:lang w:bidi="fa-IR"/>
        </w:rPr>
        <w:footnoteReference w:id="23"/>
      </w:r>
    </w:p>
    <w:p w:rsidR="007C6A5F" w:rsidRDefault="007C6A5F" w:rsidP="007C6A5F">
      <w:pPr>
        <w:pStyle w:val="Heading3"/>
        <w:numPr>
          <w:ilvl w:val="2"/>
          <w:numId w:val="5"/>
        </w:numPr>
        <w:rPr>
          <w:lang w:bidi="fa-IR"/>
        </w:rPr>
      </w:pPr>
      <w:r>
        <w:rPr>
          <w:lang w:bidi="fa-IR"/>
        </w:rPr>
        <w:t>Voluntary certification scheme</w:t>
      </w:r>
    </w:p>
    <w:p w:rsidR="007C6A5F" w:rsidRDefault="007C6A5F" w:rsidP="007C6A5F">
      <w:pPr>
        <w:pStyle w:val="BodyText"/>
        <w:rPr>
          <w:lang w:bidi="fa-IR"/>
        </w:rPr>
      </w:pPr>
      <w:r>
        <w:rPr>
          <w:lang w:bidi="fa-IR"/>
        </w:rPr>
        <w:t>Livable Housing Australia administers a voluntary certification scheme whereby homes can be certified as being compliant with LHDG silver, gold or platinum standard.</w:t>
      </w:r>
    </w:p>
    <w:p w:rsidR="007C6A5F" w:rsidRDefault="007C6A5F" w:rsidP="007C6A5F">
      <w:pPr>
        <w:pStyle w:val="Heading3"/>
        <w:numPr>
          <w:ilvl w:val="2"/>
          <w:numId w:val="5"/>
        </w:numPr>
        <w:rPr>
          <w:lang w:bidi="fa-IR"/>
        </w:rPr>
      </w:pPr>
      <w:r>
        <w:rPr>
          <w:lang w:bidi="fa-IR"/>
        </w:rPr>
        <w:lastRenderedPageBreak/>
        <w:t>Other services</w:t>
      </w:r>
    </w:p>
    <w:p w:rsidR="007C6A5F" w:rsidRDefault="007C6A5F" w:rsidP="007C6A5F">
      <w:pPr>
        <w:pStyle w:val="BodyText"/>
        <w:rPr>
          <w:lang w:bidi="fa-IR"/>
        </w:rPr>
      </w:pPr>
      <w:r>
        <w:rPr>
          <w:lang w:bidi="fa-IR"/>
        </w:rPr>
        <w:t>There are a range of other services available to people seeking accessible housing provided by private organisations, including community groups, some of which may receive some government funding (table </w:t>
      </w:r>
      <w:r>
        <w:rPr>
          <w:lang w:bidi="fa-IR"/>
        </w:rPr>
        <w:fldChar w:fldCharType="begin"/>
      </w:r>
      <w:r>
        <w:rPr>
          <w:lang w:bidi="fa-IR"/>
        </w:rPr>
        <w:instrText xml:space="preserve"> REF _Caption8575 </w:instrText>
      </w:r>
      <w:r>
        <w:rPr>
          <w:lang w:bidi="fa-IR"/>
        </w:rPr>
        <w:fldChar w:fldCharType="separate"/>
      </w:r>
      <w:r>
        <w:rPr>
          <w:noProof/>
        </w:rPr>
        <w:t>2</w:t>
      </w:r>
      <w:r w:rsidRPr="00695C93">
        <w:rPr>
          <w:noProof/>
        </w:rPr>
        <w:t>.</w:t>
      </w:r>
      <w:r>
        <w:rPr>
          <w:noProof/>
        </w:rPr>
        <w:t>10</w:t>
      </w:r>
      <w:r>
        <w:rPr>
          <w:lang w:bidi="fa-IR"/>
        </w:rPr>
        <w:fldChar w:fldCharType="end"/>
      </w:r>
      <w:r>
        <w:rPr>
          <w:lang w:bidi="fa-IR"/>
        </w:rPr>
        <w:t>).</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2</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10</w:instrText>
      </w:r>
      <w:r w:rsidRPr="00695C93">
        <w:fldChar w:fldCharType="end"/>
      </w:r>
      <w:r w:rsidRPr="00695C93">
        <w:instrText xml:space="preserve">" "" </w:instrText>
      </w:r>
      <w:r w:rsidRPr="00695C93">
        <w:fldChar w:fldCharType="separate"/>
      </w:r>
      <w:bookmarkStart w:id="1515" w:name="_Caption8582"/>
      <w:bookmarkStart w:id="1516" w:name="_Caption3303"/>
      <w:bookmarkStart w:id="1517" w:name="_Caption8414"/>
      <w:bookmarkStart w:id="1518" w:name="_Caption6009"/>
      <w:bookmarkStart w:id="1519" w:name="_Caption1377"/>
      <w:bookmarkStart w:id="1520" w:name="_Caption4481"/>
      <w:bookmarkStart w:id="1521" w:name="_Caption6649"/>
      <w:bookmarkStart w:id="1522" w:name="_Caption9365"/>
      <w:bookmarkStart w:id="1523" w:name="_Caption6662"/>
      <w:bookmarkStart w:id="1524" w:name="_Caption5514"/>
      <w:bookmarkStart w:id="1525" w:name="_Caption5475"/>
      <w:bookmarkStart w:id="1526" w:name="_Caption3198"/>
      <w:bookmarkStart w:id="1527" w:name="_Caption0734"/>
      <w:bookmarkStart w:id="1528" w:name="_Caption5969"/>
      <w:bookmarkStart w:id="1529" w:name="_Caption1638"/>
      <w:bookmarkStart w:id="1530" w:name="_Caption3791"/>
      <w:bookmarkStart w:id="1531" w:name="_Caption9426"/>
      <w:bookmarkStart w:id="1532" w:name="_Caption6711"/>
      <w:bookmarkStart w:id="1533" w:name="_Caption9775"/>
      <w:bookmarkStart w:id="1534" w:name="_Caption4583"/>
      <w:bookmarkStart w:id="1535" w:name="_Caption4931"/>
      <w:bookmarkStart w:id="1536" w:name="_Caption7531"/>
      <w:bookmarkStart w:id="1537" w:name="_Caption3726"/>
      <w:bookmarkStart w:id="1538" w:name="_Caption7860"/>
      <w:bookmarkStart w:id="1539" w:name="_Caption9385"/>
      <w:bookmarkStart w:id="1540" w:name="_Caption1238"/>
      <w:bookmarkStart w:id="1541" w:name="_Caption5325"/>
      <w:bookmarkStart w:id="1542" w:name="_Caption5517"/>
      <w:bookmarkStart w:id="1543" w:name="_Caption7356"/>
      <w:bookmarkStart w:id="1544" w:name="_Caption6446"/>
      <w:bookmarkStart w:id="1545" w:name="_Caption7221"/>
      <w:bookmarkStart w:id="1546" w:name="_Caption3114"/>
      <w:bookmarkStart w:id="1547" w:name="_Caption9922"/>
      <w:bookmarkStart w:id="1548" w:name="_Caption4891"/>
      <w:bookmarkStart w:id="1549" w:name="_Caption9560"/>
      <w:bookmarkStart w:id="1550" w:name="_Caption2200"/>
      <w:bookmarkStart w:id="1551" w:name="_Caption0494"/>
      <w:bookmarkStart w:id="1552" w:name="_Caption8155"/>
      <w:bookmarkStart w:id="1553" w:name="_Caption2871"/>
      <w:bookmarkStart w:id="1554" w:name="_Caption5638"/>
      <w:bookmarkStart w:id="1555" w:name="_Caption7745"/>
      <w:bookmarkStart w:id="1556" w:name="_Caption6305"/>
      <w:bookmarkStart w:id="1557" w:name="_Caption6992"/>
      <w:bookmarkStart w:id="1558" w:name="_Caption1032"/>
      <w:bookmarkStart w:id="1559" w:name="_Caption7030"/>
      <w:bookmarkStart w:id="1560" w:name="_Caption6673"/>
      <w:bookmarkStart w:id="1561" w:name="_Caption8071"/>
      <w:bookmarkStart w:id="1562" w:name="_Caption7101"/>
      <w:bookmarkStart w:id="1563" w:name="_Caption4205"/>
      <w:bookmarkStart w:id="1564" w:name="_Caption5911"/>
      <w:bookmarkStart w:id="1565" w:name="_Caption7662"/>
      <w:bookmarkStart w:id="1566" w:name="_Caption1461"/>
      <w:bookmarkStart w:id="1567" w:name="_Caption4523"/>
      <w:bookmarkStart w:id="1568" w:name="_Caption1637"/>
      <w:bookmarkStart w:id="1569" w:name="_Caption1439"/>
      <w:bookmarkStart w:id="1570" w:name="_Caption2240"/>
      <w:bookmarkStart w:id="1571" w:name="_Caption2627"/>
      <w:bookmarkStart w:id="1572" w:name="_Caption1684"/>
      <w:bookmarkStart w:id="1573" w:name="_Caption8575"/>
      <w:bookmarkStart w:id="1574" w:name="_Caption4823"/>
      <w:bookmarkStart w:id="1575" w:name="_Caption8210"/>
      <w:bookmarkStart w:id="1576" w:name="_Caption4042"/>
      <w:bookmarkStart w:id="1577" w:name="_Caption4264"/>
      <w:bookmarkStart w:id="1578" w:name="_Caption8962"/>
      <w:bookmarkStart w:id="1579" w:name="_Caption4237"/>
      <w:bookmarkStart w:id="1580" w:name="_Caption2183"/>
      <w:bookmarkStart w:id="1581" w:name="_Caption3578"/>
      <w:bookmarkStart w:id="1582" w:name="_Caption0251"/>
      <w:bookmarkStart w:id="1583" w:name="_Caption4639"/>
      <w:bookmarkStart w:id="1584" w:name="_Caption3700"/>
      <w:bookmarkStart w:id="1585" w:name="_Caption2052"/>
      <w:bookmarkStart w:id="1586" w:name="_Caption2418"/>
      <w:bookmarkStart w:id="1587" w:name="_Caption0931"/>
      <w:bookmarkStart w:id="1588" w:name="_Caption1584"/>
      <w:bookmarkStart w:id="1589" w:name="_Caption8600"/>
      <w:bookmarkStart w:id="1590" w:name="_Caption0773"/>
      <w:bookmarkStart w:id="1591" w:name="_Caption0880"/>
      <w:bookmarkStart w:id="1592" w:name="_Caption4444"/>
      <w:bookmarkStart w:id="1593" w:name="_Caption8441"/>
      <w:bookmarkStart w:id="1594" w:name="_Caption9579"/>
      <w:bookmarkStart w:id="1595" w:name="_Caption1932"/>
      <w:bookmarkStart w:id="1596" w:name="_Caption0962"/>
      <w:bookmarkStart w:id="1597" w:name="_Caption6609"/>
      <w:bookmarkStart w:id="1598" w:name="_Caption8365"/>
      <w:bookmarkStart w:id="1599" w:name="_Caption9264"/>
      <w:bookmarkStart w:id="1600" w:name="_Caption6348"/>
      <w:bookmarkStart w:id="1601" w:name="_Caption6355"/>
      <w:bookmarkStart w:id="1602" w:name="_Caption4598"/>
      <w:bookmarkStart w:id="1603" w:name="_Caption7141"/>
      <w:bookmarkStart w:id="1604" w:name="_Caption2693"/>
      <w:bookmarkStart w:id="1605" w:name="_Caption8881"/>
      <w:bookmarkStart w:id="1606" w:name="_Caption8454"/>
      <w:bookmarkStart w:id="1607" w:name="_Caption6690"/>
      <w:bookmarkStart w:id="1608" w:name="_Caption2845"/>
      <w:bookmarkStart w:id="1609" w:name="_Caption4071"/>
      <w:bookmarkStart w:id="1610" w:name="_Caption2350"/>
      <w:bookmarkStart w:id="1611" w:name="_Caption8252"/>
      <w:bookmarkStart w:id="1612" w:name="_Caption6301"/>
      <w:bookmarkStart w:id="1613" w:name="_Caption6158"/>
      <w:bookmarkStart w:id="1614" w:name="_Caption0628"/>
      <w:bookmarkStart w:id="1615" w:name="_Caption6759"/>
      <w:bookmarkStart w:id="1616" w:name="_Caption3865"/>
      <w:bookmarkStart w:id="1617" w:name="_Caption3414"/>
      <w:bookmarkStart w:id="1618" w:name="_Caption1799"/>
      <w:bookmarkStart w:id="1619" w:name="_Caption1917"/>
      <w:bookmarkStart w:id="1620" w:name="_Caption3799"/>
      <w:bookmarkStart w:id="1621" w:name="_Caption7764"/>
      <w:bookmarkStart w:id="1622" w:name="_Caption7105"/>
      <w:bookmarkStart w:id="1623" w:name="_Caption3394"/>
      <w:bookmarkStart w:id="1624" w:name="_Caption9099"/>
      <w:bookmarkStart w:id="1625" w:name="_Caption1809"/>
      <w:bookmarkStart w:id="1626" w:name="_Caption2319"/>
      <w:bookmarkStart w:id="1627" w:name="_Caption5803"/>
      <w:bookmarkStart w:id="1628" w:name="_Caption8086"/>
      <w:bookmarkStart w:id="1629" w:name="_Caption7304"/>
      <w:bookmarkStart w:id="1630" w:name="_Caption4563"/>
      <w:bookmarkStart w:id="1631" w:name="_Caption5758"/>
      <w:bookmarkStart w:id="1632" w:name="_Caption5879"/>
      <w:bookmarkStart w:id="1633" w:name="_Caption2829"/>
      <w:bookmarkStart w:id="1634" w:name="_Caption7998"/>
      <w:bookmarkStart w:id="1635" w:name="_Caption2919"/>
      <w:bookmarkStart w:id="1636" w:name="_Caption2059"/>
      <w:bookmarkStart w:id="1637" w:name="_Caption3652"/>
      <w:bookmarkStart w:id="1638" w:name="_Caption8995"/>
      <w:bookmarkStart w:id="1639" w:name="_Caption4048"/>
      <w:bookmarkStart w:id="1640" w:name="_Caption4700"/>
      <w:bookmarkStart w:id="1641" w:name="_Caption6822"/>
      <w:bookmarkStart w:id="1642" w:name="_Caption6279"/>
      <w:bookmarkStart w:id="1643" w:name="_Caption4390"/>
      <w:bookmarkStart w:id="1644" w:name="_Caption0311"/>
      <w:bookmarkStart w:id="1645" w:name="_Caption5680"/>
      <w:bookmarkStart w:id="1646" w:name="_Caption0171"/>
      <w:bookmarkStart w:id="1647" w:name="_Caption4327"/>
      <w:bookmarkStart w:id="1648" w:name="_Caption3821"/>
      <w:bookmarkStart w:id="1649" w:name="_Caption4749"/>
      <w:bookmarkStart w:id="1650" w:name="_Caption4711"/>
      <w:bookmarkStart w:id="1651" w:name="_Caption5640"/>
      <w:bookmarkStart w:id="1652" w:name="_Caption9464"/>
      <w:bookmarkStart w:id="1653" w:name="_Caption4337"/>
      <w:bookmarkStart w:id="1654" w:name="_Caption3977"/>
      <w:bookmarkStart w:id="1655" w:name="_Caption8022"/>
      <w:bookmarkStart w:id="1656" w:name="_Caption7807"/>
      <w:bookmarkStart w:id="1657" w:name="_Caption3113"/>
      <w:bookmarkStart w:id="1658" w:name="_Caption0727"/>
      <w:bookmarkStart w:id="1659" w:name="_Caption1644"/>
      <w:bookmarkStart w:id="1660" w:name="_Caption8553"/>
      <w:bookmarkStart w:id="1661" w:name="_Caption7528"/>
      <w:bookmarkStart w:id="1662" w:name="_Toc24977948"/>
      <w:bookmarkStart w:id="1663" w:name="_Toc32321801"/>
      <w:bookmarkStart w:id="1664" w:name="_Toc44598494"/>
      <w:bookmarkStart w:id="1665" w:name="_Toc45654125"/>
      <w:r w:rsidR="00272AF3">
        <w:rPr>
          <w:noProof/>
        </w:rPr>
        <w:t>2</w:t>
      </w:r>
      <w:r w:rsidR="00272AF3" w:rsidRPr="00695C93">
        <w:rPr>
          <w:noProof/>
        </w:rPr>
        <w:t>.</w:t>
      </w:r>
      <w:r w:rsidR="00272AF3">
        <w:rPr>
          <w:noProof/>
        </w:rPr>
        <w:t>10</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r w:rsidRPr="00695C93">
        <w:fldChar w:fldCharType="end"/>
      </w:r>
      <w:r w:rsidRPr="00695C93">
        <w:tab/>
      </w:r>
      <w:r>
        <w:t>Summary of other services</w:t>
      </w:r>
      <w:bookmarkEnd w:id="1662"/>
      <w:bookmarkEnd w:id="1663"/>
      <w:bookmarkEnd w:id="1664"/>
      <w:bookmarkEnd w:id="1665"/>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2.10"/>
        <w:tblDescription w:val="Summary of other services"/>
      </w:tblPr>
      <w:tblGrid>
        <w:gridCol w:w="2645"/>
        <w:gridCol w:w="2033"/>
        <w:gridCol w:w="3259"/>
      </w:tblGrid>
      <w:tr w:rsidR="007C6A5F" w:rsidTr="008F015F">
        <w:trPr>
          <w:tblHeader/>
        </w:trPr>
        <w:tc>
          <w:tcPr>
            <w:tcW w:w="2645" w:type="dxa"/>
            <w:tcBorders>
              <w:bottom w:val="single" w:sz="8" w:space="0" w:color="FFFFFF" w:themeColor="background1"/>
            </w:tcBorders>
            <w:shd w:val="clear" w:color="auto" w:fill="6F6652" w:themeFill="accent5"/>
          </w:tcPr>
          <w:p w:rsidR="007C6A5F" w:rsidRDefault="007C6A5F" w:rsidP="00C36DA4">
            <w:pPr>
              <w:pStyle w:val="TableTextColumnHeading"/>
              <w:rPr>
                <w:lang w:bidi="fa-IR"/>
              </w:rPr>
            </w:pPr>
            <w:r>
              <w:rPr>
                <w:lang w:bidi="fa-IR"/>
              </w:rPr>
              <w:t>Organisation</w:t>
            </w:r>
          </w:p>
        </w:tc>
        <w:tc>
          <w:tcPr>
            <w:tcW w:w="2033" w:type="dxa"/>
            <w:tcBorders>
              <w:bottom w:val="single" w:sz="8" w:space="0" w:color="FFFFFF" w:themeColor="background1"/>
            </w:tcBorders>
            <w:shd w:val="clear" w:color="auto" w:fill="6F6652" w:themeFill="accent5"/>
          </w:tcPr>
          <w:p w:rsidR="007C6A5F" w:rsidRDefault="007C6A5F" w:rsidP="00C36DA4">
            <w:pPr>
              <w:pStyle w:val="TableTextColumnHeading"/>
              <w:rPr>
                <w:lang w:bidi="fa-IR"/>
              </w:rPr>
            </w:pPr>
            <w:r>
              <w:rPr>
                <w:lang w:bidi="fa-IR"/>
              </w:rPr>
              <w:t>States</w:t>
            </w:r>
          </w:p>
        </w:tc>
        <w:tc>
          <w:tcPr>
            <w:tcW w:w="3259" w:type="dxa"/>
            <w:tcBorders>
              <w:bottom w:val="single" w:sz="8" w:space="0" w:color="FFFFFF" w:themeColor="background1"/>
            </w:tcBorders>
            <w:shd w:val="clear" w:color="auto" w:fill="6F6652" w:themeFill="accent5"/>
          </w:tcPr>
          <w:p w:rsidR="007C6A5F" w:rsidRDefault="007C6A5F" w:rsidP="00C36DA4">
            <w:pPr>
              <w:pStyle w:val="TableTextColumnHeading"/>
              <w:rPr>
                <w:lang w:bidi="fa-IR"/>
              </w:rPr>
            </w:pPr>
            <w:r>
              <w:rPr>
                <w:lang w:bidi="fa-IR"/>
              </w:rPr>
              <w:t>Summary of services</w:t>
            </w:r>
          </w:p>
        </w:tc>
      </w:tr>
      <w:tr w:rsidR="007C6A5F" w:rsidTr="007C7C4C">
        <w:tc>
          <w:tcPr>
            <w:tcW w:w="264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Disability Housing</w:t>
            </w:r>
          </w:p>
        </w:tc>
        <w:tc>
          <w:tcPr>
            <w:tcW w:w="20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All States</w:t>
            </w:r>
          </w:p>
        </w:tc>
        <w:tc>
          <w:tcPr>
            <w:tcW w:w="325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Listings of rental housing, houses for sale and disability housing projects</w:t>
            </w:r>
          </w:p>
        </w:tc>
      </w:tr>
      <w:tr w:rsidR="007C6A5F" w:rsidTr="007C7C4C">
        <w:tc>
          <w:tcPr>
            <w:tcW w:w="264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The Housing Hub</w:t>
            </w:r>
          </w:p>
        </w:tc>
        <w:tc>
          <w:tcPr>
            <w:tcW w:w="20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All States</w:t>
            </w:r>
          </w:p>
        </w:tc>
        <w:tc>
          <w:tcPr>
            <w:tcW w:w="325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Lists SDA and supported accommodation.</w:t>
            </w:r>
          </w:p>
          <w:p w:rsidR="007C6A5F" w:rsidRDefault="007C6A5F" w:rsidP="00C36DA4">
            <w:pPr>
              <w:pStyle w:val="TableTextEntries"/>
              <w:rPr>
                <w:lang w:bidi="fa-IR"/>
              </w:rPr>
            </w:pPr>
            <w:r>
              <w:rPr>
                <w:lang w:bidi="fa-IR"/>
              </w:rPr>
              <w:t>Also lists some private rentals.</w:t>
            </w:r>
          </w:p>
        </w:tc>
      </w:tr>
      <w:tr w:rsidR="007C6A5F" w:rsidTr="007C7C4C">
        <w:tc>
          <w:tcPr>
            <w:tcW w:w="264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Nest</w:t>
            </w:r>
          </w:p>
        </w:tc>
        <w:tc>
          <w:tcPr>
            <w:tcW w:w="20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All States</w:t>
            </w:r>
          </w:p>
        </w:tc>
        <w:tc>
          <w:tcPr>
            <w:tcW w:w="325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Matches people with disability with houses that suit their funding, support and personal needs.</w:t>
            </w:r>
          </w:p>
        </w:tc>
      </w:tr>
      <w:tr w:rsidR="007C6A5F" w:rsidTr="007C7C4C">
        <w:tc>
          <w:tcPr>
            <w:tcW w:w="264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Housing Choices Australia</w:t>
            </w:r>
          </w:p>
        </w:tc>
        <w:tc>
          <w:tcPr>
            <w:tcW w:w="20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Victoria</w:t>
            </w:r>
          </w:p>
          <w:p w:rsidR="007C6A5F" w:rsidRDefault="007C6A5F" w:rsidP="00C36DA4">
            <w:pPr>
              <w:pStyle w:val="TableTextEntries"/>
              <w:rPr>
                <w:lang w:bidi="fa-IR"/>
              </w:rPr>
            </w:pPr>
            <w:r>
              <w:rPr>
                <w:lang w:bidi="fa-IR"/>
              </w:rPr>
              <w:t>Tasmania</w:t>
            </w:r>
          </w:p>
          <w:p w:rsidR="007C6A5F" w:rsidRDefault="007C6A5F" w:rsidP="00C36DA4">
            <w:pPr>
              <w:pStyle w:val="TableTextEntries"/>
              <w:rPr>
                <w:lang w:bidi="fa-IR"/>
              </w:rPr>
            </w:pPr>
            <w:r>
              <w:rPr>
                <w:lang w:bidi="fa-IR"/>
              </w:rPr>
              <w:t>South Australia</w:t>
            </w:r>
          </w:p>
        </w:tc>
        <w:tc>
          <w:tcPr>
            <w:tcW w:w="325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Not for profit group that houses people with disability in city and country areas.</w:t>
            </w:r>
          </w:p>
        </w:tc>
      </w:tr>
      <w:tr w:rsidR="007C6A5F" w:rsidTr="007C7C4C">
        <w:tc>
          <w:tcPr>
            <w:tcW w:w="264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The Endeavour Foundation</w:t>
            </w:r>
          </w:p>
        </w:tc>
        <w:tc>
          <w:tcPr>
            <w:tcW w:w="20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Queensland</w:t>
            </w:r>
          </w:p>
          <w:p w:rsidR="007C6A5F" w:rsidRDefault="007C6A5F" w:rsidP="00C36DA4">
            <w:pPr>
              <w:pStyle w:val="TableTextEntries"/>
              <w:rPr>
                <w:lang w:bidi="fa-IR"/>
              </w:rPr>
            </w:pPr>
            <w:r>
              <w:rPr>
                <w:lang w:bidi="fa-IR"/>
              </w:rPr>
              <w:t>Victoria</w:t>
            </w:r>
          </w:p>
          <w:p w:rsidR="007C6A5F" w:rsidRDefault="007C6A5F" w:rsidP="00C36DA4">
            <w:pPr>
              <w:pStyle w:val="TableTextEntries"/>
              <w:rPr>
                <w:lang w:bidi="fa-IR"/>
              </w:rPr>
            </w:pPr>
            <w:r>
              <w:rPr>
                <w:lang w:bidi="fa-IR"/>
              </w:rPr>
              <w:t>New South Wales</w:t>
            </w:r>
          </w:p>
        </w:tc>
        <w:tc>
          <w:tcPr>
            <w:tcW w:w="325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A range of housing options where people get help to live on their own.</w:t>
            </w:r>
          </w:p>
        </w:tc>
      </w:tr>
      <w:tr w:rsidR="007C6A5F" w:rsidTr="007C7C4C">
        <w:tc>
          <w:tcPr>
            <w:tcW w:w="264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Freedom Housing</w:t>
            </w:r>
          </w:p>
        </w:tc>
        <w:tc>
          <w:tcPr>
            <w:tcW w:w="20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All States</w:t>
            </w:r>
          </w:p>
        </w:tc>
        <w:tc>
          <w:tcPr>
            <w:tcW w:w="325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Makes it possible for people with a disability to live in a house or apartment with their partner, children, extended family, friends, housemates, or on their own with around the clock support as required.</w:t>
            </w:r>
          </w:p>
        </w:tc>
      </w:tr>
      <w:tr w:rsidR="007C6A5F" w:rsidTr="007C7C4C">
        <w:tc>
          <w:tcPr>
            <w:tcW w:w="264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Accessible Housing</w:t>
            </w:r>
          </w:p>
        </w:tc>
        <w:tc>
          <w:tcPr>
            <w:tcW w:w="20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South Australia</w:t>
            </w:r>
          </w:p>
        </w:tc>
        <w:tc>
          <w:tcPr>
            <w:tcW w:w="325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Not for profit group that helps people with disability find affordable housing.</w:t>
            </w:r>
          </w:p>
        </w:tc>
      </w:tr>
      <w:tr w:rsidR="007C6A5F" w:rsidTr="007C7C4C">
        <w:tc>
          <w:tcPr>
            <w:tcW w:w="264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E-bility</w:t>
            </w:r>
          </w:p>
        </w:tc>
        <w:tc>
          <w:tcPr>
            <w:tcW w:w="20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All States</w:t>
            </w:r>
          </w:p>
        </w:tc>
        <w:tc>
          <w:tcPr>
            <w:tcW w:w="325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Advertises wheelchair accessible properties</w:t>
            </w:r>
          </w:p>
        </w:tc>
      </w:tr>
      <w:tr w:rsidR="007C6A5F" w:rsidTr="007C7C4C">
        <w:tc>
          <w:tcPr>
            <w:tcW w:w="2645"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TextEntries"/>
              <w:rPr>
                <w:lang w:bidi="fa-IR"/>
              </w:rPr>
            </w:pPr>
            <w:r>
              <w:rPr>
                <w:lang w:bidi="fa-IR"/>
              </w:rPr>
              <w:t>Home Hunters Relocation</w:t>
            </w:r>
          </w:p>
        </w:tc>
        <w:tc>
          <w:tcPr>
            <w:tcW w:w="2033"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TextEntries"/>
              <w:rPr>
                <w:lang w:bidi="fa-IR"/>
              </w:rPr>
            </w:pPr>
            <w:r>
              <w:rPr>
                <w:lang w:bidi="fa-IR"/>
              </w:rPr>
              <w:t>All States</w:t>
            </w:r>
          </w:p>
        </w:tc>
        <w:tc>
          <w:tcPr>
            <w:tcW w:w="3259"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TextEntries"/>
              <w:rPr>
                <w:lang w:bidi="fa-IR"/>
              </w:rPr>
            </w:pPr>
            <w:r>
              <w:rPr>
                <w:lang w:bidi="fa-IR"/>
              </w:rPr>
              <w:t>Can assist to find accessible housing</w:t>
            </w:r>
          </w:p>
        </w:tc>
      </w:tr>
    </w:tbl>
    <w:p w:rsidR="007C6A5F" w:rsidRDefault="007C6A5F" w:rsidP="007C6A5F">
      <w:pPr>
        <w:pStyle w:val="Source"/>
        <w:rPr>
          <w:lang w:bidi="fa-IR"/>
        </w:rPr>
      </w:pPr>
      <w:r w:rsidRPr="00D818BC">
        <w:rPr>
          <w:i/>
          <w:lang w:bidi="fa-IR"/>
        </w:rPr>
        <w:t>Source:</w:t>
      </w:r>
      <w:r>
        <w:rPr>
          <w:lang w:bidi="fa-IR"/>
        </w:rPr>
        <w:t xml:space="preserve"> Spinal Cord Injuries Australia website</w:t>
      </w:r>
      <w:r w:rsidRPr="00851588">
        <w:t xml:space="preserve">, </w:t>
      </w:r>
      <w:hyperlink r:id="rId27" w:history="1">
        <w:r w:rsidRPr="00851588">
          <w:rPr>
            <w:lang w:eastAsia="en-AU"/>
          </w:rPr>
          <w:t>https://scia.org.au/accessible-housing/</w:t>
        </w:r>
      </w:hyperlink>
      <w:r w:rsidRPr="00851588">
        <w:rPr>
          <w:rFonts w:eastAsiaTheme="minorEastAsia"/>
        </w:rPr>
        <w:t>, accessed 14 October 2019.</w:t>
      </w:r>
    </w:p>
    <w:p w:rsidR="007C6A5F" w:rsidRDefault="007C6A5F" w:rsidP="007C6A5F">
      <w:pPr>
        <w:pStyle w:val="Heading2"/>
        <w:numPr>
          <w:ilvl w:val="1"/>
          <w:numId w:val="5"/>
        </w:numPr>
        <w:rPr>
          <w:lang w:bidi="fa-IR"/>
        </w:rPr>
      </w:pPr>
      <w:bookmarkStart w:id="1666" w:name="_Toc32321748"/>
      <w:bookmarkStart w:id="1667" w:name="_Toc44598436"/>
      <w:bookmarkStart w:id="1668" w:name="_Toc45654067"/>
      <w:bookmarkStart w:id="1669" w:name="_Toc24977926"/>
      <w:r>
        <w:rPr>
          <w:lang w:bidi="fa-IR"/>
        </w:rPr>
        <w:t>Housing outcomes under current policy settings</w:t>
      </w:r>
      <w:bookmarkEnd w:id="1666"/>
      <w:bookmarkEnd w:id="1667"/>
      <w:bookmarkEnd w:id="1668"/>
    </w:p>
    <w:p w:rsidR="007C6A5F" w:rsidDel="00430366" w:rsidRDefault="007C6A5F" w:rsidP="007C6A5F">
      <w:pPr>
        <w:pStyle w:val="BodyText"/>
        <w:rPr>
          <w:lang w:eastAsia="en-US" w:bidi="fa-IR"/>
        </w:rPr>
      </w:pPr>
      <w:r w:rsidDel="00430366">
        <w:rPr>
          <w:lang w:eastAsia="en-US" w:bidi="fa-IR"/>
        </w:rPr>
        <w:t xml:space="preserve">The type of dwellings </w:t>
      </w:r>
      <w:r w:rsidR="00864A96">
        <w:rPr>
          <w:lang w:eastAsia="en-US" w:bidi="fa-IR"/>
        </w:rPr>
        <w:t xml:space="preserve">that </w:t>
      </w:r>
      <w:r w:rsidDel="00430366">
        <w:rPr>
          <w:lang w:eastAsia="en-US" w:bidi="fa-IR"/>
        </w:rPr>
        <w:t>people identified as having mobility</w:t>
      </w:r>
      <w:r w:rsidR="00864A96">
        <w:rPr>
          <w:lang w:eastAsia="en-US" w:bidi="fa-IR"/>
        </w:rPr>
        <w:noBreakHyphen/>
        <w:t xml:space="preserve">related disabilities </w:t>
      </w:r>
      <w:r w:rsidDel="00430366">
        <w:rPr>
          <w:lang w:eastAsia="en-US" w:bidi="fa-IR"/>
        </w:rPr>
        <w:t>are currently residing in is shown in table </w:t>
      </w:r>
      <w:r>
        <w:rPr>
          <w:lang w:eastAsia="en-US" w:bidi="fa-IR"/>
        </w:rPr>
        <w:fldChar w:fldCharType="begin"/>
      </w:r>
      <w:r>
        <w:rPr>
          <w:lang w:eastAsia="en-US" w:bidi="fa-IR"/>
        </w:rPr>
        <w:instrText xml:space="preserve"> REF _Caption4506 </w:instrText>
      </w:r>
      <w:r>
        <w:rPr>
          <w:lang w:eastAsia="en-US" w:bidi="fa-IR"/>
        </w:rPr>
        <w:fldChar w:fldCharType="separate"/>
      </w:r>
      <w:r>
        <w:rPr>
          <w:noProof/>
        </w:rPr>
        <w:t>2</w:t>
      </w:r>
      <w:r w:rsidRPr="00695C93" w:rsidDel="00430366">
        <w:rPr>
          <w:noProof/>
        </w:rPr>
        <w:t>.</w:t>
      </w:r>
      <w:r>
        <w:rPr>
          <w:noProof/>
        </w:rPr>
        <w:t>11</w:t>
      </w:r>
      <w:r>
        <w:rPr>
          <w:lang w:eastAsia="en-US" w:bidi="fa-IR"/>
        </w:rPr>
        <w:fldChar w:fldCharType="end"/>
      </w:r>
      <w:r w:rsidDel="00430366">
        <w:rPr>
          <w:lang w:eastAsia="en-US" w:bidi="fa-IR"/>
        </w:rPr>
        <w:t xml:space="preserve">. According to the 2018 SDAC, around </w:t>
      </w:r>
      <w:r w:rsidRPr="005C3997" w:rsidDel="00430366">
        <w:rPr>
          <w:lang w:eastAsia="en-US" w:bidi="fa-IR"/>
        </w:rPr>
        <w:t xml:space="preserve">92 per cent </w:t>
      </w:r>
      <w:r w:rsidRPr="005C3997">
        <w:rPr>
          <w:lang w:eastAsia="en-US" w:bidi="fa-IR"/>
        </w:rPr>
        <w:t xml:space="preserve">of people with a mobility limitation </w:t>
      </w:r>
      <w:r w:rsidRPr="005C3997" w:rsidDel="00430366">
        <w:rPr>
          <w:lang w:eastAsia="en-US" w:bidi="fa-IR"/>
        </w:rPr>
        <w:t>are living in private dwellings, including around 75 per cent in separate houses.</w:t>
      </w:r>
    </w:p>
    <w:p w:rsidR="007C6A5F" w:rsidDel="00430366" w:rsidRDefault="007C6A5F" w:rsidP="007C6A5F">
      <w:pPr>
        <w:pStyle w:val="Caption"/>
      </w:pPr>
      <w:r w:rsidRPr="00695C93" w:rsidDel="00430366">
        <w:fldChar w:fldCharType="begin"/>
      </w:r>
      <w:r w:rsidRPr="00695C93" w:rsidDel="00430366">
        <w:instrText xml:space="preserve"> IF 1 = 1 "</w:instrText>
      </w:r>
      <w:r w:rsidRPr="00695C93" w:rsidDel="00430366">
        <w:fldChar w:fldCharType="begin"/>
      </w:r>
      <w:r w:rsidRPr="00695C93" w:rsidDel="00430366">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rsidDel="00430366">
        <w:instrText xml:space="preserve"> = 0 "</w:instrText>
      </w:r>
      <w:r w:rsidRPr="00695C93" w:rsidDel="00430366">
        <w:fldChar w:fldCharType="begin"/>
      </w:r>
      <w:r w:rsidRPr="00695C93" w:rsidDel="00430366">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rsidDel="00430366">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rsidDel="00430366">
        <w:instrText xml:space="preserve">." </w:instrText>
      </w:r>
      <w:r w:rsidRPr="00695C93" w:rsidDel="00430366">
        <w:fldChar w:fldCharType="separate"/>
      </w:r>
      <w:r>
        <w:rPr>
          <w:noProof/>
        </w:rPr>
        <w:instrText>2</w:instrText>
      </w:r>
      <w:r w:rsidRPr="00695C93" w:rsidDel="00430366">
        <w:rPr>
          <w:noProof/>
        </w:rPr>
        <w:instrText>.</w:instrText>
      </w:r>
      <w:r w:rsidRPr="00695C93" w:rsidDel="00430366">
        <w:fldChar w:fldCharType="end"/>
      </w:r>
      <w:r w:rsidRPr="00695C93" w:rsidDel="00430366">
        <w:instrText>" "</w:instrText>
      </w:r>
      <w:r w:rsidR="00F56BFF">
        <w:fldChar w:fldCharType="begin"/>
      </w:r>
      <w:r w:rsidR="00F56BFF">
        <w:instrText xml:space="preserve"> STYLEREF "Heading 6" \l \n </w:instrText>
      </w:r>
      <w:r w:rsidR="00F56BFF">
        <w:fldChar w:fldCharType="separate"/>
      </w:r>
      <w:r w:rsidRPr="00695C93" w:rsidDel="00430366">
        <w:instrText>B</w:instrText>
      </w:r>
      <w:r w:rsidR="00F56BFF">
        <w:fldChar w:fldCharType="end"/>
      </w:r>
      <w:r w:rsidRPr="00695C93" w:rsidDel="00430366">
        <w:instrText xml:space="preserve">." </w:instrText>
      </w:r>
      <w:r w:rsidRPr="00695C93" w:rsidDel="00430366">
        <w:fldChar w:fldCharType="separate"/>
      </w:r>
      <w:r w:rsidR="00272AF3">
        <w:rPr>
          <w:noProof/>
        </w:rPr>
        <w:instrText>2</w:instrText>
      </w:r>
      <w:r w:rsidR="00272AF3" w:rsidRPr="00695C93" w:rsidDel="00430366">
        <w:rPr>
          <w:noProof/>
        </w:rPr>
        <w:instrText>.</w:instrText>
      </w:r>
      <w:r w:rsidRPr="00695C93" w:rsidDel="00430366">
        <w:fldChar w:fldCharType="end"/>
      </w:r>
      <w:r w:rsidRPr="00695C93" w:rsidDel="00430366">
        <w:fldChar w:fldCharType="begin"/>
      </w:r>
      <w:r w:rsidRPr="00695C93" w:rsidDel="00430366">
        <w:instrText xml:space="preserve"> SEQ Item \* ARABIC \s </w:instrText>
      </w:r>
      <w:r w:rsidRPr="00695C93" w:rsidDel="00430366">
        <w:fldChar w:fldCharType="begin"/>
      </w:r>
      <w:r w:rsidRPr="00695C93" w:rsidDel="00430366">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rsidDel="00430366">
        <w:instrText xml:space="preserve"> = 0 "</w:instrText>
      </w:r>
      <w:r w:rsidRPr="00695C93" w:rsidDel="00430366">
        <w:fldChar w:fldCharType="begin"/>
      </w:r>
      <w:r w:rsidRPr="00695C93" w:rsidDel="00430366">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rsidDel="00430366">
        <w:instrText xml:space="preserve"> = 0 "" "1" </w:instrText>
      </w:r>
      <w:r w:rsidRPr="00695C93" w:rsidDel="00430366">
        <w:fldChar w:fldCharType="separate"/>
      </w:r>
      <w:r w:rsidR="00272AF3" w:rsidRPr="00695C93" w:rsidDel="00430366">
        <w:rPr>
          <w:noProof/>
        </w:rPr>
        <w:instrText>1</w:instrText>
      </w:r>
      <w:r w:rsidRPr="00695C93" w:rsidDel="00430366">
        <w:fldChar w:fldCharType="end"/>
      </w:r>
      <w:r w:rsidRPr="00695C93" w:rsidDel="00430366">
        <w:instrText xml:space="preserve">" "6" </w:instrText>
      </w:r>
      <w:r w:rsidRPr="00695C93" w:rsidDel="00430366">
        <w:fldChar w:fldCharType="separate"/>
      </w:r>
      <w:r w:rsidR="00272AF3" w:rsidRPr="00695C93" w:rsidDel="00430366">
        <w:rPr>
          <w:noProof/>
        </w:rPr>
        <w:instrText>1</w:instrText>
      </w:r>
      <w:r w:rsidRPr="00695C93" w:rsidDel="00430366">
        <w:fldChar w:fldCharType="end"/>
      </w:r>
      <w:r w:rsidRPr="00695C93" w:rsidDel="00430366">
        <w:instrText xml:space="preserve"> </w:instrText>
      </w:r>
      <w:r w:rsidRPr="00695C93" w:rsidDel="00430366">
        <w:fldChar w:fldCharType="separate"/>
      </w:r>
      <w:r>
        <w:rPr>
          <w:noProof/>
        </w:rPr>
        <w:instrText>11</w:instrText>
      </w:r>
      <w:r w:rsidRPr="00695C93" w:rsidDel="00430366">
        <w:fldChar w:fldCharType="end"/>
      </w:r>
      <w:r w:rsidRPr="00695C93" w:rsidDel="00430366">
        <w:instrText xml:space="preserve">" "" </w:instrText>
      </w:r>
      <w:r w:rsidRPr="00695C93" w:rsidDel="00430366">
        <w:fldChar w:fldCharType="separate"/>
      </w:r>
      <w:bookmarkStart w:id="1670" w:name="_Caption9959"/>
      <w:bookmarkStart w:id="1671" w:name="_Caption5376"/>
      <w:bookmarkStart w:id="1672" w:name="_Caption2011"/>
      <w:bookmarkStart w:id="1673" w:name="_Caption7421"/>
      <w:bookmarkStart w:id="1674" w:name="_Caption0453"/>
      <w:bookmarkStart w:id="1675" w:name="_Caption4879"/>
      <w:bookmarkStart w:id="1676" w:name="_Caption3514"/>
      <w:bookmarkStart w:id="1677" w:name="_Caption5105"/>
      <w:bookmarkStart w:id="1678" w:name="_Caption1038"/>
      <w:bookmarkStart w:id="1679" w:name="_Caption5823"/>
      <w:bookmarkStart w:id="1680" w:name="_Caption6944"/>
      <w:bookmarkStart w:id="1681" w:name="_Caption7324"/>
      <w:bookmarkStart w:id="1682" w:name="_Caption3765"/>
      <w:bookmarkStart w:id="1683" w:name="_Caption0374"/>
      <w:bookmarkStart w:id="1684" w:name="_Caption4121"/>
      <w:bookmarkStart w:id="1685" w:name="_Caption5433"/>
      <w:bookmarkStart w:id="1686" w:name="_Caption2804"/>
      <w:bookmarkStart w:id="1687" w:name="_Caption8181"/>
      <w:bookmarkStart w:id="1688" w:name="_Caption7515"/>
      <w:bookmarkStart w:id="1689" w:name="_Caption0484"/>
      <w:bookmarkStart w:id="1690" w:name="_Caption0831"/>
      <w:bookmarkStart w:id="1691" w:name="_Caption0990"/>
      <w:bookmarkStart w:id="1692" w:name="_Caption4621"/>
      <w:bookmarkStart w:id="1693" w:name="_Caption6766"/>
      <w:bookmarkStart w:id="1694" w:name="_Caption9665"/>
      <w:bookmarkStart w:id="1695" w:name="_Caption2373"/>
      <w:bookmarkStart w:id="1696" w:name="_Caption6114"/>
      <w:bookmarkStart w:id="1697" w:name="_Caption3545"/>
      <w:bookmarkStart w:id="1698" w:name="_Caption6929"/>
      <w:bookmarkStart w:id="1699" w:name="_Caption9812"/>
      <w:bookmarkStart w:id="1700" w:name="_Caption9972"/>
      <w:bookmarkStart w:id="1701" w:name="_Caption2285"/>
      <w:bookmarkStart w:id="1702" w:name="_Caption2482"/>
      <w:bookmarkStart w:id="1703" w:name="_Caption1245"/>
      <w:bookmarkStart w:id="1704" w:name="_Caption3951"/>
      <w:bookmarkStart w:id="1705" w:name="_Caption0078"/>
      <w:bookmarkStart w:id="1706" w:name="_Caption5209"/>
      <w:bookmarkStart w:id="1707" w:name="_Caption6738"/>
      <w:bookmarkStart w:id="1708" w:name="_Caption3936"/>
      <w:bookmarkStart w:id="1709" w:name="_Caption1762"/>
      <w:bookmarkStart w:id="1710" w:name="_Caption7991"/>
      <w:bookmarkStart w:id="1711" w:name="_Caption4195"/>
      <w:bookmarkStart w:id="1712" w:name="_Caption5736"/>
      <w:bookmarkStart w:id="1713" w:name="_Caption9459"/>
      <w:bookmarkStart w:id="1714" w:name="_Caption5922"/>
      <w:bookmarkStart w:id="1715" w:name="_Caption9344"/>
      <w:bookmarkStart w:id="1716" w:name="_Caption3397"/>
      <w:bookmarkStart w:id="1717" w:name="_Caption2428"/>
      <w:bookmarkStart w:id="1718" w:name="_Caption6119"/>
      <w:bookmarkStart w:id="1719" w:name="_Caption3029"/>
      <w:bookmarkStart w:id="1720" w:name="_Caption5710"/>
      <w:bookmarkStart w:id="1721" w:name="_Caption8754"/>
      <w:bookmarkStart w:id="1722" w:name="_Caption2534"/>
      <w:bookmarkStart w:id="1723" w:name="_Caption7115"/>
      <w:bookmarkStart w:id="1724" w:name="_Caption1112"/>
      <w:bookmarkStart w:id="1725" w:name="_Caption7550"/>
      <w:bookmarkStart w:id="1726" w:name="_Caption1438"/>
      <w:bookmarkStart w:id="1727" w:name="_Caption8760"/>
      <w:bookmarkStart w:id="1728" w:name="_Caption9279"/>
      <w:bookmarkStart w:id="1729" w:name="_Caption8485"/>
      <w:bookmarkStart w:id="1730" w:name="_Caption2361"/>
      <w:bookmarkStart w:id="1731" w:name="_Caption0407"/>
      <w:bookmarkStart w:id="1732" w:name="_Caption9626"/>
      <w:bookmarkStart w:id="1733" w:name="_Caption6576"/>
      <w:bookmarkStart w:id="1734" w:name="_Caption7167"/>
      <w:bookmarkStart w:id="1735" w:name="_Caption0710"/>
      <w:bookmarkStart w:id="1736" w:name="_Caption4461"/>
      <w:bookmarkStart w:id="1737" w:name="_Caption6851"/>
      <w:bookmarkStart w:id="1738" w:name="_Caption5470"/>
      <w:bookmarkStart w:id="1739" w:name="_Caption3217"/>
      <w:bookmarkStart w:id="1740" w:name="_Caption8347"/>
      <w:bookmarkStart w:id="1741" w:name="_Caption0667"/>
      <w:bookmarkStart w:id="1742" w:name="_Caption3416"/>
      <w:bookmarkStart w:id="1743" w:name="_Caption5461"/>
      <w:bookmarkStart w:id="1744" w:name="_Caption8601"/>
      <w:bookmarkStart w:id="1745" w:name="_Caption2043"/>
      <w:bookmarkStart w:id="1746" w:name="_Caption2166"/>
      <w:bookmarkStart w:id="1747" w:name="_Caption4506"/>
      <w:bookmarkStart w:id="1748" w:name="_Caption9844"/>
      <w:bookmarkStart w:id="1749" w:name="_Caption6179"/>
      <w:bookmarkStart w:id="1750" w:name="_Caption2705"/>
      <w:bookmarkStart w:id="1751" w:name="_Caption9616"/>
      <w:bookmarkStart w:id="1752" w:name="_Caption8866"/>
      <w:bookmarkStart w:id="1753" w:name="_Caption1070"/>
      <w:bookmarkStart w:id="1754" w:name="_Caption1549"/>
      <w:bookmarkStart w:id="1755" w:name="_Caption3597"/>
      <w:bookmarkStart w:id="1756" w:name="_Caption9802"/>
      <w:bookmarkStart w:id="1757" w:name="_Caption9539"/>
      <w:bookmarkStart w:id="1758" w:name="_Caption3335"/>
      <w:bookmarkStart w:id="1759" w:name="_Caption0837"/>
      <w:bookmarkStart w:id="1760" w:name="_Caption5474"/>
      <w:bookmarkStart w:id="1761" w:name="_Caption3194"/>
      <w:bookmarkStart w:id="1762" w:name="_Caption8371"/>
      <w:bookmarkStart w:id="1763" w:name="_Caption1041"/>
      <w:bookmarkStart w:id="1764" w:name="_Caption1261"/>
      <w:bookmarkStart w:id="1765" w:name="_Caption1431"/>
      <w:bookmarkStart w:id="1766" w:name="_Caption5655"/>
      <w:bookmarkStart w:id="1767" w:name="_Caption6025"/>
      <w:bookmarkStart w:id="1768" w:name="_Caption8646"/>
      <w:bookmarkStart w:id="1769" w:name="_Caption2001"/>
      <w:bookmarkStart w:id="1770" w:name="_Caption2925"/>
      <w:bookmarkStart w:id="1771" w:name="_Caption7489"/>
      <w:bookmarkStart w:id="1772" w:name="_Caption5088"/>
      <w:bookmarkStart w:id="1773" w:name="_Caption6131"/>
      <w:bookmarkStart w:id="1774" w:name="_Caption3856"/>
      <w:bookmarkStart w:id="1775" w:name="_Caption0164"/>
      <w:bookmarkStart w:id="1776" w:name="_Caption5721"/>
      <w:bookmarkStart w:id="1777" w:name="_Caption0277"/>
      <w:bookmarkStart w:id="1778" w:name="_Caption3073"/>
      <w:bookmarkStart w:id="1779" w:name="_Caption9269"/>
      <w:bookmarkStart w:id="1780" w:name="_Caption3574"/>
      <w:bookmarkStart w:id="1781" w:name="_Caption5245"/>
      <w:bookmarkStart w:id="1782" w:name="_Caption1581"/>
      <w:bookmarkStart w:id="1783" w:name="_Caption9851"/>
      <w:bookmarkStart w:id="1784" w:name="_Caption5001"/>
      <w:bookmarkStart w:id="1785" w:name="_Caption6471"/>
      <w:bookmarkStart w:id="1786" w:name="_Caption9863"/>
      <w:bookmarkStart w:id="1787" w:name="_Caption8815"/>
      <w:bookmarkStart w:id="1788" w:name="_Caption3006"/>
      <w:bookmarkStart w:id="1789" w:name="_Caption3438"/>
      <w:bookmarkStart w:id="1790" w:name="_Caption2251"/>
      <w:bookmarkStart w:id="1791" w:name="_Caption7553"/>
      <w:bookmarkStart w:id="1792" w:name="_Caption2228"/>
      <w:bookmarkStart w:id="1793" w:name="_Toc32321802"/>
      <w:bookmarkStart w:id="1794" w:name="_Toc44598495"/>
      <w:bookmarkStart w:id="1795" w:name="_Toc45654126"/>
      <w:r w:rsidR="00272AF3">
        <w:rPr>
          <w:noProof/>
        </w:rPr>
        <w:t>2</w:t>
      </w:r>
      <w:r w:rsidR="00272AF3" w:rsidRPr="00695C93" w:rsidDel="00430366">
        <w:rPr>
          <w:noProof/>
        </w:rPr>
        <w:t>.</w:t>
      </w:r>
      <w:r w:rsidR="00272AF3">
        <w:rPr>
          <w:noProof/>
        </w:rPr>
        <w:t>11</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r w:rsidRPr="00695C93" w:rsidDel="00430366">
        <w:fldChar w:fldCharType="end"/>
      </w:r>
      <w:r w:rsidRPr="00695C93" w:rsidDel="00430366">
        <w:tab/>
      </w:r>
      <w:r w:rsidDel="00430366">
        <w:t>Type of dwelling</w:t>
      </w:r>
      <w:bookmarkEnd w:id="1793"/>
      <w:bookmarkEnd w:id="1794"/>
      <w:bookmarkEnd w:id="1795"/>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2.11"/>
        <w:tblDescription w:val="Type of dwelling"/>
      </w:tblPr>
      <w:tblGrid>
        <w:gridCol w:w="1419"/>
        <w:gridCol w:w="1983"/>
        <w:gridCol w:w="680"/>
        <w:gridCol w:w="964"/>
        <w:gridCol w:w="963"/>
        <w:gridCol w:w="964"/>
        <w:gridCol w:w="964"/>
      </w:tblGrid>
      <w:tr w:rsidR="008F015F" w:rsidRPr="00CE3411" w:rsidDel="00430366" w:rsidTr="008F015F">
        <w:trPr>
          <w:trHeight w:val="230"/>
          <w:tblHeader/>
        </w:trPr>
        <w:tc>
          <w:tcPr>
            <w:tcW w:w="1419" w:type="dxa"/>
            <w:shd w:val="clear" w:color="auto" w:fill="6F6652" w:themeFill="accent5"/>
          </w:tcPr>
          <w:p w:rsidR="008F015F" w:rsidRPr="00CE3411" w:rsidDel="00430366" w:rsidRDefault="008F015F" w:rsidP="00C36DA4">
            <w:pPr>
              <w:pStyle w:val="TableDataColumnHeading"/>
              <w:jc w:val="left"/>
              <w:rPr>
                <w:lang w:val="en-GB"/>
              </w:rPr>
            </w:pPr>
            <w:r>
              <w:rPr>
                <w:lang w:val="en-GB"/>
              </w:rPr>
              <w:t>Type</w:t>
            </w:r>
          </w:p>
        </w:tc>
        <w:tc>
          <w:tcPr>
            <w:tcW w:w="1983" w:type="dxa"/>
            <w:shd w:val="clear" w:color="auto" w:fill="6F6652" w:themeFill="accent5"/>
          </w:tcPr>
          <w:p w:rsidR="008F015F" w:rsidRPr="00CE3411" w:rsidDel="00430366" w:rsidRDefault="008F015F" w:rsidP="00C36DA4">
            <w:pPr>
              <w:pStyle w:val="TableDataColumnHeading"/>
              <w:jc w:val="left"/>
              <w:rPr>
                <w:lang w:val="en-GB"/>
              </w:rPr>
            </w:pPr>
            <w:r>
              <w:rPr>
                <w:lang w:val="en-GB"/>
              </w:rPr>
              <w:t>Dwelling</w:t>
            </w:r>
          </w:p>
        </w:tc>
        <w:tc>
          <w:tcPr>
            <w:tcW w:w="680" w:type="dxa"/>
            <w:shd w:val="clear" w:color="auto" w:fill="6F6652" w:themeFill="accent5"/>
          </w:tcPr>
          <w:p w:rsidR="008F015F" w:rsidRPr="00CE3411" w:rsidDel="00430366" w:rsidRDefault="008F015F" w:rsidP="00C36DA4">
            <w:pPr>
              <w:pStyle w:val="TableDataColumnHeading"/>
              <w:rPr>
                <w:lang w:val="en-GB"/>
              </w:rPr>
            </w:pPr>
            <w:r w:rsidRPr="00CE3411" w:rsidDel="00430366">
              <w:rPr>
                <w:lang w:val="en-GB"/>
              </w:rPr>
              <w:t>0-14 years</w:t>
            </w:r>
            <w:r>
              <w:rPr>
                <w:lang w:val="en-GB"/>
              </w:rPr>
              <w:br/>
              <w:t>(‘000)</w:t>
            </w:r>
          </w:p>
        </w:tc>
        <w:tc>
          <w:tcPr>
            <w:tcW w:w="964" w:type="dxa"/>
            <w:shd w:val="clear" w:color="auto" w:fill="6F6652" w:themeFill="accent5"/>
          </w:tcPr>
          <w:p w:rsidR="008F015F" w:rsidRPr="00CE3411" w:rsidDel="00430366" w:rsidRDefault="008F015F" w:rsidP="00C36DA4">
            <w:pPr>
              <w:pStyle w:val="TableDataColumnHeading"/>
              <w:rPr>
                <w:lang w:val="en-GB"/>
              </w:rPr>
            </w:pPr>
            <w:r w:rsidRPr="00CE3411" w:rsidDel="00430366">
              <w:rPr>
                <w:lang w:val="en-GB"/>
              </w:rPr>
              <w:t>15-64 years</w:t>
            </w:r>
            <w:r>
              <w:rPr>
                <w:lang w:val="en-GB"/>
              </w:rPr>
              <w:br/>
              <w:t>(‘000)</w:t>
            </w:r>
          </w:p>
        </w:tc>
        <w:tc>
          <w:tcPr>
            <w:tcW w:w="963" w:type="dxa"/>
            <w:shd w:val="clear" w:color="auto" w:fill="6F6652" w:themeFill="accent5"/>
          </w:tcPr>
          <w:p w:rsidR="008F015F" w:rsidRPr="00CE3411" w:rsidDel="00430366" w:rsidRDefault="008F015F" w:rsidP="00C36DA4">
            <w:pPr>
              <w:pStyle w:val="TableDataColumnHeading"/>
              <w:rPr>
                <w:lang w:val="en-GB"/>
              </w:rPr>
            </w:pPr>
            <w:r w:rsidRPr="00CE3411" w:rsidDel="00430366">
              <w:rPr>
                <w:lang w:val="en-GB"/>
              </w:rPr>
              <w:t>65+ years</w:t>
            </w:r>
            <w:r>
              <w:rPr>
                <w:lang w:val="en-GB"/>
              </w:rPr>
              <w:br/>
              <w:t>(‘000)</w:t>
            </w:r>
          </w:p>
        </w:tc>
        <w:tc>
          <w:tcPr>
            <w:tcW w:w="964" w:type="dxa"/>
            <w:shd w:val="clear" w:color="auto" w:fill="6F6652" w:themeFill="accent5"/>
          </w:tcPr>
          <w:p w:rsidR="008F015F" w:rsidRPr="00CE3411" w:rsidDel="00430366" w:rsidRDefault="008F015F" w:rsidP="00C36DA4">
            <w:pPr>
              <w:pStyle w:val="TableDataColumnHeading"/>
              <w:rPr>
                <w:lang w:val="en-GB"/>
              </w:rPr>
            </w:pPr>
            <w:r w:rsidRPr="00CE3411" w:rsidDel="00430366">
              <w:rPr>
                <w:lang w:val="en-GB"/>
              </w:rPr>
              <w:t>Total</w:t>
            </w:r>
            <w:r>
              <w:rPr>
                <w:lang w:val="en-GB"/>
              </w:rPr>
              <w:br/>
              <w:t>(‘000)</w:t>
            </w:r>
          </w:p>
        </w:tc>
        <w:tc>
          <w:tcPr>
            <w:tcW w:w="964" w:type="dxa"/>
            <w:shd w:val="clear" w:color="auto" w:fill="6F6652" w:themeFill="accent5"/>
          </w:tcPr>
          <w:p w:rsidR="008F015F" w:rsidRPr="00CE3411" w:rsidDel="00430366" w:rsidRDefault="008F015F" w:rsidP="00C36DA4">
            <w:pPr>
              <w:pStyle w:val="TableDataColumnHeading"/>
              <w:rPr>
                <w:lang w:val="en-GB"/>
              </w:rPr>
            </w:pPr>
            <w:r w:rsidRPr="00CE3411" w:rsidDel="00430366">
              <w:rPr>
                <w:lang w:val="en-GB"/>
              </w:rPr>
              <w:t>Share of total</w:t>
            </w:r>
            <w:r>
              <w:rPr>
                <w:lang w:val="en-GB"/>
              </w:rPr>
              <w:br/>
              <w:t>(per cent)</w:t>
            </w:r>
          </w:p>
        </w:tc>
      </w:tr>
      <w:tr w:rsidR="008F015F" w:rsidDel="00430366" w:rsidTr="008F015F">
        <w:trPr>
          <w:trHeight w:val="230"/>
        </w:trPr>
        <w:tc>
          <w:tcPr>
            <w:tcW w:w="1419"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jc w:val="left"/>
              <w:rPr>
                <w:lang w:val="en-GB"/>
              </w:rPr>
            </w:pPr>
            <w:r>
              <w:rPr>
                <w:lang w:val="en-GB"/>
              </w:rPr>
              <w:t>Establishments</w:t>
            </w:r>
          </w:p>
        </w:tc>
        <w:tc>
          <w:tcPr>
            <w:tcW w:w="1983"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jc w:val="left"/>
              <w:rPr>
                <w:lang w:val="en-GB"/>
              </w:rPr>
            </w:pPr>
            <w:r w:rsidDel="00430366">
              <w:rPr>
                <w:lang w:val="en-GB"/>
              </w:rPr>
              <w:t>Hospital (general)</w:t>
            </w:r>
          </w:p>
        </w:tc>
        <w:tc>
          <w:tcPr>
            <w:tcW w:w="680"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0.0</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0.5</w:t>
            </w:r>
          </w:p>
        </w:tc>
        <w:tc>
          <w:tcPr>
            <w:tcW w:w="963"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2.6</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3.2</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0.1</w:t>
            </w:r>
          </w:p>
        </w:tc>
      </w:tr>
      <w:tr w:rsidR="008F015F" w:rsidDel="00430366" w:rsidTr="008F015F">
        <w:trPr>
          <w:trHeight w:val="230"/>
        </w:trPr>
        <w:tc>
          <w:tcPr>
            <w:tcW w:w="1419"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jc w:val="left"/>
              <w:rPr>
                <w:lang w:val="en-GB"/>
              </w:rPr>
            </w:pPr>
            <w:r w:rsidRPr="00B4225E">
              <w:rPr>
                <w:lang w:val="en-GB"/>
              </w:rPr>
              <w:lastRenderedPageBreak/>
              <w:t>Establishments</w:t>
            </w:r>
          </w:p>
        </w:tc>
        <w:tc>
          <w:tcPr>
            <w:tcW w:w="1983"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jc w:val="left"/>
              <w:rPr>
                <w:lang w:val="en-GB"/>
              </w:rPr>
            </w:pPr>
            <w:r w:rsidDel="00430366">
              <w:rPr>
                <w:lang w:val="en-GB"/>
              </w:rPr>
              <w:t>Hospital (other)</w:t>
            </w:r>
          </w:p>
        </w:tc>
        <w:tc>
          <w:tcPr>
            <w:tcW w:w="680"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0.0</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0.6</w:t>
            </w:r>
          </w:p>
        </w:tc>
        <w:tc>
          <w:tcPr>
            <w:tcW w:w="963"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0.1</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0.7</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0.0</w:t>
            </w:r>
          </w:p>
        </w:tc>
      </w:tr>
      <w:tr w:rsidR="008F015F" w:rsidDel="00430366" w:rsidTr="008F015F">
        <w:trPr>
          <w:trHeight w:val="230"/>
        </w:trPr>
        <w:tc>
          <w:tcPr>
            <w:tcW w:w="1419"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jc w:val="left"/>
              <w:rPr>
                <w:lang w:val="en-GB"/>
              </w:rPr>
            </w:pPr>
            <w:r w:rsidRPr="00B4225E">
              <w:rPr>
                <w:lang w:val="en-GB"/>
              </w:rPr>
              <w:t>Establishments</w:t>
            </w:r>
          </w:p>
        </w:tc>
        <w:tc>
          <w:tcPr>
            <w:tcW w:w="1983"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jc w:val="left"/>
              <w:rPr>
                <w:lang w:val="en-GB"/>
              </w:rPr>
            </w:pPr>
            <w:r w:rsidDel="00430366">
              <w:rPr>
                <w:lang w:val="en-GB"/>
              </w:rPr>
              <w:t>Home for the aged</w:t>
            </w:r>
          </w:p>
        </w:tc>
        <w:tc>
          <w:tcPr>
            <w:tcW w:w="680"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0.0</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3.0</w:t>
            </w:r>
          </w:p>
        </w:tc>
        <w:tc>
          <w:tcPr>
            <w:tcW w:w="963"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75.2</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78.2</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2.6</w:t>
            </w:r>
          </w:p>
        </w:tc>
      </w:tr>
      <w:tr w:rsidR="008F015F" w:rsidDel="00430366" w:rsidTr="008F015F">
        <w:trPr>
          <w:trHeight w:val="230"/>
        </w:trPr>
        <w:tc>
          <w:tcPr>
            <w:tcW w:w="1419"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jc w:val="left"/>
              <w:rPr>
                <w:lang w:val="en-GB"/>
              </w:rPr>
            </w:pPr>
            <w:r w:rsidRPr="00B4225E">
              <w:rPr>
                <w:lang w:val="en-GB"/>
              </w:rPr>
              <w:t>Establishments</w:t>
            </w:r>
          </w:p>
        </w:tc>
        <w:tc>
          <w:tcPr>
            <w:tcW w:w="1983"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jc w:val="left"/>
              <w:rPr>
                <w:lang w:val="en-GB"/>
              </w:rPr>
            </w:pPr>
            <w:r w:rsidDel="00430366">
              <w:rPr>
                <w:lang w:val="en-GB"/>
              </w:rPr>
              <w:t>Home (other)</w:t>
            </w:r>
          </w:p>
        </w:tc>
        <w:tc>
          <w:tcPr>
            <w:tcW w:w="680"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0.0</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3.0</w:t>
            </w:r>
          </w:p>
        </w:tc>
        <w:tc>
          <w:tcPr>
            <w:tcW w:w="963"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1.2</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4.0</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0.1</w:t>
            </w:r>
          </w:p>
        </w:tc>
      </w:tr>
      <w:tr w:rsidR="008F015F" w:rsidDel="00430366" w:rsidTr="008F015F">
        <w:trPr>
          <w:trHeight w:val="230"/>
        </w:trPr>
        <w:tc>
          <w:tcPr>
            <w:tcW w:w="1419"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jc w:val="left"/>
              <w:rPr>
                <w:lang w:val="en-GB"/>
              </w:rPr>
            </w:pPr>
            <w:r w:rsidRPr="00B4225E">
              <w:rPr>
                <w:lang w:val="en-GB"/>
              </w:rPr>
              <w:t>Establishments</w:t>
            </w:r>
          </w:p>
        </w:tc>
        <w:tc>
          <w:tcPr>
            <w:tcW w:w="1983"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jc w:val="left"/>
              <w:rPr>
                <w:lang w:val="en-GB"/>
              </w:rPr>
            </w:pPr>
            <w:r w:rsidDel="00430366">
              <w:rPr>
                <w:lang w:val="en-GB"/>
              </w:rPr>
              <w:t>Retired/aged accommodation (cared)</w:t>
            </w:r>
          </w:p>
        </w:tc>
        <w:tc>
          <w:tcPr>
            <w:tcW w:w="680"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0.0</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4.6</w:t>
            </w:r>
          </w:p>
        </w:tc>
        <w:tc>
          <w:tcPr>
            <w:tcW w:w="963"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93.5</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98.1</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3.2</w:t>
            </w:r>
          </w:p>
        </w:tc>
      </w:tr>
      <w:tr w:rsidR="008F015F" w:rsidDel="00430366" w:rsidTr="008F015F">
        <w:trPr>
          <w:trHeight w:val="230"/>
        </w:trPr>
        <w:tc>
          <w:tcPr>
            <w:tcW w:w="1419"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jc w:val="left"/>
              <w:rPr>
                <w:lang w:val="en-GB"/>
              </w:rPr>
            </w:pPr>
            <w:r w:rsidRPr="00B4225E">
              <w:rPr>
                <w:lang w:val="en-GB"/>
              </w:rPr>
              <w:t>Establishments</w:t>
            </w:r>
          </w:p>
        </w:tc>
        <w:tc>
          <w:tcPr>
            <w:tcW w:w="1983"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jc w:val="left"/>
              <w:rPr>
                <w:lang w:val="en-GB"/>
              </w:rPr>
            </w:pPr>
            <w:r w:rsidDel="00430366">
              <w:rPr>
                <w:lang w:val="en-GB"/>
              </w:rPr>
              <w:t>Retired/aged accommodation (self-care)</w:t>
            </w:r>
          </w:p>
        </w:tc>
        <w:tc>
          <w:tcPr>
            <w:tcW w:w="680"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0.0</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4.7</w:t>
            </w:r>
          </w:p>
        </w:tc>
        <w:tc>
          <w:tcPr>
            <w:tcW w:w="963"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43.9</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49.0</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1.6</w:t>
            </w:r>
          </w:p>
        </w:tc>
      </w:tr>
      <w:tr w:rsidR="008F015F" w:rsidRPr="008F015F" w:rsidDel="00430366" w:rsidTr="008F015F">
        <w:trPr>
          <w:trHeight w:val="230"/>
        </w:trPr>
        <w:tc>
          <w:tcPr>
            <w:tcW w:w="1419" w:type="dxa"/>
            <w:tcBorders>
              <w:top w:val="single" w:sz="8" w:space="0" w:color="FFFFFF" w:themeColor="background1"/>
              <w:bottom w:val="single" w:sz="8" w:space="0" w:color="FFFFFF" w:themeColor="background1"/>
            </w:tcBorders>
            <w:shd w:val="clear" w:color="auto" w:fill="C2DADB" w:themeFill="accent6" w:themeFillTint="99"/>
          </w:tcPr>
          <w:p w:rsidR="008F015F" w:rsidRPr="008F015F" w:rsidDel="00430366" w:rsidRDefault="008F015F" w:rsidP="008F015F">
            <w:pPr>
              <w:pStyle w:val="TableDataEntries"/>
              <w:jc w:val="left"/>
              <w:rPr>
                <w:rFonts w:ascii="Franklin Gothic Demi" w:hAnsi="Franklin Gothic Demi"/>
                <w:lang w:val="en-GB"/>
              </w:rPr>
            </w:pPr>
            <w:r w:rsidRPr="008F015F">
              <w:rPr>
                <w:rFonts w:ascii="Franklin Gothic Demi" w:hAnsi="Franklin Gothic Demi"/>
                <w:lang w:val="en-GB"/>
              </w:rPr>
              <w:t>Establishments</w:t>
            </w:r>
          </w:p>
        </w:tc>
        <w:tc>
          <w:tcPr>
            <w:tcW w:w="1983" w:type="dxa"/>
            <w:tcBorders>
              <w:top w:val="single" w:sz="8" w:space="0" w:color="FFFFFF" w:themeColor="background1"/>
              <w:bottom w:val="single" w:sz="8" w:space="0" w:color="FFFFFF" w:themeColor="background1"/>
            </w:tcBorders>
            <w:shd w:val="clear" w:color="auto" w:fill="C2DADB" w:themeFill="accent6" w:themeFillTint="99"/>
          </w:tcPr>
          <w:p w:rsidR="008F015F" w:rsidRPr="008F015F" w:rsidDel="00430366" w:rsidRDefault="008F015F" w:rsidP="008F015F">
            <w:pPr>
              <w:pStyle w:val="TableDataEntries"/>
              <w:jc w:val="left"/>
              <w:rPr>
                <w:rFonts w:ascii="Franklin Gothic Demi" w:hAnsi="Franklin Gothic Demi"/>
                <w:lang w:val="en-GB"/>
              </w:rPr>
            </w:pPr>
            <w:r w:rsidRPr="008F015F" w:rsidDel="00430366">
              <w:rPr>
                <w:rFonts w:ascii="Franklin Gothic Demi" w:hAnsi="Franklin Gothic Demi"/>
                <w:lang w:val="en-GB"/>
              </w:rPr>
              <w:t>Total establishment</w:t>
            </w:r>
          </w:p>
        </w:tc>
        <w:tc>
          <w:tcPr>
            <w:tcW w:w="680" w:type="dxa"/>
            <w:tcBorders>
              <w:top w:val="single" w:sz="8" w:space="0" w:color="FFFFFF" w:themeColor="background1"/>
              <w:bottom w:val="single" w:sz="8" w:space="0" w:color="FFFFFF" w:themeColor="background1"/>
            </w:tcBorders>
            <w:shd w:val="clear" w:color="auto" w:fill="C2DADB" w:themeFill="accent6" w:themeFillTint="99"/>
          </w:tcPr>
          <w:p w:rsidR="008F015F" w:rsidRPr="008F015F" w:rsidDel="00430366" w:rsidRDefault="008F015F" w:rsidP="008F015F">
            <w:pPr>
              <w:pStyle w:val="TableDataEntries"/>
              <w:rPr>
                <w:rFonts w:ascii="Franklin Gothic Demi" w:hAnsi="Franklin Gothic Demi"/>
                <w:lang w:val="en-GB"/>
              </w:rPr>
            </w:pPr>
            <w:r w:rsidRPr="008F015F" w:rsidDel="00430366">
              <w:rPr>
                <w:rFonts w:ascii="Franklin Gothic Demi" w:hAnsi="Franklin Gothic Demi"/>
                <w:lang w:val="en-GB"/>
              </w:rPr>
              <w:t xml:space="preserve"> 0.0</w:t>
            </w:r>
          </w:p>
        </w:tc>
        <w:tc>
          <w:tcPr>
            <w:tcW w:w="964" w:type="dxa"/>
            <w:tcBorders>
              <w:top w:val="single" w:sz="8" w:space="0" w:color="FFFFFF" w:themeColor="background1"/>
              <w:bottom w:val="single" w:sz="8" w:space="0" w:color="FFFFFF" w:themeColor="background1"/>
            </w:tcBorders>
            <w:shd w:val="clear" w:color="auto" w:fill="C2DADB" w:themeFill="accent6" w:themeFillTint="99"/>
          </w:tcPr>
          <w:p w:rsidR="008F015F" w:rsidRPr="008F015F" w:rsidDel="00430366" w:rsidRDefault="008F015F" w:rsidP="008F015F">
            <w:pPr>
              <w:pStyle w:val="TableDataEntries"/>
              <w:rPr>
                <w:rFonts w:ascii="Franklin Gothic Demi" w:hAnsi="Franklin Gothic Demi"/>
                <w:lang w:val="en-GB"/>
              </w:rPr>
            </w:pPr>
            <w:r w:rsidRPr="008F015F" w:rsidDel="00430366">
              <w:rPr>
                <w:rFonts w:ascii="Franklin Gothic Demi" w:hAnsi="Franklin Gothic Demi"/>
                <w:lang w:val="en-GB"/>
              </w:rPr>
              <w:t xml:space="preserve"> 16.4</w:t>
            </w:r>
          </w:p>
        </w:tc>
        <w:tc>
          <w:tcPr>
            <w:tcW w:w="963" w:type="dxa"/>
            <w:tcBorders>
              <w:top w:val="single" w:sz="8" w:space="0" w:color="FFFFFF" w:themeColor="background1"/>
              <w:bottom w:val="single" w:sz="8" w:space="0" w:color="FFFFFF" w:themeColor="background1"/>
            </w:tcBorders>
            <w:shd w:val="clear" w:color="auto" w:fill="C2DADB" w:themeFill="accent6" w:themeFillTint="99"/>
          </w:tcPr>
          <w:p w:rsidR="008F015F" w:rsidRPr="008F015F" w:rsidDel="00430366" w:rsidRDefault="008F015F" w:rsidP="008F015F">
            <w:pPr>
              <w:pStyle w:val="TableDataEntries"/>
              <w:rPr>
                <w:rFonts w:ascii="Franklin Gothic Demi" w:hAnsi="Franklin Gothic Demi"/>
                <w:lang w:val="en-GB"/>
              </w:rPr>
            </w:pPr>
            <w:r w:rsidRPr="008F015F" w:rsidDel="00430366">
              <w:rPr>
                <w:rFonts w:ascii="Franklin Gothic Demi" w:hAnsi="Franklin Gothic Demi"/>
                <w:lang w:val="en-GB"/>
              </w:rPr>
              <w:t xml:space="preserve"> 216.5</w:t>
            </w:r>
          </w:p>
        </w:tc>
        <w:tc>
          <w:tcPr>
            <w:tcW w:w="964" w:type="dxa"/>
            <w:tcBorders>
              <w:top w:val="single" w:sz="8" w:space="0" w:color="FFFFFF" w:themeColor="background1"/>
              <w:bottom w:val="single" w:sz="8" w:space="0" w:color="FFFFFF" w:themeColor="background1"/>
            </w:tcBorders>
            <w:shd w:val="clear" w:color="auto" w:fill="C2DADB" w:themeFill="accent6" w:themeFillTint="99"/>
          </w:tcPr>
          <w:p w:rsidR="008F015F" w:rsidRPr="008F015F" w:rsidDel="00430366" w:rsidRDefault="008F015F" w:rsidP="008F015F">
            <w:pPr>
              <w:pStyle w:val="TableDataEntries"/>
              <w:rPr>
                <w:rFonts w:ascii="Franklin Gothic Demi" w:hAnsi="Franklin Gothic Demi"/>
                <w:lang w:val="en-GB"/>
              </w:rPr>
            </w:pPr>
            <w:r w:rsidRPr="008F015F" w:rsidDel="00430366">
              <w:rPr>
                <w:rFonts w:ascii="Franklin Gothic Demi" w:hAnsi="Franklin Gothic Demi"/>
                <w:lang w:val="en-GB"/>
              </w:rPr>
              <w:t xml:space="preserve"> 233.2</w:t>
            </w:r>
          </w:p>
        </w:tc>
        <w:tc>
          <w:tcPr>
            <w:tcW w:w="964" w:type="dxa"/>
            <w:tcBorders>
              <w:top w:val="single" w:sz="8" w:space="0" w:color="FFFFFF" w:themeColor="background1"/>
              <w:bottom w:val="single" w:sz="8" w:space="0" w:color="FFFFFF" w:themeColor="background1"/>
            </w:tcBorders>
            <w:shd w:val="clear" w:color="auto" w:fill="C2DADB" w:themeFill="accent6" w:themeFillTint="99"/>
          </w:tcPr>
          <w:p w:rsidR="008F015F" w:rsidRPr="008F015F" w:rsidDel="00430366" w:rsidRDefault="008F015F" w:rsidP="008F015F">
            <w:pPr>
              <w:pStyle w:val="TableDataEntries"/>
              <w:rPr>
                <w:rFonts w:ascii="Franklin Gothic Demi" w:hAnsi="Franklin Gothic Demi"/>
                <w:lang w:val="en-GB"/>
              </w:rPr>
            </w:pPr>
            <w:r w:rsidRPr="008F015F" w:rsidDel="00430366">
              <w:rPr>
                <w:rFonts w:ascii="Franklin Gothic Demi" w:hAnsi="Franklin Gothic Demi"/>
                <w:lang w:val="en-GB"/>
              </w:rPr>
              <w:t xml:space="preserve"> 7.7</w:t>
            </w:r>
          </w:p>
        </w:tc>
      </w:tr>
      <w:tr w:rsidR="008F015F" w:rsidDel="00430366" w:rsidTr="008F015F">
        <w:trPr>
          <w:trHeight w:val="230"/>
        </w:trPr>
        <w:tc>
          <w:tcPr>
            <w:tcW w:w="1419"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jc w:val="left"/>
              <w:rPr>
                <w:lang w:val="en-GB"/>
              </w:rPr>
            </w:pPr>
            <w:r>
              <w:rPr>
                <w:lang w:val="en-GB"/>
              </w:rPr>
              <w:t>Private dwelling</w:t>
            </w:r>
          </w:p>
        </w:tc>
        <w:tc>
          <w:tcPr>
            <w:tcW w:w="1983"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jc w:val="left"/>
              <w:rPr>
                <w:lang w:val="en-GB"/>
              </w:rPr>
            </w:pPr>
            <w:r w:rsidDel="00430366">
              <w:rPr>
                <w:lang w:val="en-GB"/>
              </w:rPr>
              <w:t>Separate house</w:t>
            </w:r>
          </w:p>
        </w:tc>
        <w:tc>
          <w:tcPr>
            <w:tcW w:w="680"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205.6</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1 087.5</w:t>
            </w:r>
          </w:p>
        </w:tc>
        <w:tc>
          <w:tcPr>
            <w:tcW w:w="963"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984.3</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2 278.8</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75.1</w:t>
            </w:r>
          </w:p>
        </w:tc>
      </w:tr>
      <w:tr w:rsidR="008F015F" w:rsidDel="00430366" w:rsidTr="008F015F">
        <w:trPr>
          <w:trHeight w:val="230"/>
        </w:trPr>
        <w:tc>
          <w:tcPr>
            <w:tcW w:w="1419"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jc w:val="left"/>
              <w:rPr>
                <w:lang w:val="en-GB"/>
              </w:rPr>
            </w:pPr>
            <w:r w:rsidRPr="00387AEC">
              <w:rPr>
                <w:lang w:val="en-GB"/>
              </w:rPr>
              <w:t>Private dwelling</w:t>
            </w:r>
          </w:p>
        </w:tc>
        <w:tc>
          <w:tcPr>
            <w:tcW w:w="1983"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jc w:val="left"/>
              <w:rPr>
                <w:lang w:val="en-GB"/>
              </w:rPr>
            </w:pPr>
            <w:r w:rsidDel="00430366">
              <w:rPr>
                <w:lang w:val="en-GB"/>
              </w:rPr>
              <w:t>Townhouse</w:t>
            </w:r>
          </w:p>
        </w:tc>
        <w:tc>
          <w:tcPr>
            <w:tcW w:w="680"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16.0</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149.6</w:t>
            </w:r>
          </w:p>
        </w:tc>
        <w:tc>
          <w:tcPr>
            <w:tcW w:w="963"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170.6</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336.4</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11.1</w:t>
            </w:r>
          </w:p>
        </w:tc>
      </w:tr>
      <w:tr w:rsidR="008F015F" w:rsidDel="00430366" w:rsidTr="008F015F">
        <w:trPr>
          <w:trHeight w:val="230"/>
        </w:trPr>
        <w:tc>
          <w:tcPr>
            <w:tcW w:w="1419"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jc w:val="left"/>
              <w:rPr>
                <w:lang w:val="en-GB"/>
              </w:rPr>
            </w:pPr>
            <w:r w:rsidRPr="00387AEC">
              <w:rPr>
                <w:lang w:val="en-GB"/>
              </w:rPr>
              <w:t>Private dwelling</w:t>
            </w:r>
          </w:p>
        </w:tc>
        <w:tc>
          <w:tcPr>
            <w:tcW w:w="1983"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jc w:val="left"/>
              <w:rPr>
                <w:lang w:val="en-GB"/>
              </w:rPr>
            </w:pPr>
            <w:r w:rsidDel="00430366">
              <w:rPr>
                <w:lang w:val="en-GB"/>
              </w:rPr>
              <w:t>Flat/apartment</w:t>
            </w:r>
          </w:p>
        </w:tc>
        <w:tc>
          <w:tcPr>
            <w:tcW w:w="680"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8.3</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87.6</w:t>
            </w:r>
          </w:p>
        </w:tc>
        <w:tc>
          <w:tcPr>
            <w:tcW w:w="963"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78.0</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178.7</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5.9</w:t>
            </w:r>
          </w:p>
        </w:tc>
      </w:tr>
      <w:tr w:rsidR="008F015F" w:rsidDel="00430366" w:rsidTr="008F015F">
        <w:trPr>
          <w:trHeight w:val="230"/>
        </w:trPr>
        <w:tc>
          <w:tcPr>
            <w:tcW w:w="1419"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jc w:val="left"/>
              <w:rPr>
                <w:lang w:val="en-GB"/>
              </w:rPr>
            </w:pPr>
            <w:r w:rsidRPr="00387AEC">
              <w:rPr>
                <w:lang w:val="en-GB"/>
              </w:rPr>
              <w:t>Private dwelling</w:t>
            </w:r>
          </w:p>
        </w:tc>
        <w:tc>
          <w:tcPr>
            <w:tcW w:w="1983"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jc w:val="left"/>
              <w:rPr>
                <w:lang w:val="en-GB"/>
              </w:rPr>
            </w:pPr>
            <w:r w:rsidDel="00430366">
              <w:rPr>
                <w:lang w:val="en-GB"/>
              </w:rPr>
              <w:t>Other</w:t>
            </w:r>
          </w:p>
        </w:tc>
        <w:tc>
          <w:tcPr>
            <w:tcW w:w="680"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0.0</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5.6</w:t>
            </w:r>
          </w:p>
        </w:tc>
        <w:tc>
          <w:tcPr>
            <w:tcW w:w="963"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2.7</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6.3</w:t>
            </w:r>
          </w:p>
        </w:tc>
        <w:tc>
          <w:tcPr>
            <w:tcW w:w="964" w:type="dxa"/>
            <w:tcBorders>
              <w:top w:val="single" w:sz="8" w:space="0" w:color="FFFFFF" w:themeColor="background1"/>
              <w:bottom w:val="single" w:sz="8" w:space="0" w:color="FFFFFF" w:themeColor="background1"/>
            </w:tcBorders>
            <w:shd w:val="clear" w:color="auto" w:fill="E9E8E5" w:themeFill="background2"/>
          </w:tcPr>
          <w:p w:rsidR="008F015F" w:rsidDel="00430366" w:rsidRDefault="008F015F" w:rsidP="008F015F">
            <w:pPr>
              <w:pStyle w:val="TableDataEntries"/>
              <w:rPr>
                <w:lang w:val="en-GB"/>
              </w:rPr>
            </w:pPr>
            <w:r w:rsidDel="00430366">
              <w:rPr>
                <w:lang w:val="en-GB"/>
              </w:rPr>
              <w:t xml:space="preserve"> 0.2</w:t>
            </w:r>
          </w:p>
        </w:tc>
      </w:tr>
      <w:tr w:rsidR="008F015F" w:rsidRPr="008F015F" w:rsidDel="00430366" w:rsidTr="008F015F">
        <w:trPr>
          <w:trHeight w:val="230"/>
        </w:trPr>
        <w:tc>
          <w:tcPr>
            <w:tcW w:w="1419" w:type="dxa"/>
            <w:tcBorders>
              <w:top w:val="single" w:sz="8" w:space="0" w:color="FFFFFF" w:themeColor="background1"/>
              <w:bottom w:val="single" w:sz="8" w:space="0" w:color="FFFFFF" w:themeColor="background1"/>
            </w:tcBorders>
            <w:shd w:val="clear" w:color="auto" w:fill="C2DADB" w:themeFill="accent6" w:themeFillTint="99"/>
          </w:tcPr>
          <w:p w:rsidR="008F015F" w:rsidRPr="008F015F" w:rsidDel="00430366" w:rsidRDefault="008F015F" w:rsidP="008F015F">
            <w:pPr>
              <w:pStyle w:val="TableDataEntries"/>
              <w:jc w:val="left"/>
              <w:rPr>
                <w:rFonts w:ascii="Franklin Gothic Demi" w:hAnsi="Franklin Gothic Demi"/>
                <w:lang w:val="en-GB"/>
              </w:rPr>
            </w:pPr>
            <w:r w:rsidRPr="008F015F">
              <w:rPr>
                <w:rFonts w:ascii="Franklin Gothic Demi" w:hAnsi="Franklin Gothic Demi"/>
                <w:lang w:val="en-GB"/>
              </w:rPr>
              <w:t>Private dwelling</w:t>
            </w:r>
          </w:p>
        </w:tc>
        <w:tc>
          <w:tcPr>
            <w:tcW w:w="1983" w:type="dxa"/>
            <w:tcBorders>
              <w:top w:val="single" w:sz="8" w:space="0" w:color="FFFFFF" w:themeColor="background1"/>
              <w:bottom w:val="single" w:sz="8" w:space="0" w:color="FFFFFF" w:themeColor="background1"/>
            </w:tcBorders>
            <w:shd w:val="clear" w:color="auto" w:fill="C2DADB" w:themeFill="accent6" w:themeFillTint="99"/>
          </w:tcPr>
          <w:p w:rsidR="008F015F" w:rsidRPr="008F015F" w:rsidDel="00430366" w:rsidRDefault="008F015F" w:rsidP="008F015F">
            <w:pPr>
              <w:pStyle w:val="TableDataEntries"/>
              <w:jc w:val="left"/>
              <w:rPr>
                <w:rFonts w:ascii="Franklin Gothic Demi" w:hAnsi="Franklin Gothic Demi"/>
                <w:lang w:val="en-GB"/>
              </w:rPr>
            </w:pPr>
            <w:r w:rsidRPr="008F015F" w:rsidDel="00430366">
              <w:rPr>
                <w:rFonts w:ascii="Franklin Gothic Demi" w:hAnsi="Franklin Gothic Demi"/>
                <w:lang w:val="en-GB"/>
              </w:rPr>
              <w:t>Total private dwelling</w:t>
            </w:r>
          </w:p>
        </w:tc>
        <w:tc>
          <w:tcPr>
            <w:tcW w:w="680" w:type="dxa"/>
            <w:tcBorders>
              <w:top w:val="single" w:sz="8" w:space="0" w:color="FFFFFF" w:themeColor="background1"/>
              <w:bottom w:val="single" w:sz="8" w:space="0" w:color="FFFFFF" w:themeColor="background1"/>
            </w:tcBorders>
            <w:shd w:val="clear" w:color="auto" w:fill="C2DADB" w:themeFill="accent6" w:themeFillTint="99"/>
          </w:tcPr>
          <w:p w:rsidR="008F015F" w:rsidRPr="008F015F" w:rsidDel="00430366" w:rsidRDefault="008F015F" w:rsidP="008F015F">
            <w:pPr>
              <w:pStyle w:val="TableDataEntries"/>
              <w:rPr>
                <w:rFonts w:ascii="Franklin Gothic Demi" w:hAnsi="Franklin Gothic Demi"/>
                <w:lang w:val="en-GB"/>
              </w:rPr>
            </w:pPr>
            <w:r w:rsidRPr="008F015F" w:rsidDel="00430366">
              <w:rPr>
                <w:rFonts w:ascii="Franklin Gothic Demi" w:hAnsi="Franklin Gothic Demi"/>
                <w:lang w:val="en-GB"/>
              </w:rPr>
              <w:t xml:space="preserve"> 229.9</w:t>
            </w:r>
          </w:p>
        </w:tc>
        <w:tc>
          <w:tcPr>
            <w:tcW w:w="964" w:type="dxa"/>
            <w:tcBorders>
              <w:top w:val="single" w:sz="8" w:space="0" w:color="FFFFFF" w:themeColor="background1"/>
              <w:bottom w:val="single" w:sz="8" w:space="0" w:color="FFFFFF" w:themeColor="background1"/>
            </w:tcBorders>
            <w:shd w:val="clear" w:color="auto" w:fill="C2DADB" w:themeFill="accent6" w:themeFillTint="99"/>
          </w:tcPr>
          <w:p w:rsidR="008F015F" w:rsidRPr="008F015F" w:rsidDel="00430366" w:rsidRDefault="008F015F" w:rsidP="008F015F">
            <w:pPr>
              <w:pStyle w:val="TableDataEntries"/>
              <w:rPr>
                <w:rFonts w:ascii="Franklin Gothic Demi" w:hAnsi="Franklin Gothic Demi"/>
                <w:lang w:val="en-GB"/>
              </w:rPr>
            </w:pPr>
            <w:r w:rsidRPr="008F015F" w:rsidDel="00430366">
              <w:rPr>
                <w:rFonts w:ascii="Franklin Gothic Demi" w:hAnsi="Franklin Gothic Demi"/>
                <w:lang w:val="en-GB"/>
              </w:rPr>
              <w:t>1 330.3</w:t>
            </w:r>
          </w:p>
        </w:tc>
        <w:tc>
          <w:tcPr>
            <w:tcW w:w="963" w:type="dxa"/>
            <w:tcBorders>
              <w:top w:val="single" w:sz="8" w:space="0" w:color="FFFFFF" w:themeColor="background1"/>
              <w:bottom w:val="single" w:sz="8" w:space="0" w:color="FFFFFF" w:themeColor="background1"/>
            </w:tcBorders>
            <w:shd w:val="clear" w:color="auto" w:fill="C2DADB" w:themeFill="accent6" w:themeFillTint="99"/>
          </w:tcPr>
          <w:p w:rsidR="008F015F" w:rsidRPr="008F015F" w:rsidDel="00430366" w:rsidRDefault="008F015F" w:rsidP="008F015F">
            <w:pPr>
              <w:pStyle w:val="TableDataEntries"/>
              <w:rPr>
                <w:rFonts w:ascii="Franklin Gothic Demi" w:hAnsi="Franklin Gothic Demi"/>
                <w:lang w:val="en-GB"/>
              </w:rPr>
            </w:pPr>
            <w:r w:rsidRPr="008F015F" w:rsidDel="00430366">
              <w:rPr>
                <w:rFonts w:ascii="Franklin Gothic Demi" w:hAnsi="Franklin Gothic Demi"/>
                <w:lang w:val="en-GB"/>
              </w:rPr>
              <w:t>1 235.6</w:t>
            </w:r>
          </w:p>
        </w:tc>
        <w:tc>
          <w:tcPr>
            <w:tcW w:w="964" w:type="dxa"/>
            <w:tcBorders>
              <w:top w:val="single" w:sz="8" w:space="0" w:color="FFFFFF" w:themeColor="background1"/>
              <w:bottom w:val="single" w:sz="8" w:space="0" w:color="FFFFFF" w:themeColor="background1"/>
            </w:tcBorders>
            <w:shd w:val="clear" w:color="auto" w:fill="C2DADB" w:themeFill="accent6" w:themeFillTint="99"/>
          </w:tcPr>
          <w:p w:rsidR="008F015F" w:rsidRPr="008F015F" w:rsidDel="00430366" w:rsidRDefault="008F015F" w:rsidP="008F015F">
            <w:pPr>
              <w:pStyle w:val="TableDataEntries"/>
              <w:rPr>
                <w:rFonts w:ascii="Franklin Gothic Demi" w:hAnsi="Franklin Gothic Demi"/>
                <w:lang w:val="en-GB"/>
              </w:rPr>
            </w:pPr>
            <w:r w:rsidRPr="008F015F" w:rsidDel="00430366">
              <w:rPr>
                <w:rFonts w:ascii="Franklin Gothic Demi" w:hAnsi="Franklin Gothic Demi"/>
                <w:lang w:val="en-GB"/>
              </w:rPr>
              <w:t>2 800.2</w:t>
            </w:r>
          </w:p>
        </w:tc>
        <w:tc>
          <w:tcPr>
            <w:tcW w:w="964" w:type="dxa"/>
            <w:tcBorders>
              <w:top w:val="single" w:sz="8" w:space="0" w:color="FFFFFF" w:themeColor="background1"/>
              <w:bottom w:val="single" w:sz="8" w:space="0" w:color="FFFFFF" w:themeColor="background1"/>
            </w:tcBorders>
            <w:shd w:val="clear" w:color="auto" w:fill="C2DADB" w:themeFill="accent6" w:themeFillTint="99"/>
          </w:tcPr>
          <w:p w:rsidR="008F015F" w:rsidRPr="008F015F" w:rsidDel="00430366" w:rsidRDefault="008F015F" w:rsidP="008F015F">
            <w:pPr>
              <w:pStyle w:val="TableDataEntries"/>
              <w:rPr>
                <w:rFonts w:ascii="Franklin Gothic Demi" w:hAnsi="Franklin Gothic Demi"/>
                <w:lang w:val="en-GB"/>
              </w:rPr>
            </w:pPr>
            <w:r w:rsidRPr="008F015F" w:rsidDel="00430366">
              <w:rPr>
                <w:rFonts w:ascii="Franklin Gothic Demi" w:hAnsi="Franklin Gothic Demi"/>
                <w:lang w:val="en-GB"/>
              </w:rPr>
              <w:t xml:space="preserve"> 92.3</w:t>
            </w:r>
          </w:p>
        </w:tc>
      </w:tr>
      <w:tr w:rsidR="008F015F" w:rsidRPr="00F355CB" w:rsidDel="00430366" w:rsidTr="008F015F">
        <w:trPr>
          <w:trHeight w:val="230"/>
        </w:trPr>
        <w:tc>
          <w:tcPr>
            <w:tcW w:w="1419" w:type="dxa"/>
            <w:tcBorders>
              <w:top w:val="single" w:sz="8" w:space="0" w:color="FFFFFF" w:themeColor="background1"/>
              <w:bottom w:val="single" w:sz="4" w:space="0" w:color="6F6652" w:themeColor="accent5"/>
            </w:tcBorders>
            <w:shd w:val="clear" w:color="auto" w:fill="C2DADB" w:themeFill="accent6" w:themeFillTint="99"/>
          </w:tcPr>
          <w:p w:rsidR="008F015F" w:rsidRPr="00F355CB" w:rsidDel="00430366" w:rsidRDefault="008F015F" w:rsidP="00C36DA4">
            <w:pPr>
              <w:pStyle w:val="TableDataEntries"/>
              <w:jc w:val="left"/>
              <w:rPr>
                <w:rFonts w:ascii="Franklin Gothic Demi" w:hAnsi="Franklin Gothic Demi"/>
                <w:lang w:val="en-GB"/>
              </w:rPr>
            </w:pPr>
            <w:r>
              <w:rPr>
                <w:rFonts w:ascii="Franklin Gothic Demi" w:hAnsi="Franklin Gothic Demi"/>
                <w:lang w:val="en-GB"/>
              </w:rPr>
              <w:t>All dwellings</w:t>
            </w:r>
          </w:p>
        </w:tc>
        <w:tc>
          <w:tcPr>
            <w:tcW w:w="1983" w:type="dxa"/>
            <w:tcBorders>
              <w:top w:val="single" w:sz="8" w:space="0" w:color="FFFFFF" w:themeColor="background1"/>
              <w:bottom w:val="single" w:sz="4" w:space="0" w:color="6F6652" w:themeColor="accent5"/>
            </w:tcBorders>
            <w:shd w:val="clear" w:color="auto" w:fill="C2DADB" w:themeFill="accent6" w:themeFillTint="99"/>
          </w:tcPr>
          <w:p w:rsidR="008F015F" w:rsidRPr="00F355CB" w:rsidDel="00430366" w:rsidRDefault="008F015F" w:rsidP="00C36DA4">
            <w:pPr>
              <w:pStyle w:val="TableDataEntries"/>
              <w:jc w:val="left"/>
              <w:rPr>
                <w:rFonts w:ascii="Franklin Gothic Demi" w:hAnsi="Franklin Gothic Demi"/>
                <w:lang w:val="en-GB"/>
              </w:rPr>
            </w:pPr>
            <w:r w:rsidRPr="00F355CB" w:rsidDel="00430366">
              <w:rPr>
                <w:rFonts w:ascii="Franklin Gothic Demi" w:hAnsi="Franklin Gothic Demi"/>
                <w:lang w:val="en-GB"/>
              </w:rPr>
              <w:t>Total</w:t>
            </w:r>
            <w:r>
              <w:rPr>
                <w:rFonts w:ascii="Franklin Gothic Demi" w:hAnsi="Franklin Gothic Demi"/>
                <w:lang w:val="en-GB"/>
              </w:rPr>
              <w:t xml:space="preserve"> dwellings</w:t>
            </w:r>
          </w:p>
        </w:tc>
        <w:tc>
          <w:tcPr>
            <w:tcW w:w="680" w:type="dxa"/>
            <w:tcBorders>
              <w:top w:val="single" w:sz="8" w:space="0" w:color="FFFFFF" w:themeColor="background1"/>
              <w:bottom w:val="single" w:sz="4" w:space="0" w:color="6F6652" w:themeColor="accent5"/>
            </w:tcBorders>
            <w:shd w:val="clear" w:color="auto" w:fill="C2DADB" w:themeFill="accent6" w:themeFillTint="99"/>
          </w:tcPr>
          <w:p w:rsidR="008F015F" w:rsidRPr="00F355CB" w:rsidDel="00430366" w:rsidRDefault="008F015F" w:rsidP="00C36DA4">
            <w:pPr>
              <w:pStyle w:val="TableDataEntries"/>
              <w:rPr>
                <w:rFonts w:ascii="Franklin Gothic Demi" w:hAnsi="Franklin Gothic Demi"/>
                <w:lang w:val="en-GB"/>
              </w:rPr>
            </w:pPr>
            <w:r w:rsidRPr="00F355CB" w:rsidDel="00430366">
              <w:rPr>
                <w:rFonts w:ascii="Franklin Gothic Demi" w:hAnsi="Franklin Gothic Demi"/>
                <w:lang w:val="en-GB"/>
              </w:rPr>
              <w:t xml:space="preserve"> 229.9</w:t>
            </w:r>
          </w:p>
        </w:tc>
        <w:tc>
          <w:tcPr>
            <w:tcW w:w="964" w:type="dxa"/>
            <w:tcBorders>
              <w:top w:val="single" w:sz="8" w:space="0" w:color="FFFFFF" w:themeColor="background1"/>
              <w:bottom w:val="single" w:sz="4" w:space="0" w:color="6F6652" w:themeColor="accent5"/>
            </w:tcBorders>
            <w:shd w:val="clear" w:color="auto" w:fill="C2DADB" w:themeFill="accent6" w:themeFillTint="99"/>
          </w:tcPr>
          <w:p w:rsidR="008F015F" w:rsidRPr="00F355CB" w:rsidDel="00430366" w:rsidRDefault="008F015F" w:rsidP="00C36DA4">
            <w:pPr>
              <w:pStyle w:val="TableDataEntries"/>
              <w:rPr>
                <w:rFonts w:ascii="Franklin Gothic Demi" w:hAnsi="Franklin Gothic Demi"/>
                <w:lang w:val="en-GB"/>
              </w:rPr>
            </w:pPr>
            <w:r w:rsidRPr="00F355CB" w:rsidDel="00430366">
              <w:rPr>
                <w:rFonts w:ascii="Franklin Gothic Demi" w:hAnsi="Franklin Gothic Demi"/>
                <w:lang w:val="en-GB"/>
              </w:rPr>
              <w:t>1 346.7</w:t>
            </w:r>
          </w:p>
        </w:tc>
        <w:tc>
          <w:tcPr>
            <w:tcW w:w="963" w:type="dxa"/>
            <w:tcBorders>
              <w:top w:val="single" w:sz="8" w:space="0" w:color="FFFFFF" w:themeColor="background1"/>
              <w:bottom w:val="single" w:sz="4" w:space="0" w:color="6F6652" w:themeColor="accent5"/>
            </w:tcBorders>
            <w:shd w:val="clear" w:color="auto" w:fill="C2DADB" w:themeFill="accent6" w:themeFillTint="99"/>
          </w:tcPr>
          <w:p w:rsidR="008F015F" w:rsidRPr="00F355CB" w:rsidDel="00430366" w:rsidRDefault="008F015F" w:rsidP="00C36DA4">
            <w:pPr>
              <w:pStyle w:val="TableDataEntries"/>
              <w:rPr>
                <w:rFonts w:ascii="Franklin Gothic Demi" w:hAnsi="Franklin Gothic Demi"/>
                <w:lang w:val="en-GB"/>
              </w:rPr>
            </w:pPr>
            <w:r w:rsidRPr="00F355CB" w:rsidDel="00430366">
              <w:rPr>
                <w:rFonts w:ascii="Franklin Gothic Demi" w:hAnsi="Franklin Gothic Demi"/>
                <w:lang w:val="en-GB"/>
              </w:rPr>
              <w:t>1 452.1</w:t>
            </w:r>
          </w:p>
        </w:tc>
        <w:tc>
          <w:tcPr>
            <w:tcW w:w="964" w:type="dxa"/>
            <w:tcBorders>
              <w:top w:val="single" w:sz="8" w:space="0" w:color="FFFFFF" w:themeColor="background1"/>
              <w:bottom w:val="single" w:sz="4" w:space="0" w:color="6F6652" w:themeColor="accent5"/>
            </w:tcBorders>
            <w:shd w:val="clear" w:color="auto" w:fill="C2DADB" w:themeFill="accent6" w:themeFillTint="99"/>
          </w:tcPr>
          <w:p w:rsidR="008F015F" w:rsidRPr="00F355CB" w:rsidDel="00430366" w:rsidRDefault="008F015F" w:rsidP="00C36DA4">
            <w:pPr>
              <w:pStyle w:val="TableDataEntries"/>
              <w:rPr>
                <w:rFonts w:ascii="Franklin Gothic Demi" w:hAnsi="Franklin Gothic Demi"/>
                <w:lang w:val="en-GB"/>
              </w:rPr>
            </w:pPr>
            <w:r w:rsidRPr="00F355CB" w:rsidDel="00430366">
              <w:rPr>
                <w:rFonts w:ascii="Franklin Gothic Demi" w:hAnsi="Franklin Gothic Demi"/>
                <w:lang w:val="en-GB"/>
              </w:rPr>
              <w:t>3 033.4</w:t>
            </w:r>
          </w:p>
        </w:tc>
        <w:tc>
          <w:tcPr>
            <w:tcW w:w="964" w:type="dxa"/>
            <w:tcBorders>
              <w:top w:val="single" w:sz="8" w:space="0" w:color="FFFFFF" w:themeColor="background1"/>
              <w:bottom w:val="single" w:sz="4" w:space="0" w:color="6F6652" w:themeColor="accent5"/>
            </w:tcBorders>
            <w:shd w:val="clear" w:color="auto" w:fill="C2DADB" w:themeFill="accent6" w:themeFillTint="99"/>
          </w:tcPr>
          <w:p w:rsidR="008F015F" w:rsidRPr="00F355CB" w:rsidDel="00430366" w:rsidRDefault="008F015F" w:rsidP="00C36DA4">
            <w:pPr>
              <w:pStyle w:val="TableDataEntries"/>
              <w:rPr>
                <w:rFonts w:ascii="Franklin Gothic Demi" w:hAnsi="Franklin Gothic Demi"/>
                <w:lang w:val="en-GB"/>
              </w:rPr>
            </w:pPr>
            <w:r w:rsidRPr="00F355CB" w:rsidDel="00430366">
              <w:rPr>
                <w:rFonts w:ascii="Franklin Gothic Demi" w:hAnsi="Franklin Gothic Demi"/>
                <w:lang w:val="en-GB"/>
              </w:rPr>
              <w:t xml:space="preserve"> 100.0</w:t>
            </w:r>
          </w:p>
        </w:tc>
      </w:tr>
    </w:tbl>
    <w:p w:rsidR="007C6A5F" w:rsidDel="00430366" w:rsidRDefault="007C6A5F" w:rsidP="007C6A5F">
      <w:pPr>
        <w:pStyle w:val="Note"/>
        <w:rPr>
          <w:lang w:bidi="fa-IR"/>
        </w:rPr>
      </w:pPr>
      <w:r w:rsidRPr="007D1B4F" w:rsidDel="00430366">
        <w:rPr>
          <w:i/>
        </w:rPr>
        <w:t>Note:</w:t>
      </w:r>
      <w:r w:rsidRPr="00E879B8" w:rsidDel="00430366">
        <w:t xml:space="preserve"> </w:t>
      </w:r>
      <w:r>
        <w:t>TableBuilder randomly adjusts cells to minimise the risk of identifying individuals in aggregate statistics. This means that table totals do not always add exactly.</w:t>
      </w:r>
    </w:p>
    <w:p w:rsidR="007C6A5F" w:rsidDel="00430366" w:rsidRDefault="007C6A5F" w:rsidP="007C6A5F">
      <w:pPr>
        <w:pStyle w:val="Source"/>
        <w:rPr>
          <w:lang w:bidi="fa-IR"/>
        </w:rPr>
      </w:pPr>
      <w:r w:rsidRPr="005F63B2" w:rsidDel="00430366">
        <w:rPr>
          <w:i/>
          <w:lang w:bidi="fa-IR"/>
        </w:rPr>
        <w:t>Source:</w:t>
      </w:r>
      <w:r w:rsidDel="00430366">
        <w:rPr>
          <w:lang w:bidi="fa-IR"/>
        </w:rPr>
        <w:t xml:space="preserve"> </w:t>
      </w:r>
      <w:r>
        <w:t>ABS, Survey of Disabilities, Ageing and Carers, 2018, TableBuilder.</w:t>
      </w:r>
    </w:p>
    <w:p w:rsidR="007C6A5F" w:rsidRDefault="007C6A5F" w:rsidP="007C6A5F">
      <w:pPr>
        <w:pStyle w:val="Heading3"/>
        <w:numPr>
          <w:ilvl w:val="2"/>
          <w:numId w:val="5"/>
        </w:numPr>
        <w:rPr>
          <w:lang w:bidi="fa-IR"/>
        </w:rPr>
      </w:pPr>
      <w:r>
        <w:rPr>
          <w:lang w:bidi="fa-IR"/>
        </w:rPr>
        <w:t>Private market</w:t>
      </w:r>
    </w:p>
    <w:p w:rsidR="007C6A5F" w:rsidRPr="00666584" w:rsidRDefault="007C6A5F" w:rsidP="007C6A5F">
      <w:pPr>
        <w:pStyle w:val="BodyText"/>
        <w:rPr>
          <w:lang w:bidi="fa-IR"/>
        </w:rPr>
      </w:pPr>
      <w:r>
        <w:rPr>
          <w:lang w:bidi="fa-IR"/>
        </w:rPr>
        <w:t>There is some evidence below that the market is responding to some extent to the need for accessible housing, in some cases in response to existing policy settings. That said, the accessibility needs of many members of the community are not being met.</w:t>
      </w:r>
    </w:p>
    <w:p w:rsidR="007C6A5F" w:rsidRDefault="007C6A5F" w:rsidP="007C6A5F">
      <w:pPr>
        <w:pStyle w:val="BodyText"/>
      </w:pPr>
      <w:r>
        <w:rPr>
          <w:lang w:bidi="fa-IR"/>
        </w:rPr>
        <w:t>As shown above, most Australians with mobility</w:t>
      </w:r>
      <w:r w:rsidR="00864A96">
        <w:rPr>
          <w:lang w:bidi="fa-IR"/>
        </w:rPr>
        <w:noBreakHyphen/>
        <w:t xml:space="preserve">related disability </w:t>
      </w:r>
      <w:r>
        <w:rPr>
          <w:lang w:bidi="fa-IR"/>
        </w:rPr>
        <w:t xml:space="preserve">live in private residences. </w:t>
      </w:r>
      <w:r w:rsidRPr="007461B7">
        <w:rPr>
          <w:lang w:bidi="fa-IR"/>
        </w:rPr>
        <w:t>The proportion of new private dwellings that are accessible is not known.</w:t>
      </w:r>
      <w:r>
        <w:rPr>
          <w:lang w:bidi="fa-IR"/>
        </w:rPr>
        <w:t xml:space="preserve"> The ABCB Options Paper reported one estimate from 2014 that only around 5 per cent of newly constructed homes met </w:t>
      </w:r>
      <w:r w:rsidRPr="00C80508">
        <w:t>LHDG</w:t>
      </w:r>
      <w:r>
        <w:t xml:space="preserve"> silver standard.</w:t>
      </w:r>
      <w:r>
        <w:rPr>
          <w:rStyle w:val="FootnoteReference"/>
        </w:rPr>
        <w:footnoteReference w:id="24"/>
      </w:r>
      <w:r>
        <w:t xml:space="preserve"> This estimate appears to have been based on the number of dwellings certified under the LHA certification scheme.</w:t>
      </w:r>
    </w:p>
    <w:p w:rsidR="007C6A5F" w:rsidRDefault="007C6A5F" w:rsidP="007C6A5F">
      <w:pPr>
        <w:pStyle w:val="BodyText"/>
      </w:pPr>
      <w:r w:rsidRPr="007461B7">
        <w:t>Industry stakeholders reported that many more homes are built to LHDG standards that are not certified;</w:t>
      </w:r>
      <w:r>
        <w:t xml:space="preserve"> this is therefore likely to be an under</w:t>
      </w:r>
      <w:r>
        <w:noBreakHyphen/>
        <w:t>estimate. Other stakeholders noted that although relatively few new dwellings include all of the accessibility set out in the LHDG standards</w:t>
      </w:r>
      <w:r w:rsidRPr="007461B7">
        <w:t>, most new dwellings incorporate at least some of these features.</w:t>
      </w:r>
    </w:p>
    <w:p w:rsidR="007C6A5F" w:rsidRDefault="007C6A5F" w:rsidP="007C6A5F">
      <w:pPr>
        <w:pStyle w:val="Heading3"/>
        <w:numPr>
          <w:ilvl w:val="2"/>
          <w:numId w:val="5"/>
        </w:numPr>
      </w:pPr>
      <w:r>
        <w:t>Retirement villages</w:t>
      </w:r>
    </w:p>
    <w:p w:rsidR="007C6A5F" w:rsidRDefault="007C6A5F" w:rsidP="007C6A5F">
      <w:pPr>
        <w:pStyle w:val="BodyText"/>
      </w:pPr>
      <w:r>
        <w:t xml:space="preserve">A subset of the private market response to the growing need for accessible housing for older Australians is through retirement villages. The number of dwellings and residents in </w:t>
      </w:r>
      <w:r>
        <w:lastRenderedPageBreak/>
        <w:t>retirement villages (in 2014) is shown in table </w:t>
      </w:r>
      <w:r>
        <w:rPr>
          <w:noProof/>
        </w:rPr>
        <w:fldChar w:fldCharType="begin"/>
      </w:r>
      <w:r>
        <w:rPr>
          <w:noProof/>
        </w:rPr>
        <w:instrText xml:space="preserve"> REF _Caption8921 </w:instrText>
      </w:r>
      <w:r>
        <w:rPr>
          <w:noProof/>
        </w:rPr>
        <w:fldChar w:fldCharType="separate"/>
      </w:r>
      <w:r>
        <w:rPr>
          <w:noProof/>
        </w:rPr>
        <w:t>2</w:t>
      </w:r>
      <w:r w:rsidRPr="00695C93">
        <w:rPr>
          <w:noProof/>
        </w:rPr>
        <w:t>.</w:t>
      </w:r>
      <w:r>
        <w:rPr>
          <w:noProof/>
        </w:rPr>
        <w:t>12</w:t>
      </w:r>
      <w:r>
        <w:rPr>
          <w:noProof/>
        </w:rPr>
        <w:fldChar w:fldCharType="end"/>
      </w:r>
      <w:r>
        <w:t>. Recent data also suggests a strong supply pipeline over the next few years.</w:t>
      </w:r>
      <w:r>
        <w:rPr>
          <w:rStyle w:val="FootnoteReference"/>
        </w:rPr>
        <w:footnoteReference w:id="25"/>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2</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12</w:instrText>
      </w:r>
      <w:r w:rsidRPr="00695C93">
        <w:fldChar w:fldCharType="end"/>
      </w:r>
      <w:r w:rsidRPr="00695C93">
        <w:instrText xml:space="preserve">" "" </w:instrText>
      </w:r>
      <w:r w:rsidRPr="00695C93">
        <w:fldChar w:fldCharType="separate"/>
      </w:r>
      <w:bookmarkStart w:id="1796" w:name="_Caption4582"/>
      <w:bookmarkStart w:id="1797" w:name="_Caption7527"/>
      <w:bookmarkStart w:id="1798" w:name="_Caption6795"/>
      <w:bookmarkStart w:id="1799" w:name="_Caption2699"/>
      <w:bookmarkStart w:id="1800" w:name="_Caption8115"/>
      <w:bookmarkStart w:id="1801" w:name="_Caption7959"/>
      <w:bookmarkStart w:id="1802" w:name="_Caption8769"/>
      <w:bookmarkStart w:id="1803" w:name="_Caption8395"/>
      <w:bookmarkStart w:id="1804" w:name="_Caption2551"/>
      <w:bookmarkStart w:id="1805" w:name="_Caption3878"/>
      <w:bookmarkStart w:id="1806" w:name="_Caption8448"/>
      <w:bookmarkStart w:id="1807" w:name="_Caption8160"/>
      <w:bookmarkStart w:id="1808" w:name="_Caption1403"/>
      <w:bookmarkStart w:id="1809" w:name="_Caption9793"/>
      <w:bookmarkStart w:id="1810" w:name="_Caption6901"/>
      <w:bookmarkStart w:id="1811" w:name="_Caption9519"/>
      <w:bookmarkStart w:id="1812" w:name="_Caption1326"/>
      <w:bookmarkStart w:id="1813" w:name="_Caption5874"/>
      <w:bookmarkStart w:id="1814" w:name="_Caption3095"/>
      <w:bookmarkStart w:id="1815" w:name="_Caption1560"/>
      <w:bookmarkStart w:id="1816" w:name="_Caption4842"/>
      <w:bookmarkStart w:id="1817" w:name="_Caption1899"/>
      <w:bookmarkStart w:id="1818" w:name="_Caption1298"/>
      <w:bookmarkStart w:id="1819" w:name="_Caption7248"/>
      <w:bookmarkStart w:id="1820" w:name="_Caption0099"/>
      <w:bookmarkStart w:id="1821" w:name="_Caption6936"/>
      <w:bookmarkStart w:id="1822" w:name="_Caption3498"/>
      <w:bookmarkStart w:id="1823" w:name="_Caption4934"/>
      <w:bookmarkStart w:id="1824" w:name="_Caption0420"/>
      <w:bookmarkStart w:id="1825" w:name="_Caption4434"/>
      <w:bookmarkStart w:id="1826" w:name="_Caption7671"/>
      <w:bookmarkStart w:id="1827" w:name="_Caption0572"/>
      <w:bookmarkStart w:id="1828" w:name="_Caption2684"/>
      <w:bookmarkStart w:id="1829" w:name="_Caption7498"/>
      <w:bookmarkStart w:id="1830" w:name="_Caption2951"/>
      <w:bookmarkStart w:id="1831" w:name="_Caption5315"/>
      <w:bookmarkStart w:id="1832" w:name="_Caption3722"/>
      <w:bookmarkStart w:id="1833" w:name="_Caption7772"/>
      <w:bookmarkStart w:id="1834" w:name="_Caption7299"/>
      <w:bookmarkStart w:id="1835" w:name="_Caption6996"/>
      <w:bookmarkStart w:id="1836" w:name="_Caption0072"/>
      <w:bookmarkStart w:id="1837" w:name="_Caption2558"/>
      <w:bookmarkStart w:id="1838" w:name="_Caption7471"/>
      <w:bookmarkStart w:id="1839" w:name="_Caption6910"/>
      <w:bookmarkStart w:id="1840" w:name="_Caption3742"/>
      <w:bookmarkStart w:id="1841" w:name="_Caption1956"/>
      <w:bookmarkStart w:id="1842" w:name="_Caption1321"/>
      <w:bookmarkStart w:id="1843" w:name="_Caption9891"/>
      <w:bookmarkStart w:id="1844" w:name="_Caption0763"/>
      <w:bookmarkStart w:id="1845" w:name="_Caption1237"/>
      <w:bookmarkStart w:id="1846" w:name="_Caption7804"/>
      <w:bookmarkStart w:id="1847" w:name="_Caption0116"/>
      <w:bookmarkStart w:id="1848" w:name="_Caption3871"/>
      <w:bookmarkStart w:id="1849" w:name="_Caption5630"/>
      <w:bookmarkStart w:id="1850" w:name="_Caption3723"/>
      <w:bookmarkStart w:id="1851" w:name="_Caption5904"/>
      <w:bookmarkStart w:id="1852" w:name="_Caption3472"/>
      <w:bookmarkStart w:id="1853" w:name="_Caption3411"/>
      <w:bookmarkStart w:id="1854" w:name="_Caption5436"/>
      <w:bookmarkStart w:id="1855" w:name="_Caption9715"/>
      <w:bookmarkStart w:id="1856" w:name="_Caption5775"/>
      <w:bookmarkStart w:id="1857" w:name="_Caption8921"/>
      <w:bookmarkStart w:id="1858" w:name="_Caption0415"/>
      <w:bookmarkStart w:id="1859" w:name="_Caption0537"/>
      <w:bookmarkStart w:id="1860" w:name="_Caption0613"/>
      <w:bookmarkStart w:id="1861" w:name="_Caption7446"/>
      <w:bookmarkStart w:id="1862" w:name="_Caption1289"/>
      <w:bookmarkStart w:id="1863" w:name="_Caption5964"/>
      <w:bookmarkStart w:id="1864" w:name="_Caption9508"/>
      <w:bookmarkStart w:id="1865" w:name="_Caption3133"/>
      <w:bookmarkStart w:id="1866" w:name="_Caption2254"/>
      <w:bookmarkStart w:id="1867" w:name="_Caption0845"/>
      <w:bookmarkStart w:id="1868" w:name="_Caption9884"/>
      <w:bookmarkStart w:id="1869" w:name="_Caption9714"/>
      <w:bookmarkStart w:id="1870" w:name="_Caption6592"/>
      <w:bookmarkStart w:id="1871" w:name="_Caption1557"/>
      <w:bookmarkStart w:id="1872" w:name="_Caption6402"/>
      <w:bookmarkStart w:id="1873" w:name="_Caption2843"/>
      <w:bookmarkStart w:id="1874" w:name="_Caption2153"/>
      <w:bookmarkStart w:id="1875" w:name="_Caption6163"/>
      <w:bookmarkStart w:id="1876" w:name="_Caption9727"/>
      <w:bookmarkStart w:id="1877" w:name="_Caption0445"/>
      <w:bookmarkStart w:id="1878" w:name="_Caption8000"/>
      <w:bookmarkStart w:id="1879" w:name="_Caption3542"/>
      <w:bookmarkStart w:id="1880" w:name="_Caption8024"/>
      <w:bookmarkStart w:id="1881" w:name="_Caption3464"/>
      <w:bookmarkStart w:id="1882" w:name="_Caption5173"/>
      <w:bookmarkStart w:id="1883" w:name="_Caption1199"/>
      <w:bookmarkStart w:id="1884" w:name="_Caption1518"/>
      <w:bookmarkStart w:id="1885" w:name="_Caption1847"/>
      <w:bookmarkStart w:id="1886" w:name="_Caption4376"/>
      <w:bookmarkStart w:id="1887" w:name="_Caption7089"/>
      <w:bookmarkStart w:id="1888" w:name="_Caption0560"/>
      <w:bookmarkStart w:id="1889" w:name="_Caption7720"/>
      <w:bookmarkStart w:id="1890" w:name="_Caption8648"/>
      <w:bookmarkStart w:id="1891" w:name="_Caption4379"/>
      <w:bookmarkStart w:id="1892" w:name="_Caption7412"/>
      <w:bookmarkStart w:id="1893" w:name="_Caption1805"/>
      <w:bookmarkStart w:id="1894" w:name="_Caption0405"/>
      <w:bookmarkStart w:id="1895" w:name="_Caption2533"/>
      <w:bookmarkStart w:id="1896" w:name="_Caption0549"/>
      <w:bookmarkStart w:id="1897" w:name="_Caption1016"/>
      <w:bookmarkStart w:id="1898" w:name="_Caption7586"/>
      <w:bookmarkStart w:id="1899" w:name="_Caption0633"/>
      <w:bookmarkStart w:id="1900" w:name="_Caption2638"/>
      <w:bookmarkStart w:id="1901" w:name="_Caption3122"/>
      <w:bookmarkStart w:id="1902" w:name="_Caption8545"/>
      <w:bookmarkStart w:id="1903" w:name="_Caption2996"/>
      <w:bookmarkStart w:id="1904" w:name="_Caption0976"/>
      <w:bookmarkStart w:id="1905" w:name="_Caption2730"/>
      <w:bookmarkStart w:id="1906" w:name="_Caption8223"/>
      <w:bookmarkStart w:id="1907" w:name="_Caption0589"/>
      <w:bookmarkStart w:id="1908" w:name="_Caption6095"/>
      <w:bookmarkStart w:id="1909" w:name="_Caption6842"/>
      <w:bookmarkStart w:id="1910" w:name="_Caption7709"/>
      <w:bookmarkStart w:id="1911" w:name="_Caption0739"/>
      <w:bookmarkStart w:id="1912" w:name="_Caption7895"/>
      <w:bookmarkStart w:id="1913" w:name="_Caption3629"/>
      <w:bookmarkStart w:id="1914" w:name="_Caption6214"/>
      <w:bookmarkStart w:id="1915" w:name="_Caption1544"/>
      <w:bookmarkStart w:id="1916" w:name="_Caption4971"/>
      <w:bookmarkStart w:id="1917" w:name="_Caption5842"/>
      <w:bookmarkStart w:id="1918" w:name="_Caption6444"/>
      <w:bookmarkStart w:id="1919" w:name="_Caption7154"/>
      <w:bookmarkStart w:id="1920" w:name="_Caption5601"/>
      <w:bookmarkStart w:id="1921" w:name="_Caption8222"/>
      <w:bookmarkStart w:id="1922" w:name="_Caption4394"/>
      <w:bookmarkStart w:id="1923" w:name="_Caption3003"/>
      <w:bookmarkStart w:id="1924" w:name="_Caption6030"/>
      <w:bookmarkStart w:id="1925" w:name="_Caption6017"/>
      <w:bookmarkStart w:id="1926" w:name="_Caption9726"/>
      <w:bookmarkStart w:id="1927" w:name="_Caption0932"/>
      <w:bookmarkStart w:id="1928" w:name="_Caption1858"/>
      <w:bookmarkStart w:id="1929" w:name="_Caption7625"/>
      <w:bookmarkStart w:id="1930" w:name="_Caption3044"/>
      <w:bookmarkStart w:id="1931" w:name="_Caption0041"/>
      <w:bookmarkStart w:id="1932" w:name="_Caption5762"/>
      <w:bookmarkStart w:id="1933" w:name="_Caption5901"/>
      <w:bookmarkStart w:id="1934" w:name="_Caption8450"/>
      <w:bookmarkStart w:id="1935" w:name="_Caption7587"/>
      <w:bookmarkStart w:id="1936" w:name="_Caption7799"/>
      <w:bookmarkStart w:id="1937" w:name="_Caption9111"/>
      <w:bookmarkStart w:id="1938" w:name="_Caption1884"/>
      <w:bookmarkStart w:id="1939" w:name="_Caption6264"/>
      <w:bookmarkStart w:id="1940" w:name="_Caption7037"/>
      <w:bookmarkStart w:id="1941" w:name="_Caption6101"/>
      <w:bookmarkStart w:id="1942" w:name="_Caption8400"/>
      <w:bookmarkStart w:id="1943" w:name="_Caption2175"/>
      <w:bookmarkStart w:id="1944" w:name="_Caption9980"/>
      <w:bookmarkStart w:id="1945" w:name="_Caption8548"/>
      <w:bookmarkStart w:id="1946" w:name="_Toc24977941"/>
      <w:bookmarkStart w:id="1947" w:name="_Toc32321803"/>
      <w:bookmarkStart w:id="1948" w:name="_Toc44598496"/>
      <w:bookmarkStart w:id="1949" w:name="_Toc45654127"/>
      <w:r w:rsidR="00272AF3">
        <w:rPr>
          <w:noProof/>
        </w:rPr>
        <w:t>2</w:t>
      </w:r>
      <w:r w:rsidR="00272AF3" w:rsidRPr="00695C93">
        <w:rPr>
          <w:noProof/>
        </w:rPr>
        <w:t>.</w:t>
      </w:r>
      <w:r w:rsidR="00272AF3">
        <w:rPr>
          <w:noProof/>
        </w:rPr>
        <w:t>12</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r w:rsidRPr="00695C93">
        <w:fldChar w:fldCharType="end"/>
      </w:r>
      <w:r w:rsidRPr="00695C93">
        <w:tab/>
      </w:r>
      <w:r>
        <w:t>Retirement village dwelling and resident numbers — 2014</w:t>
      </w:r>
      <w:bookmarkEnd w:id="1946"/>
      <w:bookmarkEnd w:id="1947"/>
      <w:bookmarkEnd w:id="1948"/>
      <w:bookmarkEnd w:id="1949"/>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2.12"/>
        <w:tblDescription w:val="Retirement village dwelling and resident numbers — 2014"/>
      </w:tblPr>
      <w:tblGrid>
        <w:gridCol w:w="1985"/>
        <w:gridCol w:w="1984"/>
        <w:gridCol w:w="1984"/>
        <w:gridCol w:w="1985"/>
      </w:tblGrid>
      <w:tr w:rsidR="007C6A5F" w:rsidTr="0072096E">
        <w:trPr>
          <w:tblHeader/>
        </w:trPr>
        <w:tc>
          <w:tcPr>
            <w:tcW w:w="1985" w:type="dxa"/>
            <w:shd w:val="clear" w:color="auto" w:fill="6F6652" w:themeFill="accent5"/>
          </w:tcPr>
          <w:p w:rsidR="007C6A5F" w:rsidRDefault="0072096E" w:rsidP="00C36DA4">
            <w:pPr>
              <w:pStyle w:val="TableDataColumnHeading"/>
              <w:jc w:val="left"/>
            </w:pPr>
            <w:r>
              <w:t>State/Territory</w:t>
            </w:r>
          </w:p>
        </w:tc>
        <w:tc>
          <w:tcPr>
            <w:tcW w:w="1984" w:type="dxa"/>
            <w:shd w:val="clear" w:color="auto" w:fill="6F6652" w:themeFill="accent5"/>
          </w:tcPr>
          <w:p w:rsidR="007C6A5F" w:rsidRDefault="007C6A5F" w:rsidP="00C36DA4">
            <w:pPr>
              <w:pStyle w:val="TableDataColumnHeading"/>
            </w:pPr>
            <w:r>
              <w:t>Penetration rate of over 65s in retirement villages</w:t>
            </w:r>
            <w:r w:rsidR="0072096E">
              <w:br/>
              <w:t>(per cent)</w:t>
            </w:r>
          </w:p>
        </w:tc>
        <w:tc>
          <w:tcPr>
            <w:tcW w:w="1984" w:type="dxa"/>
            <w:shd w:val="clear" w:color="auto" w:fill="6F6652" w:themeFill="accent5"/>
          </w:tcPr>
          <w:p w:rsidR="007C6A5F" w:rsidRDefault="007C6A5F" w:rsidP="00C36DA4">
            <w:pPr>
              <w:pStyle w:val="TableDataColumnHeading"/>
            </w:pPr>
            <w:r>
              <w:t>Number of residents in retirement villages</w:t>
            </w:r>
            <w:r w:rsidR="0072096E">
              <w:br/>
              <w:t>(No.)</w:t>
            </w:r>
          </w:p>
        </w:tc>
        <w:tc>
          <w:tcPr>
            <w:tcW w:w="1985" w:type="dxa"/>
            <w:shd w:val="clear" w:color="auto" w:fill="6F6652" w:themeFill="accent5"/>
          </w:tcPr>
          <w:p w:rsidR="007C6A5F" w:rsidRDefault="007C6A5F" w:rsidP="00C36DA4">
            <w:pPr>
              <w:pStyle w:val="TableDataColumnHeading"/>
            </w:pPr>
            <w:r>
              <w:t>Number of dwellings</w:t>
            </w:r>
            <w:r w:rsidR="0072096E">
              <w:br/>
              <w:t>(No.)</w:t>
            </w:r>
          </w:p>
        </w:tc>
      </w:tr>
      <w:tr w:rsidR="007C6A5F" w:rsidTr="0072096E">
        <w:tc>
          <w:tcPr>
            <w:tcW w:w="198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pPr>
            <w:r>
              <w:t>NSW and ACT</w:t>
            </w:r>
          </w:p>
        </w:tc>
        <w:tc>
          <w:tcPr>
            <w:tcW w:w="19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t>4.9</w:t>
            </w:r>
          </w:p>
        </w:tc>
        <w:tc>
          <w:tcPr>
            <w:tcW w:w="19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t>55 413</w:t>
            </w:r>
          </w:p>
        </w:tc>
        <w:tc>
          <w:tcPr>
            <w:tcW w:w="198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t>42 625</w:t>
            </w:r>
          </w:p>
        </w:tc>
      </w:tr>
      <w:tr w:rsidR="007C6A5F" w:rsidTr="0072096E">
        <w:tc>
          <w:tcPr>
            <w:tcW w:w="198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pPr>
            <w:r>
              <w:t>Victoria</w:t>
            </w:r>
          </w:p>
        </w:tc>
        <w:tc>
          <w:tcPr>
            <w:tcW w:w="19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t>5.3</w:t>
            </w:r>
          </w:p>
        </w:tc>
        <w:tc>
          <w:tcPr>
            <w:tcW w:w="19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t>43 107</w:t>
            </w:r>
          </w:p>
        </w:tc>
        <w:tc>
          <w:tcPr>
            <w:tcW w:w="198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t>33 159</w:t>
            </w:r>
          </w:p>
        </w:tc>
      </w:tr>
      <w:tr w:rsidR="007C6A5F" w:rsidTr="0072096E">
        <w:tc>
          <w:tcPr>
            <w:tcW w:w="198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pPr>
            <w:r>
              <w:t>Queensland</w:t>
            </w:r>
          </w:p>
        </w:tc>
        <w:tc>
          <w:tcPr>
            <w:tcW w:w="19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t>6.4</w:t>
            </w:r>
          </w:p>
        </w:tc>
        <w:tc>
          <w:tcPr>
            <w:tcW w:w="19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t>38 842</w:t>
            </w:r>
          </w:p>
        </w:tc>
        <w:tc>
          <w:tcPr>
            <w:tcW w:w="198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t>29 878</w:t>
            </w:r>
          </w:p>
        </w:tc>
      </w:tr>
      <w:tr w:rsidR="007C6A5F" w:rsidTr="0072096E">
        <w:tc>
          <w:tcPr>
            <w:tcW w:w="198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pPr>
            <w:r>
              <w:t>South Australia</w:t>
            </w:r>
          </w:p>
        </w:tc>
        <w:tc>
          <w:tcPr>
            <w:tcW w:w="19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t>8.6</w:t>
            </w:r>
          </w:p>
        </w:tc>
        <w:tc>
          <w:tcPr>
            <w:tcW w:w="19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t>23 236</w:t>
            </w:r>
          </w:p>
        </w:tc>
        <w:tc>
          <w:tcPr>
            <w:tcW w:w="198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t>17 874</w:t>
            </w:r>
          </w:p>
        </w:tc>
      </w:tr>
      <w:tr w:rsidR="007C6A5F" w:rsidTr="0072096E">
        <w:tc>
          <w:tcPr>
            <w:tcW w:w="198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pPr>
            <w:r>
              <w:t>Western Australia</w:t>
            </w:r>
          </w:p>
        </w:tc>
        <w:tc>
          <w:tcPr>
            <w:tcW w:w="19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t>6.9</w:t>
            </w:r>
          </w:p>
        </w:tc>
        <w:tc>
          <w:tcPr>
            <w:tcW w:w="19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t>20 599</w:t>
            </w:r>
          </w:p>
        </w:tc>
        <w:tc>
          <w:tcPr>
            <w:tcW w:w="198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t>15 846</w:t>
            </w:r>
          </w:p>
        </w:tc>
      </w:tr>
      <w:tr w:rsidR="007C6A5F" w:rsidTr="00EF4A2E">
        <w:tc>
          <w:tcPr>
            <w:tcW w:w="198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pPr>
            <w:r>
              <w:t>Tasmania</w:t>
            </w:r>
          </w:p>
        </w:tc>
        <w:tc>
          <w:tcPr>
            <w:tcW w:w="19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t>3.4</w:t>
            </w:r>
          </w:p>
        </w:tc>
        <w:tc>
          <w:tcPr>
            <w:tcW w:w="19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t>2 883</w:t>
            </w:r>
          </w:p>
        </w:tc>
        <w:tc>
          <w:tcPr>
            <w:tcW w:w="198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t>2 218</w:t>
            </w:r>
          </w:p>
        </w:tc>
      </w:tr>
      <w:tr w:rsidR="007C6A5F" w:rsidRPr="009B0B14" w:rsidTr="00EF4A2E">
        <w:tc>
          <w:tcPr>
            <w:tcW w:w="1985" w:type="dxa"/>
            <w:tcBorders>
              <w:top w:val="single" w:sz="8" w:space="0" w:color="FFFFFF" w:themeColor="background1"/>
              <w:bottom w:val="single" w:sz="4" w:space="0" w:color="6F6652" w:themeColor="accent5"/>
            </w:tcBorders>
            <w:shd w:val="clear" w:color="auto" w:fill="C2DADB" w:themeFill="accent6" w:themeFillTint="99"/>
          </w:tcPr>
          <w:p w:rsidR="007C6A5F" w:rsidRPr="009B0B14" w:rsidRDefault="007C6A5F" w:rsidP="00C36DA4">
            <w:pPr>
              <w:pStyle w:val="TableDataEntries"/>
              <w:jc w:val="left"/>
              <w:rPr>
                <w:rFonts w:ascii="Franklin Gothic Demi" w:hAnsi="Franklin Gothic Demi"/>
              </w:rPr>
            </w:pPr>
            <w:r w:rsidRPr="009B0B14">
              <w:rPr>
                <w:rFonts w:ascii="Franklin Gothic Demi" w:hAnsi="Franklin Gothic Demi"/>
              </w:rPr>
              <w:t>Australia</w:t>
            </w:r>
          </w:p>
        </w:tc>
        <w:tc>
          <w:tcPr>
            <w:tcW w:w="1984" w:type="dxa"/>
            <w:tcBorders>
              <w:top w:val="single" w:sz="8" w:space="0" w:color="FFFFFF" w:themeColor="background1"/>
              <w:bottom w:val="single" w:sz="4" w:space="0" w:color="6F6652" w:themeColor="accent5"/>
            </w:tcBorders>
            <w:shd w:val="clear" w:color="auto" w:fill="C2DADB" w:themeFill="accent6" w:themeFillTint="99"/>
          </w:tcPr>
          <w:p w:rsidR="007C6A5F" w:rsidRPr="009B0B14" w:rsidRDefault="007C6A5F" w:rsidP="00C36DA4">
            <w:pPr>
              <w:pStyle w:val="TableDataEntries"/>
              <w:rPr>
                <w:rFonts w:ascii="Franklin Gothic Demi" w:hAnsi="Franklin Gothic Demi"/>
              </w:rPr>
            </w:pPr>
            <w:r w:rsidRPr="009B0B14">
              <w:rPr>
                <w:rFonts w:ascii="Franklin Gothic Demi" w:hAnsi="Franklin Gothic Demi"/>
              </w:rPr>
              <w:t>5.7</w:t>
            </w:r>
          </w:p>
        </w:tc>
        <w:tc>
          <w:tcPr>
            <w:tcW w:w="1984" w:type="dxa"/>
            <w:tcBorders>
              <w:top w:val="single" w:sz="8" w:space="0" w:color="FFFFFF" w:themeColor="background1"/>
              <w:bottom w:val="single" w:sz="4" w:space="0" w:color="6F6652" w:themeColor="accent5"/>
            </w:tcBorders>
            <w:shd w:val="clear" w:color="auto" w:fill="C2DADB" w:themeFill="accent6" w:themeFillTint="99"/>
          </w:tcPr>
          <w:p w:rsidR="007C6A5F" w:rsidRPr="009B0B14" w:rsidRDefault="007C6A5F" w:rsidP="00C36DA4">
            <w:pPr>
              <w:pStyle w:val="TableDataEntries"/>
              <w:rPr>
                <w:rFonts w:ascii="Franklin Gothic Demi" w:hAnsi="Franklin Gothic Demi"/>
              </w:rPr>
            </w:pPr>
            <w:r w:rsidRPr="009B0B14">
              <w:rPr>
                <w:rFonts w:ascii="Franklin Gothic Demi" w:hAnsi="Franklin Gothic Demi"/>
              </w:rPr>
              <w:t>184 080</w:t>
            </w:r>
          </w:p>
        </w:tc>
        <w:tc>
          <w:tcPr>
            <w:tcW w:w="1985" w:type="dxa"/>
            <w:tcBorders>
              <w:top w:val="single" w:sz="8" w:space="0" w:color="FFFFFF" w:themeColor="background1"/>
              <w:bottom w:val="single" w:sz="4" w:space="0" w:color="6F6652" w:themeColor="accent5"/>
            </w:tcBorders>
            <w:shd w:val="clear" w:color="auto" w:fill="C2DADB" w:themeFill="accent6" w:themeFillTint="99"/>
          </w:tcPr>
          <w:p w:rsidR="007C6A5F" w:rsidRPr="009B0B14" w:rsidRDefault="007C6A5F" w:rsidP="00C36DA4">
            <w:pPr>
              <w:pStyle w:val="TableDataEntries"/>
              <w:rPr>
                <w:rFonts w:ascii="Franklin Gothic Demi" w:hAnsi="Franklin Gothic Demi"/>
              </w:rPr>
            </w:pPr>
            <w:r w:rsidRPr="009B0B14">
              <w:rPr>
                <w:rFonts w:ascii="Franklin Gothic Demi" w:hAnsi="Franklin Gothic Demi"/>
              </w:rPr>
              <w:t>141 600</w:t>
            </w:r>
          </w:p>
        </w:tc>
      </w:tr>
    </w:tbl>
    <w:p w:rsidR="007C6A5F" w:rsidRDefault="007C6A5F" w:rsidP="007C6A5F">
      <w:pPr>
        <w:pStyle w:val="Source"/>
      </w:pPr>
      <w:r>
        <w:rPr>
          <w:i/>
        </w:rPr>
        <w:t>Source</w:t>
      </w:r>
      <w:r w:rsidRPr="00E4232C">
        <w:rPr>
          <w:i/>
        </w:rPr>
        <w:t>:</w:t>
      </w:r>
      <w:r>
        <w:t xml:space="preserve"> Property Council of Australia, National overview of the retirement village sector, October 2014, p. 5.</w:t>
      </w:r>
    </w:p>
    <w:p w:rsidR="007C6A5F" w:rsidRDefault="007C6A5F" w:rsidP="007C6A5F">
      <w:pPr>
        <w:pStyle w:val="BodyText"/>
        <w:rPr>
          <w:lang w:eastAsia="en-US"/>
        </w:rPr>
      </w:pPr>
      <w:r>
        <w:rPr>
          <w:lang w:eastAsia="en-US"/>
        </w:rPr>
        <w:t>Some stakeholders noted that not all retirement villages meet accessibility standards, particularly older retirement villages or retirement villages that have been re</w:t>
      </w:r>
      <w:r>
        <w:rPr>
          <w:lang w:eastAsia="en-US"/>
        </w:rPr>
        <w:noBreakHyphen/>
        <w:t>purposed from other buildings.</w:t>
      </w:r>
    </w:p>
    <w:p w:rsidR="007C6A5F" w:rsidRDefault="007C6A5F" w:rsidP="007C6A5F">
      <w:pPr>
        <w:pStyle w:val="BodyText"/>
        <w:rPr>
          <w:lang w:eastAsia="en-US"/>
        </w:rPr>
      </w:pPr>
      <w:r>
        <w:rPr>
          <w:lang w:eastAsia="en-US"/>
        </w:rPr>
        <w:t xml:space="preserve">Moving into a retirement village is often considered a lifestyle choice. However, current or future accessibility needs may be an important factor for some residents. </w:t>
      </w:r>
    </w:p>
    <w:p w:rsidR="007C6A5F" w:rsidRDefault="007C6A5F" w:rsidP="007C6A5F">
      <w:pPr>
        <w:pStyle w:val="BodyText"/>
        <w:rPr>
          <w:lang w:eastAsia="en-US"/>
        </w:rPr>
      </w:pPr>
      <w:r>
        <w:rPr>
          <w:lang w:eastAsia="en-US"/>
        </w:rPr>
        <w:t>Some stakeholders noted that some older people that have moved to a retirement village would have preferred to remain in their previous homes had it met their accessibility needs. A 2018 survey found that:</w:t>
      </w:r>
      <w:r>
        <w:rPr>
          <w:rStyle w:val="FootnoteReference"/>
          <w:lang w:eastAsia="en-US"/>
        </w:rPr>
        <w:footnoteReference w:id="26"/>
      </w:r>
    </w:p>
    <w:p w:rsidR="007C6A5F" w:rsidRDefault="007C6A5F" w:rsidP="005A6F87">
      <w:pPr>
        <w:pStyle w:val="ListBullet"/>
        <w:numPr>
          <w:ilvl w:val="0"/>
          <w:numId w:val="17"/>
        </w:numPr>
        <w:rPr>
          <w:lang w:eastAsia="en-US"/>
        </w:rPr>
      </w:pPr>
      <w:r>
        <w:rPr>
          <w:lang w:eastAsia="en-US"/>
        </w:rPr>
        <w:t>52 per cent of respondents indicated their overall happiness and life satisfaction had increased since moving into a retirement village (including 26 per cent of respondents who indicated a significant increase)</w:t>
      </w:r>
    </w:p>
    <w:p w:rsidR="007C6A5F" w:rsidRDefault="007C6A5F" w:rsidP="005A6F87">
      <w:pPr>
        <w:pStyle w:val="ListBullet"/>
        <w:numPr>
          <w:ilvl w:val="0"/>
          <w:numId w:val="17"/>
        </w:numPr>
        <w:rPr>
          <w:lang w:eastAsia="en-US"/>
        </w:rPr>
      </w:pPr>
      <w:r>
        <w:rPr>
          <w:lang w:eastAsia="en-US"/>
        </w:rPr>
        <w:t>34 per cent of respondents indicated that their overall happiness and life satisfaction had stayed about the same since moving into a retirement village</w:t>
      </w:r>
    </w:p>
    <w:p w:rsidR="007C6A5F" w:rsidRDefault="007C6A5F" w:rsidP="005A6F87">
      <w:pPr>
        <w:pStyle w:val="ListBullet"/>
        <w:numPr>
          <w:ilvl w:val="0"/>
          <w:numId w:val="17"/>
        </w:numPr>
        <w:rPr>
          <w:lang w:eastAsia="en-US"/>
        </w:rPr>
      </w:pPr>
      <w:r>
        <w:rPr>
          <w:lang w:eastAsia="en-US"/>
        </w:rPr>
        <w:t>15 per cent of respondents indicated their overall happiness and life satisfaction had decreased since moving into a retirement village (including 6 per cent of respondents that indicated a significant decrease).</w:t>
      </w:r>
    </w:p>
    <w:p w:rsidR="007C6A5F" w:rsidRDefault="007C6A5F" w:rsidP="007C6A5F">
      <w:pPr>
        <w:pStyle w:val="Heading3"/>
        <w:numPr>
          <w:ilvl w:val="2"/>
          <w:numId w:val="5"/>
        </w:numPr>
        <w:rPr>
          <w:lang w:bidi="fa-IR"/>
        </w:rPr>
      </w:pPr>
      <w:r>
        <w:rPr>
          <w:lang w:bidi="fa-IR"/>
        </w:rPr>
        <w:t>Home modifications</w:t>
      </w:r>
    </w:p>
    <w:p w:rsidR="007C6A5F" w:rsidRDefault="007C6A5F" w:rsidP="007C6A5F">
      <w:pPr>
        <w:pStyle w:val="BodyText"/>
        <w:rPr>
          <w:lang w:bidi="fa-IR"/>
        </w:rPr>
      </w:pPr>
      <w:r>
        <w:rPr>
          <w:lang w:bidi="fa-IR"/>
        </w:rPr>
        <w:t>Another way the market (often supported by policy assistance) responds to the need for accessible housing is through home modifications. According to SDAC data, around 477 800 Australians with a mobility impairment live in dwellings that have been modified because of their condition or age (around 16 per cent of the total) (table </w:t>
      </w:r>
      <w:r>
        <w:rPr>
          <w:lang w:bidi="fa-IR"/>
        </w:rPr>
        <w:fldChar w:fldCharType="begin"/>
      </w:r>
      <w:r>
        <w:rPr>
          <w:lang w:bidi="fa-IR"/>
        </w:rPr>
        <w:instrText xml:space="preserve"> REF _Caption0315 </w:instrText>
      </w:r>
      <w:r>
        <w:rPr>
          <w:lang w:bidi="fa-IR"/>
        </w:rPr>
        <w:fldChar w:fldCharType="separate"/>
      </w:r>
      <w:r>
        <w:rPr>
          <w:noProof/>
        </w:rPr>
        <w:t>2</w:t>
      </w:r>
      <w:r w:rsidRPr="00695C93">
        <w:rPr>
          <w:noProof/>
        </w:rPr>
        <w:t>.</w:t>
      </w:r>
      <w:r>
        <w:rPr>
          <w:noProof/>
        </w:rPr>
        <w:t>13</w:t>
      </w:r>
      <w:r>
        <w:rPr>
          <w:lang w:bidi="fa-IR"/>
        </w:rPr>
        <w:fldChar w:fldCharType="end"/>
      </w:r>
      <w:r>
        <w:rPr>
          <w:lang w:bidi="fa-IR"/>
        </w:rPr>
        <w:t xml:space="preserve">). </w:t>
      </w:r>
      <w:r>
        <w:rPr>
          <w:lang w:bidi="fa-IR"/>
        </w:rPr>
        <w:lastRenderedPageBreak/>
        <w:t>This proportion was around 25 per cent for people with profound or severe mobility impairments.</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2</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13</w:instrText>
      </w:r>
      <w:r w:rsidRPr="00695C93">
        <w:fldChar w:fldCharType="end"/>
      </w:r>
      <w:r w:rsidRPr="00695C93">
        <w:instrText xml:space="preserve">" "" </w:instrText>
      </w:r>
      <w:r w:rsidRPr="00695C93">
        <w:fldChar w:fldCharType="separate"/>
      </w:r>
      <w:bookmarkStart w:id="1950" w:name="_Caption2073"/>
      <w:bookmarkStart w:id="1951" w:name="_Caption3174"/>
      <w:bookmarkStart w:id="1952" w:name="_Caption6466"/>
      <w:bookmarkStart w:id="1953" w:name="_Caption8766"/>
      <w:bookmarkStart w:id="1954" w:name="_Caption1441"/>
      <w:bookmarkStart w:id="1955" w:name="_Caption5473"/>
      <w:bookmarkStart w:id="1956" w:name="_Caption1067"/>
      <w:bookmarkStart w:id="1957" w:name="_Caption7774"/>
      <w:bookmarkStart w:id="1958" w:name="_Caption1752"/>
      <w:bookmarkStart w:id="1959" w:name="_Caption1952"/>
      <w:bookmarkStart w:id="1960" w:name="_Caption6311"/>
      <w:bookmarkStart w:id="1961" w:name="_Caption0198"/>
      <w:bookmarkStart w:id="1962" w:name="_Caption9012"/>
      <w:bookmarkStart w:id="1963" w:name="_Caption3384"/>
      <w:bookmarkStart w:id="1964" w:name="_Caption4551"/>
      <w:bookmarkStart w:id="1965" w:name="_Caption2591"/>
      <w:bookmarkStart w:id="1966" w:name="_Caption6306"/>
      <w:bookmarkStart w:id="1967" w:name="_Caption8051"/>
      <w:bookmarkStart w:id="1968" w:name="_Caption6605"/>
      <w:bookmarkStart w:id="1969" w:name="_Caption7395"/>
      <w:bookmarkStart w:id="1970" w:name="_Caption6323"/>
      <w:bookmarkStart w:id="1971" w:name="_Caption3796"/>
      <w:bookmarkStart w:id="1972" w:name="_Caption5464"/>
      <w:bookmarkStart w:id="1973" w:name="_Caption4699"/>
      <w:bookmarkStart w:id="1974" w:name="_Caption6441"/>
      <w:bookmarkStart w:id="1975" w:name="_Caption9794"/>
      <w:bookmarkStart w:id="1976" w:name="_Caption3005"/>
      <w:bookmarkStart w:id="1977" w:name="_Caption8112"/>
      <w:bookmarkStart w:id="1978" w:name="_Caption4799"/>
      <w:bookmarkStart w:id="1979" w:name="_Caption6666"/>
      <w:bookmarkStart w:id="1980" w:name="_Caption8459"/>
      <w:bookmarkStart w:id="1981" w:name="_Caption7180"/>
      <w:bookmarkStart w:id="1982" w:name="_Caption8807"/>
      <w:bookmarkStart w:id="1983" w:name="_Caption6242"/>
      <w:bookmarkStart w:id="1984" w:name="_Caption6568"/>
      <w:bookmarkStart w:id="1985" w:name="_Caption4155"/>
      <w:bookmarkStart w:id="1986" w:name="_Caption5364"/>
      <w:bookmarkStart w:id="1987" w:name="_Caption0707"/>
      <w:bookmarkStart w:id="1988" w:name="_Caption5801"/>
      <w:bookmarkStart w:id="1989" w:name="_Caption0048"/>
      <w:bookmarkStart w:id="1990" w:name="_Caption1172"/>
      <w:bookmarkStart w:id="1991" w:name="_Caption7630"/>
      <w:bookmarkStart w:id="1992" w:name="_Caption0234"/>
      <w:bookmarkStart w:id="1993" w:name="_Caption4557"/>
      <w:bookmarkStart w:id="1994" w:name="_Caption8249"/>
      <w:bookmarkStart w:id="1995" w:name="_Caption8645"/>
      <w:bookmarkStart w:id="1996" w:name="_Caption0042"/>
      <w:bookmarkStart w:id="1997" w:name="_Caption9236"/>
      <w:bookmarkStart w:id="1998" w:name="_Caption4173"/>
      <w:bookmarkStart w:id="1999" w:name="_Caption5882"/>
      <w:bookmarkStart w:id="2000" w:name="_Caption1747"/>
      <w:bookmarkStart w:id="2001" w:name="_Caption0315"/>
      <w:bookmarkStart w:id="2002" w:name="_Caption5926"/>
      <w:bookmarkStart w:id="2003" w:name="_Caption1711"/>
      <w:bookmarkStart w:id="2004" w:name="_Caption0539"/>
      <w:bookmarkStart w:id="2005" w:name="_Caption3586"/>
      <w:bookmarkStart w:id="2006" w:name="_Caption4153"/>
      <w:bookmarkStart w:id="2007" w:name="_Caption1835"/>
      <w:bookmarkStart w:id="2008" w:name="_Caption6416"/>
      <w:bookmarkStart w:id="2009" w:name="_Caption7134"/>
      <w:bookmarkStart w:id="2010" w:name="_Caption9735"/>
      <w:bookmarkStart w:id="2011" w:name="_Caption4411"/>
      <w:bookmarkStart w:id="2012" w:name="_Caption0950"/>
      <w:bookmarkStart w:id="2013" w:name="_Caption0152"/>
      <w:bookmarkStart w:id="2014" w:name="_Caption5107"/>
      <w:bookmarkStart w:id="2015" w:name="_Caption1733"/>
      <w:bookmarkStart w:id="2016" w:name="_Caption1625"/>
      <w:bookmarkStart w:id="2017" w:name="_Caption3316"/>
      <w:bookmarkStart w:id="2018" w:name="_Caption9437"/>
      <w:bookmarkStart w:id="2019" w:name="_Caption3420"/>
      <w:bookmarkStart w:id="2020" w:name="_Caption6752"/>
      <w:bookmarkStart w:id="2021" w:name="_Caption6696"/>
      <w:bookmarkStart w:id="2022" w:name="_Caption2530"/>
      <w:bookmarkStart w:id="2023" w:name="_Caption9451"/>
      <w:bookmarkStart w:id="2024" w:name="_Caption3581"/>
      <w:bookmarkStart w:id="2025" w:name="_Caption7963"/>
      <w:bookmarkStart w:id="2026" w:name="_Caption9322"/>
      <w:bookmarkStart w:id="2027" w:name="_Caption8378"/>
      <w:bookmarkStart w:id="2028" w:name="_Caption6891"/>
      <w:bookmarkStart w:id="2029" w:name="_Caption4602"/>
      <w:bookmarkStart w:id="2030" w:name="_Caption0006"/>
      <w:bookmarkStart w:id="2031" w:name="_Caption6641"/>
      <w:bookmarkStart w:id="2032" w:name="_Caption7618"/>
      <w:bookmarkStart w:id="2033" w:name="_Caption7640"/>
      <w:bookmarkStart w:id="2034" w:name="_Caption4405"/>
      <w:bookmarkStart w:id="2035" w:name="_Caption0713"/>
      <w:bookmarkStart w:id="2036" w:name="_Caption2436"/>
      <w:bookmarkStart w:id="2037" w:name="_Caption4371"/>
      <w:bookmarkStart w:id="2038" w:name="_Caption9554"/>
      <w:bookmarkStart w:id="2039" w:name="_Caption7798"/>
      <w:bookmarkStart w:id="2040" w:name="_Caption1517"/>
      <w:bookmarkStart w:id="2041" w:name="_Caption7225"/>
      <w:bookmarkStart w:id="2042" w:name="_Caption3371"/>
      <w:bookmarkStart w:id="2043" w:name="_Caption0179"/>
      <w:bookmarkStart w:id="2044" w:name="_Caption7696"/>
      <w:bookmarkStart w:id="2045" w:name="_Caption2506"/>
      <w:bookmarkStart w:id="2046" w:name="_Caption9979"/>
      <w:bookmarkStart w:id="2047" w:name="_Caption7112"/>
      <w:bookmarkStart w:id="2048" w:name="_Caption2559"/>
      <w:bookmarkStart w:id="2049" w:name="_Caption5491"/>
      <w:bookmarkStart w:id="2050" w:name="_Caption0919"/>
      <w:bookmarkStart w:id="2051" w:name="_Caption7419"/>
      <w:bookmarkStart w:id="2052" w:name="_Caption7660"/>
      <w:bookmarkStart w:id="2053" w:name="_Caption8170"/>
      <w:bookmarkStart w:id="2054" w:name="_Caption6560"/>
      <w:bookmarkStart w:id="2055" w:name="_Caption2908"/>
      <w:bookmarkStart w:id="2056" w:name="_Caption7430"/>
      <w:bookmarkStart w:id="2057" w:name="_Caption1475"/>
      <w:bookmarkStart w:id="2058" w:name="_Caption6267"/>
      <w:bookmarkStart w:id="2059" w:name="_Caption8732"/>
      <w:bookmarkStart w:id="2060" w:name="_Caption9049"/>
      <w:bookmarkStart w:id="2061" w:name="_Caption8867"/>
      <w:bookmarkStart w:id="2062" w:name="_Caption9346"/>
      <w:bookmarkStart w:id="2063" w:name="_Caption4657"/>
      <w:bookmarkStart w:id="2064" w:name="_Caption4413"/>
      <w:bookmarkStart w:id="2065" w:name="_Caption0346"/>
      <w:bookmarkStart w:id="2066" w:name="_Caption7511"/>
      <w:bookmarkStart w:id="2067" w:name="_Caption2287"/>
      <w:bookmarkStart w:id="2068" w:name="_Caption3806"/>
      <w:bookmarkStart w:id="2069" w:name="_Caption7495"/>
      <w:bookmarkStart w:id="2070" w:name="_Caption7130"/>
      <w:bookmarkStart w:id="2071" w:name="_Caption9561"/>
      <w:bookmarkStart w:id="2072" w:name="_Caption0452"/>
      <w:bookmarkStart w:id="2073" w:name="_Caption4539"/>
      <w:bookmarkStart w:id="2074" w:name="_Caption3954"/>
      <w:bookmarkStart w:id="2075" w:name="_Caption3641"/>
      <w:bookmarkStart w:id="2076" w:name="_Caption2278"/>
      <w:bookmarkStart w:id="2077" w:name="_Caption2272"/>
      <w:bookmarkStart w:id="2078" w:name="_Toc32321804"/>
      <w:bookmarkStart w:id="2079" w:name="_Toc44598497"/>
      <w:bookmarkStart w:id="2080" w:name="_Toc45654128"/>
      <w:r w:rsidR="00272AF3">
        <w:rPr>
          <w:noProof/>
        </w:rPr>
        <w:t>2</w:t>
      </w:r>
      <w:r w:rsidR="00272AF3" w:rsidRPr="00695C93">
        <w:rPr>
          <w:noProof/>
        </w:rPr>
        <w:t>.</w:t>
      </w:r>
      <w:r w:rsidR="00272AF3">
        <w:rPr>
          <w:noProof/>
        </w:rPr>
        <w:t>13</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r w:rsidRPr="00695C93">
        <w:fldChar w:fldCharType="end"/>
      </w:r>
      <w:r w:rsidRPr="00695C93">
        <w:tab/>
      </w:r>
      <w:r>
        <w:t>Share of people with a mobility limitation living in modified dwellings</w:t>
      </w:r>
      <w:bookmarkEnd w:id="2078"/>
      <w:bookmarkEnd w:id="2079"/>
      <w:bookmarkEnd w:id="2080"/>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2.13"/>
        <w:tblDescription w:val="Share of people with a mobility limitation living in modified dwellings"/>
      </w:tblPr>
      <w:tblGrid>
        <w:gridCol w:w="1878"/>
        <w:gridCol w:w="2020"/>
        <w:gridCol w:w="2020"/>
        <w:gridCol w:w="2020"/>
      </w:tblGrid>
      <w:tr w:rsidR="007C6A5F" w:rsidTr="005F59CB">
        <w:trPr>
          <w:trHeight w:val="461"/>
          <w:tblHeader/>
        </w:trPr>
        <w:tc>
          <w:tcPr>
            <w:tcW w:w="1878" w:type="dxa"/>
            <w:shd w:val="clear" w:color="auto" w:fill="6F6652" w:themeFill="accent5"/>
          </w:tcPr>
          <w:p w:rsidR="007C6A5F" w:rsidRDefault="00A320EA" w:rsidP="00C36DA4">
            <w:pPr>
              <w:pStyle w:val="TableDataColumnHeading"/>
              <w:jc w:val="left"/>
              <w:rPr>
                <w:lang w:val="en-GB"/>
              </w:rPr>
            </w:pPr>
            <w:r>
              <w:rPr>
                <w:lang w:val="en-GB"/>
              </w:rPr>
              <w:t>Mobility</w:t>
            </w:r>
          </w:p>
        </w:tc>
        <w:tc>
          <w:tcPr>
            <w:tcW w:w="2020" w:type="dxa"/>
            <w:shd w:val="clear" w:color="auto" w:fill="6F6652" w:themeFill="accent5"/>
          </w:tcPr>
          <w:p w:rsidR="007C6A5F" w:rsidRDefault="007C6A5F" w:rsidP="00C36DA4">
            <w:pPr>
              <w:pStyle w:val="TableDataColumnHeading"/>
              <w:rPr>
                <w:lang w:val="en-GB"/>
              </w:rPr>
            </w:pPr>
            <w:r>
              <w:rPr>
                <w:lang w:val="en-GB"/>
              </w:rPr>
              <w:t>Dwelling modified</w:t>
            </w:r>
            <w:r w:rsidR="00A320EA">
              <w:rPr>
                <w:lang w:val="en-GB"/>
              </w:rPr>
              <w:br/>
              <w:t>(‘000)</w:t>
            </w:r>
          </w:p>
        </w:tc>
        <w:tc>
          <w:tcPr>
            <w:tcW w:w="2020" w:type="dxa"/>
            <w:shd w:val="clear" w:color="auto" w:fill="6F6652" w:themeFill="accent5"/>
          </w:tcPr>
          <w:p w:rsidR="007C6A5F" w:rsidRDefault="007C6A5F" w:rsidP="00C36DA4">
            <w:pPr>
              <w:pStyle w:val="TableDataColumnHeading"/>
              <w:rPr>
                <w:lang w:val="en-GB"/>
              </w:rPr>
            </w:pPr>
            <w:r>
              <w:rPr>
                <w:lang w:val="en-GB"/>
              </w:rPr>
              <w:t>Total</w:t>
            </w:r>
            <w:r w:rsidR="00A320EA">
              <w:rPr>
                <w:lang w:val="en-GB"/>
              </w:rPr>
              <w:br/>
              <w:t>(‘000)</w:t>
            </w:r>
          </w:p>
        </w:tc>
        <w:tc>
          <w:tcPr>
            <w:tcW w:w="2020" w:type="dxa"/>
            <w:shd w:val="clear" w:color="auto" w:fill="6F6652" w:themeFill="accent5"/>
          </w:tcPr>
          <w:p w:rsidR="007C6A5F" w:rsidRDefault="007C6A5F" w:rsidP="00C36DA4">
            <w:pPr>
              <w:pStyle w:val="TableDataColumnHeading"/>
              <w:rPr>
                <w:lang w:val="en-GB"/>
              </w:rPr>
            </w:pPr>
            <w:r>
              <w:rPr>
                <w:lang w:val="en-GB"/>
              </w:rPr>
              <w:t>Share</w:t>
            </w:r>
            <w:r w:rsidR="00A320EA">
              <w:rPr>
                <w:lang w:val="en-GB"/>
              </w:rPr>
              <w:br/>
              <w:t>(per cent)</w:t>
            </w:r>
          </w:p>
        </w:tc>
      </w:tr>
      <w:tr w:rsidR="007C6A5F" w:rsidTr="007C7C4C">
        <w:trPr>
          <w:trHeight w:val="230"/>
        </w:trPr>
        <w:tc>
          <w:tcPr>
            <w:tcW w:w="187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Profound</w:t>
            </w:r>
          </w:p>
        </w:tc>
        <w:tc>
          <w:tcPr>
            <w:tcW w:w="20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161.7</w:t>
            </w:r>
          </w:p>
        </w:tc>
        <w:tc>
          <w:tcPr>
            <w:tcW w:w="20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632.2</w:t>
            </w:r>
          </w:p>
        </w:tc>
        <w:tc>
          <w:tcPr>
            <w:tcW w:w="20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25.6</w:t>
            </w:r>
          </w:p>
        </w:tc>
      </w:tr>
      <w:tr w:rsidR="007C6A5F" w:rsidTr="007C7C4C">
        <w:trPr>
          <w:trHeight w:val="230"/>
        </w:trPr>
        <w:tc>
          <w:tcPr>
            <w:tcW w:w="187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Severe</w:t>
            </w:r>
          </w:p>
        </w:tc>
        <w:tc>
          <w:tcPr>
            <w:tcW w:w="20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123.7</w:t>
            </w:r>
          </w:p>
        </w:tc>
        <w:tc>
          <w:tcPr>
            <w:tcW w:w="20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518.9</w:t>
            </w:r>
          </w:p>
        </w:tc>
        <w:tc>
          <w:tcPr>
            <w:tcW w:w="20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23.8</w:t>
            </w:r>
          </w:p>
        </w:tc>
      </w:tr>
      <w:tr w:rsidR="007C6A5F" w:rsidTr="007C7C4C">
        <w:trPr>
          <w:trHeight w:val="230"/>
        </w:trPr>
        <w:tc>
          <w:tcPr>
            <w:tcW w:w="187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Moderate</w:t>
            </w:r>
          </w:p>
        </w:tc>
        <w:tc>
          <w:tcPr>
            <w:tcW w:w="20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77.4</w:t>
            </w:r>
          </w:p>
        </w:tc>
        <w:tc>
          <w:tcPr>
            <w:tcW w:w="20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434.9</w:t>
            </w:r>
          </w:p>
        </w:tc>
        <w:tc>
          <w:tcPr>
            <w:tcW w:w="20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17.8</w:t>
            </w:r>
          </w:p>
        </w:tc>
      </w:tr>
      <w:tr w:rsidR="007C6A5F" w:rsidTr="00B5160B">
        <w:trPr>
          <w:trHeight w:val="230"/>
        </w:trPr>
        <w:tc>
          <w:tcPr>
            <w:tcW w:w="187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Mild</w:t>
            </w:r>
          </w:p>
        </w:tc>
        <w:tc>
          <w:tcPr>
            <w:tcW w:w="20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117.8</w:t>
            </w:r>
          </w:p>
        </w:tc>
        <w:tc>
          <w:tcPr>
            <w:tcW w:w="20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1 394.8</w:t>
            </w:r>
          </w:p>
        </w:tc>
        <w:tc>
          <w:tcPr>
            <w:tcW w:w="20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8.4</w:t>
            </w:r>
          </w:p>
        </w:tc>
      </w:tr>
      <w:tr w:rsidR="007C6A5F" w:rsidRPr="001030D4" w:rsidTr="00B5160B">
        <w:trPr>
          <w:trHeight w:val="230"/>
        </w:trPr>
        <w:tc>
          <w:tcPr>
            <w:tcW w:w="1878" w:type="dxa"/>
            <w:tcBorders>
              <w:top w:val="single" w:sz="8" w:space="0" w:color="FFFFFF" w:themeColor="background1"/>
              <w:bottom w:val="single" w:sz="4" w:space="0" w:color="6F6652" w:themeColor="accent5"/>
            </w:tcBorders>
            <w:shd w:val="clear" w:color="auto" w:fill="C2DADB" w:themeFill="accent6" w:themeFillTint="99"/>
          </w:tcPr>
          <w:p w:rsidR="007C6A5F" w:rsidRPr="001030D4" w:rsidRDefault="007C6A5F" w:rsidP="00C36DA4">
            <w:pPr>
              <w:pStyle w:val="TableDataEntries"/>
              <w:jc w:val="left"/>
              <w:rPr>
                <w:rFonts w:ascii="Franklin Gothic Demi" w:hAnsi="Franklin Gothic Demi"/>
                <w:lang w:val="en-GB"/>
              </w:rPr>
            </w:pPr>
            <w:r w:rsidRPr="001030D4">
              <w:rPr>
                <w:rFonts w:ascii="Franklin Gothic Demi" w:hAnsi="Franklin Gothic Demi"/>
                <w:lang w:val="en-GB"/>
              </w:rPr>
              <w:t>Total</w:t>
            </w:r>
          </w:p>
        </w:tc>
        <w:tc>
          <w:tcPr>
            <w:tcW w:w="2020" w:type="dxa"/>
            <w:tcBorders>
              <w:top w:val="single" w:sz="8" w:space="0" w:color="FFFFFF" w:themeColor="background1"/>
              <w:bottom w:val="single" w:sz="4" w:space="0" w:color="6F6652" w:themeColor="accent5"/>
            </w:tcBorders>
            <w:shd w:val="clear" w:color="auto" w:fill="C2DADB" w:themeFill="accent6" w:themeFillTint="99"/>
          </w:tcPr>
          <w:p w:rsidR="007C6A5F" w:rsidRPr="001030D4" w:rsidRDefault="007C6A5F" w:rsidP="00C36DA4">
            <w:pPr>
              <w:pStyle w:val="TableDataEntries"/>
              <w:rPr>
                <w:rFonts w:ascii="Franklin Gothic Demi" w:hAnsi="Franklin Gothic Demi"/>
                <w:lang w:val="en-GB"/>
              </w:rPr>
            </w:pPr>
            <w:r w:rsidRPr="001030D4">
              <w:rPr>
                <w:rFonts w:ascii="Franklin Gothic Demi" w:hAnsi="Franklin Gothic Demi"/>
                <w:lang w:val="en-GB"/>
              </w:rPr>
              <w:t xml:space="preserve"> 477.8</w:t>
            </w:r>
          </w:p>
        </w:tc>
        <w:tc>
          <w:tcPr>
            <w:tcW w:w="2020" w:type="dxa"/>
            <w:tcBorders>
              <w:top w:val="single" w:sz="8" w:space="0" w:color="FFFFFF" w:themeColor="background1"/>
              <w:bottom w:val="single" w:sz="4" w:space="0" w:color="6F6652" w:themeColor="accent5"/>
            </w:tcBorders>
            <w:shd w:val="clear" w:color="auto" w:fill="C2DADB" w:themeFill="accent6" w:themeFillTint="99"/>
          </w:tcPr>
          <w:p w:rsidR="007C6A5F" w:rsidRPr="001030D4" w:rsidRDefault="007C6A5F" w:rsidP="00C36DA4">
            <w:pPr>
              <w:pStyle w:val="TableDataEntries"/>
              <w:rPr>
                <w:rFonts w:ascii="Franklin Gothic Demi" w:hAnsi="Franklin Gothic Demi"/>
                <w:lang w:val="en-GB"/>
              </w:rPr>
            </w:pPr>
            <w:r w:rsidRPr="001030D4">
              <w:rPr>
                <w:rFonts w:ascii="Franklin Gothic Demi" w:hAnsi="Franklin Gothic Demi"/>
                <w:lang w:val="en-GB"/>
              </w:rPr>
              <w:t>2 982.3</w:t>
            </w:r>
          </w:p>
        </w:tc>
        <w:tc>
          <w:tcPr>
            <w:tcW w:w="2020" w:type="dxa"/>
            <w:tcBorders>
              <w:top w:val="single" w:sz="8" w:space="0" w:color="FFFFFF" w:themeColor="background1"/>
              <w:bottom w:val="single" w:sz="4" w:space="0" w:color="6F6652" w:themeColor="accent5"/>
            </w:tcBorders>
            <w:shd w:val="clear" w:color="auto" w:fill="C2DADB" w:themeFill="accent6" w:themeFillTint="99"/>
          </w:tcPr>
          <w:p w:rsidR="007C6A5F" w:rsidRPr="001030D4" w:rsidRDefault="007C6A5F" w:rsidP="00C36DA4">
            <w:pPr>
              <w:pStyle w:val="TableDataEntries"/>
              <w:rPr>
                <w:rFonts w:ascii="Franklin Gothic Demi" w:hAnsi="Franklin Gothic Demi"/>
                <w:lang w:val="en-GB"/>
              </w:rPr>
            </w:pPr>
            <w:r w:rsidRPr="001030D4">
              <w:rPr>
                <w:rFonts w:ascii="Franklin Gothic Demi" w:hAnsi="Franklin Gothic Demi"/>
                <w:lang w:val="en-GB"/>
              </w:rPr>
              <w:t xml:space="preserve"> 16.0</w:t>
            </w:r>
          </w:p>
        </w:tc>
      </w:tr>
    </w:tbl>
    <w:p w:rsidR="007C6A5F" w:rsidRDefault="007C6A5F" w:rsidP="007C6A5F">
      <w:pPr>
        <w:pStyle w:val="Source"/>
        <w:rPr>
          <w:lang w:bidi="fa-IR"/>
        </w:rPr>
      </w:pPr>
      <w:r w:rsidRPr="00C3153B">
        <w:rPr>
          <w:i/>
          <w:lang w:bidi="fa-IR"/>
        </w:rPr>
        <w:t>Source:</w:t>
      </w:r>
      <w:r>
        <w:rPr>
          <w:lang w:bidi="fa-IR"/>
        </w:rPr>
        <w:t xml:space="preserve"> </w:t>
      </w:r>
      <w:r>
        <w:t>ABS, Survey of Disabilities, Ageing and Carers, 2018, TableBuilder, CIE.</w:t>
      </w:r>
    </w:p>
    <w:p w:rsidR="007C6A5F" w:rsidRDefault="007C6A5F" w:rsidP="007C6A5F">
      <w:pPr>
        <w:pStyle w:val="BodyText"/>
        <w:rPr>
          <w:lang w:bidi="fa-IR"/>
        </w:rPr>
      </w:pPr>
      <w:r>
        <w:rPr>
          <w:lang w:bidi="fa-IR"/>
        </w:rPr>
        <w:t>The types of home modifications that have been made (as a share of total home modifications) is shown in table </w:t>
      </w:r>
      <w:r>
        <w:rPr>
          <w:lang w:bidi="fa-IR"/>
        </w:rPr>
        <w:fldChar w:fldCharType="begin"/>
      </w:r>
      <w:r>
        <w:rPr>
          <w:lang w:bidi="fa-IR"/>
        </w:rPr>
        <w:instrText xml:space="preserve"> REF _Caption6102 </w:instrText>
      </w:r>
      <w:r>
        <w:rPr>
          <w:lang w:bidi="fa-IR"/>
        </w:rPr>
        <w:fldChar w:fldCharType="separate"/>
      </w:r>
      <w:r>
        <w:rPr>
          <w:noProof/>
        </w:rPr>
        <w:t>2</w:t>
      </w:r>
      <w:r w:rsidRPr="00695C93">
        <w:rPr>
          <w:noProof/>
        </w:rPr>
        <w:t>.</w:t>
      </w:r>
      <w:r>
        <w:rPr>
          <w:noProof/>
        </w:rPr>
        <w:t>14</w:t>
      </w:r>
      <w:r>
        <w:rPr>
          <w:lang w:bidi="fa-IR"/>
        </w:rPr>
        <w:fldChar w:fldCharType="end"/>
      </w:r>
      <w:r>
        <w:rPr>
          <w:lang w:bidi="fa-IR"/>
        </w:rPr>
        <w:t>.</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2</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14</w:instrText>
      </w:r>
      <w:r w:rsidRPr="00695C93">
        <w:fldChar w:fldCharType="end"/>
      </w:r>
      <w:r w:rsidRPr="00695C93">
        <w:instrText xml:space="preserve">" "" </w:instrText>
      </w:r>
      <w:r w:rsidRPr="00695C93">
        <w:fldChar w:fldCharType="separate"/>
      </w:r>
      <w:bookmarkStart w:id="2081" w:name="_Caption6787"/>
      <w:bookmarkStart w:id="2082" w:name="_Caption1361"/>
      <w:bookmarkStart w:id="2083" w:name="_Caption6640"/>
      <w:bookmarkStart w:id="2084" w:name="_Caption1171"/>
      <w:bookmarkStart w:id="2085" w:name="_Caption4241"/>
      <w:bookmarkStart w:id="2086" w:name="_Caption6940"/>
      <w:bookmarkStart w:id="2087" w:name="_Caption6365"/>
      <w:bookmarkStart w:id="2088" w:name="_Caption4114"/>
      <w:bookmarkStart w:id="2089" w:name="_Caption0360"/>
      <w:bookmarkStart w:id="2090" w:name="_Caption6730"/>
      <w:bookmarkStart w:id="2091" w:name="_Caption9258"/>
      <w:bookmarkStart w:id="2092" w:name="_Caption8021"/>
      <w:bookmarkStart w:id="2093" w:name="_Caption8906"/>
      <w:bookmarkStart w:id="2094" w:name="_Caption3081"/>
      <w:bookmarkStart w:id="2095" w:name="_Caption6927"/>
      <w:bookmarkStart w:id="2096" w:name="_Caption0414"/>
      <w:bookmarkStart w:id="2097" w:name="_Caption2928"/>
      <w:bookmarkStart w:id="2098" w:name="_Caption8011"/>
      <w:bookmarkStart w:id="2099" w:name="_Caption3895"/>
      <w:bookmarkStart w:id="2100" w:name="_Caption6750"/>
      <w:bookmarkStart w:id="2101" w:name="_Caption1582"/>
      <w:bookmarkStart w:id="2102" w:name="_Caption8816"/>
      <w:bookmarkStart w:id="2103" w:name="_Caption2834"/>
      <w:bookmarkStart w:id="2104" w:name="_Caption5340"/>
      <w:bookmarkStart w:id="2105" w:name="_Caption9348"/>
      <w:bookmarkStart w:id="2106" w:name="_Caption3484"/>
      <w:bookmarkStart w:id="2107" w:name="_Caption9174"/>
      <w:bookmarkStart w:id="2108" w:name="_Caption9823"/>
      <w:bookmarkStart w:id="2109" w:name="_Caption9005"/>
      <w:bookmarkStart w:id="2110" w:name="_Caption4036"/>
      <w:bookmarkStart w:id="2111" w:name="_Caption6584"/>
      <w:bookmarkStart w:id="2112" w:name="_Caption7979"/>
      <w:bookmarkStart w:id="2113" w:name="_Caption5588"/>
      <w:bookmarkStart w:id="2114" w:name="_Caption7977"/>
      <w:bookmarkStart w:id="2115" w:name="_Caption5134"/>
      <w:bookmarkStart w:id="2116" w:name="_Caption1098"/>
      <w:bookmarkStart w:id="2117" w:name="_Caption2469"/>
      <w:bookmarkStart w:id="2118" w:name="_Caption1440"/>
      <w:bookmarkStart w:id="2119" w:name="_Caption1543"/>
      <w:bookmarkStart w:id="2120" w:name="_Caption2464"/>
      <w:bookmarkStart w:id="2121" w:name="_Caption5927"/>
      <w:bookmarkStart w:id="2122" w:name="_Caption3037"/>
      <w:bookmarkStart w:id="2123" w:name="_Caption9913"/>
      <w:bookmarkStart w:id="2124" w:name="_Caption5518"/>
      <w:bookmarkStart w:id="2125" w:name="_Caption1612"/>
      <w:bookmarkStart w:id="2126" w:name="_Caption8578"/>
      <w:bookmarkStart w:id="2127" w:name="_Caption2632"/>
      <w:bookmarkStart w:id="2128" w:name="_Caption1825"/>
      <w:bookmarkStart w:id="2129" w:name="_Caption1451"/>
      <w:bookmarkStart w:id="2130" w:name="_Caption5227"/>
      <w:bookmarkStart w:id="2131" w:name="_Caption6102"/>
      <w:bookmarkStart w:id="2132" w:name="_Caption4064"/>
      <w:bookmarkStart w:id="2133" w:name="_Caption9028"/>
      <w:bookmarkStart w:id="2134" w:name="_Caption0844"/>
      <w:bookmarkStart w:id="2135" w:name="_Caption8097"/>
      <w:bookmarkStart w:id="2136" w:name="_Caption6349"/>
      <w:bookmarkStart w:id="2137" w:name="_Caption7067"/>
      <w:bookmarkStart w:id="2138" w:name="_Caption9219"/>
      <w:bookmarkStart w:id="2139" w:name="_Caption1181"/>
      <w:bookmarkStart w:id="2140" w:name="_Caption1588"/>
      <w:bookmarkStart w:id="2141" w:name="_Caption0086"/>
      <w:bookmarkStart w:id="2142" w:name="_Caption3273"/>
      <w:bookmarkStart w:id="2143" w:name="_Caption0131"/>
      <w:bookmarkStart w:id="2144" w:name="_Caption1305"/>
      <w:bookmarkStart w:id="2145" w:name="_Caption3596"/>
      <w:bookmarkStart w:id="2146" w:name="_Caption8780"/>
      <w:bookmarkStart w:id="2147" w:name="_Caption8492"/>
      <w:bookmarkStart w:id="2148" w:name="_Caption6144"/>
      <w:bookmarkStart w:id="2149" w:name="_Caption5867"/>
      <w:bookmarkStart w:id="2150" w:name="_Caption9473"/>
      <w:bookmarkStart w:id="2151" w:name="_Caption4858"/>
      <w:bookmarkStart w:id="2152" w:name="_Caption3827"/>
      <w:bookmarkStart w:id="2153" w:name="_Caption0276"/>
      <w:bookmarkStart w:id="2154" w:name="_Caption2570"/>
      <w:bookmarkStart w:id="2155" w:name="_Caption4239"/>
      <w:bookmarkStart w:id="2156" w:name="_Caption9897"/>
      <w:bookmarkStart w:id="2157" w:name="_Caption5024"/>
      <w:bookmarkStart w:id="2158" w:name="_Caption4436"/>
      <w:bookmarkStart w:id="2159" w:name="_Caption6751"/>
      <w:bookmarkStart w:id="2160" w:name="_Caption5334"/>
      <w:bookmarkStart w:id="2161" w:name="_Caption5165"/>
      <w:bookmarkStart w:id="2162" w:name="_Caption4280"/>
      <w:bookmarkStart w:id="2163" w:name="_Caption2875"/>
      <w:bookmarkStart w:id="2164" w:name="_Caption8344"/>
      <w:bookmarkStart w:id="2165" w:name="_Caption6477"/>
      <w:bookmarkStart w:id="2166" w:name="_Caption0874"/>
      <w:bookmarkStart w:id="2167" w:name="_Caption4140"/>
      <w:bookmarkStart w:id="2168" w:name="_Caption8136"/>
      <w:bookmarkStart w:id="2169" w:name="_Caption9763"/>
      <w:bookmarkStart w:id="2170" w:name="_Caption4840"/>
      <w:bookmarkStart w:id="2171" w:name="_Caption9525"/>
      <w:bookmarkStart w:id="2172" w:name="_Caption6121"/>
      <w:bookmarkStart w:id="2173" w:name="_Caption9091"/>
      <w:bookmarkStart w:id="2174" w:name="_Caption8031"/>
      <w:bookmarkStart w:id="2175" w:name="_Caption9116"/>
      <w:bookmarkStart w:id="2176" w:name="_Caption5565"/>
      <w:bookmarkStart w:id="2177" w:name="_Caption8791"/>
      <w:bookmarkStart w:id="2178" w:name="_Caption2439"/>
      <w:bookmarkStart w:id="2179" w:name="_Caption7249"/>
      <w:bookmarkStart w:id="2180" w:name="_Caption0238"/>
      <w:bookmarkStart w:id="2181" w:name="_Caption9813"/>
      <w:bookmarkStart w:id="2182" w:name="_Caption7602"/>
      <w:bookmarkStart w:id="2183" w:name="_Caption3935"/>
      <w:bookmarkStart w:id="2184" w:name="_Caption9165"/>
      <w:bookmarkStart w:id="2185" w:name="_Caption5361"/>
      <w:bookmarkStart w:id="2186" w:name="_Caption4731"/>
      <w:bookmarkStart w:id="2187" w:name="_Caption6449"/>
      <w:bookmarkStart w:id="2188" w:name="_Caption3001"/>
      <w:bookmarkStart w:id="2189" w:name="_Caption7478"/>
      <w:bookmarkStart w:id="2190" w:name="_Caption2443"/>
      <w:bookmarkStart w:id="2191" w:name="_Caption9810"/>
      <w:bookmarkStart w:id="2192" w:name="_Caption6789"/>
      <w:bookmarkStart w:id="2193" w:name="_Caption1842"/>
      <w:bookmarkStart w:id="2194" w:name="_Caption4027"/>
      <w:bookmarkStart w:id="2195" w:name="_Caption2697"/>
      <w:bookmarkStart w:id="2196" w:name="_Caption2031"/>
      <w:bookmarkStart w:id="2197" w:name="_Caption3101"/>
      <w:bookmarkStart w:id="2198" w:name="_Caption7080"/>
      <w:bookmarkStart w:id="2199" w:name="_Caption0818"/>
      <w:bookmarkStart w:id="2200" w:name="_Caption3748"/>
      <w:bookmarkStart w:id="2201" w:name="_Caption7956"/>
      <w:bookmarkStart w:id="2202" w:name="_Caption7966"/>
      <w:bookmarkStart w:id="2203" w:name="_Caption8974"/>
      <w:bookmarkStart w:id="2204" w:name="_Caption6863"/>
      <w:bookmarkStart w:id="2205" w:name="_Caption2099"/>
      <w:bookmarkStart w:id="2206" w:name="_Toc32321805"/>
      <w:bookmarkStart w:id="2207" w:name="_Toc44598498"/>
      <w:bookmarkStart w:id="2208" w:name="_Toc45654129"/>
      <w:r w:rsidR="00272AF3">
        <w:rPr>
          <w:noProof/>
        </w:rPr>
        <w:t>2</w:t>
      </w:r>
      <w:r w:rsidR="00272AF3" w:rsidRPr="00695C93">
        <w:rPr>
          <w:noProof/>
        </w:rPr>
        <w:t>.</w:t>
      </w:r>
      <w:r w:rsidR="00272AF3">
        <w:rPr>
          <w:noProof/>
        </w:rPr>
        <w:t>14</w:t>
      </w:r>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r w:rsidRPr="00695C93">
        <w:fldChar w:fldCharType="end"/>
      </w:r>
      <w:r w:rsidRPr="00695C93">
        <w:tab/>
      </w:r>
      <w:r>
        <w:t>Types of home modifications — share of total home modifications</w:t>
      </w:r>
      <w:bookmarkEnd w:id="2206"/>
      <w:bookmarkEnd w:id="2207"/>
      <w:bookmarkEnd w:id="2208"/>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2.14"/>
        <w:tblDescription w:val="Types of home modifications — share of total home modifications"/>
      </w:tblPr>
      <w:tblGrid>
        <w:gridCol w:w="3296"/>
        <w:gridCol w:w="928"/>
        <w:gridCol w:w="928"/>
        <w:gridCol w:w="929"/>
        <w:gridCol w:w="928"/>
        <w:gridCol w:w="928"/>
      </w:tblGrid>
      <w:tr w:rsidR="007C6A5F" w:rsidTr="005F59CB">
        <w:trPr>
          <w:trHeight w:val="230"/>
          <w:tblHeader/>
        </w:trPr>
        <w:tc>
          <w:tcPr>
            <w:tcW w:w="3296" w:type="dxa"/>
            <w:shd w:val="clear" w:color="auto" w:fill="6F6652" w:themeFill="text2"/>
          </w:tcPr>
          <w:p w:rsidR="007C6A5F" w:rsidRDefault="005F59CB" w:rsidP="00C36DA4">
            <w:pPr>
              <w:pStyle w:val="TableDataColumnHeading"/>
              <w:jc w:val="left"/>
              <w:rPr>
                <w:lang w:val="en-GB"/>
              </w:rPr>
            </w:pPr>
            <w:r>
              <w:rPr>
                <w:lang w:val="en-GB"/>
              </w:rPr>
              <w:t>Home modification</w:t>
            </w:r>
          </w:p>
        </w:tc>
        <w:tc>
          <w:tcPr>
            <w:tcW w:w="928" w:type="dxa"/>
            <w:shd w:val="clear" w:color="auto" w:fill="6F6652" w:themeFill="text2"/>
          </w:tcPr>
          <w:p w:rsidR="007C6A5F" w:rsidRDefault="007C6A5F" w:rsidP="00C36DA4">
            <w:pPr>
              <w:pStyle w:val="TableDataColumnHeading"/>
              <w:rPr>
                <w:lang w:val="en-GB"/>
              </w:rPr>
            </w:pPr>
            <w:r>
              <w:rPr>
                <w:lang w:val="en-GB"/>
              </w:rPr>
              <w:t>Profound</w:t>
            </w:r>
            <w:r w:rsidR="005F59CB">
              <w:rPr>
                <w:lang w:val="en-GB"/>
              </w:rPr>
              <w:br/>
              <w:t>(per cent)</w:t>
            </w:r>
          </w:p>
        </w:tc>
        <w:tc>
          <w:tcPr>
            <w:tcW w:w="928" w:type="dxa"/>
            <w:shd w:val="clear" w:color="auto" w:fill="6F6652" w:themeFill="text2"/>
          </w:tcPr>
          <w:p w:rsidR="007C6A5F" w:rsidRDefault="007C6A5F" w:rsidP="00C36DA4">
            <w:pPr>
              <w:pStyle w:val="TableDataColumnHeading"/>
              <w:rPr>
                <w:lang w:val="en-GB"/>
              </w:rPr>
            </w:pPr>
            <w:r>
              <w:rPr>
                <w:lang w:val="en-GB"/>
              </w:rPr>
              <w:t>Severe</w:t>
            </w:r>
            <w:r w:rsidR="005F59CB">
              <w:rPr>
                <w:lang w:val="en-GB"/>
              </w:rPr>
              <w:br/>
              <w:t>(per cent)</w:t>
            </w:r>
          </w:p>
        </w:tc>
        <w:tc>
          <w:tcPr>
            <w:tcW w:w="929" w:type="dxa"/>
            <w:shd w:val="clear" w:color="auto" w:fill="6F6652" w:themeFill="text2"/>
          </w:tcPr>
          <w:p w:rsidR="007C6A5F" w:rsidRDefault="007C6A5F" w:rsidP="00C36DA4">
            <w:pPr>
              <w:pStyle w:val="TableDataColumnHeading"/>
              <w:rPr>
                <w:lang w:val="en-GB"/>
              </w:rPr>
            </w:pPr>
            <w:r>
              <w:rPr>
                <w:lang w:val="en-GB"/>
              </w:rPr>
              <w:t>Moderate</w:t>
            </w:r>
            <w:r w:rsidR="005F59CB">
              <w:rPr>
                <w:lang w:val="en-GB"/>
              </w:rPr>
              <w:br/>
              <w:t>(per cent)</w:t>
            </w:r>
          </w:p>
        </w:tc>
        <w:tc>
          <w:tcPr>
            <w:tcW w:w="928" w:type="dxa"/>
            <w:shd w:val="clear" w:color="auto" w:fill="6F6652" w:themeFill="text2"/>
          </w:tcPr>
          <w:p w:rsidR="007C6A5F" w:rsidRDefault="007C6A5F" w:rsidP="00C36DA4">
            <w:pPr>
              <w:pStyle w:val="TableDataColumnHeading"/>
              <w:rPr>
                <w:lang w:val="en-GB"/>
              </w:rPr>
            </w:pPr>
            <w:r>
              <w:rPr>
                <w:lang w:val="en-GB"/>
              </w:rPr>
              <w:t>Mild</w:t>
            </w:r>
            <w:r w:rsidR="005F59CB">
              <w:rPr>
                <w:lang w:val="en-GB"/>
              </w:rPr>
              <w:br/>
              <w:t>(per cent)</w:t>
            </w:r>
          </w:p>
        </w:tc>
        <w:tc>
          <w:tcPr>
            <w:tcW w:w="928" w:type="dxa"/>
            <w:shd w:val="clear" w:color="auto" w:fill="6F6652" w:themeFill="text2"/>
          </w:tcPr>
          <w:p w:rsidR="007C6A5F" w:rsidRDefault="007C6A5F" w:rsidP="00C36DA4">
            <w:pPr>
              <w:pStyle w:val="TableDataColumnHeading"/>
              <w:rPr>
                <w:lang w:val="en-GB"/>
              </w:rPr>
            </w:pPr>
            <w:r>
              <w:rPr>
                <w:lang w:val="en-GB"/>
              </w:rPr>
              <w:t>Total</w:t>
            </w:r>
            <w:r w:rsidR="005F59CB">
              <w:rPr>
                <w:lang w:val="en-GB"/>
              </w:rPr>
              <w:br/>
              <w:t>(per cent)</w:t>
            </w:r>
          </w:p>
        </w:tc>
      </w:tr>
      <w:tr w:rsidR="007C6A5F" w:rsidTr="00A324CA">
        <w:trPr>
          <w:trHeight w:val="230"/>
        </w:trPr>
        <w:tc>
          <w:tcPr>
            <w:tcW w:w="329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Structural changes</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15.3</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12.9</w:t>
            </w:r>
          </w:p>
        </w:tc>
        <w:tc>
          <w:tcPr>
            <w:tcW w:w="9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11.5</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5.7</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11.5</w:t>
            </w:r>
          </w:p>
        </w:tc>
      </w:tr>
      <w:tr w:rsidR="007C6A5F" w:rsidTr="00A324CA">
        <w:trPr>
          <w:trHeight w:val="230"/>
        </w:trPr>
        <w:tc>
          <w:tcPr>
            <w:tcW w:w="329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Ramps</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30.7</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20.9</w:t>
            </w:r>
          </w:p>
        </w:tc>
        <w:tc>
          <w:tcPr>
            <w:tcW w:w="9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20.3</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13.8</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22.3</w:t>
            </w:r>
          </w:p>
        </w:tc>
      </w:tr>
      <w:tr w:rsidR="007C6A5F" w:rsidTr="00A324CA">
        <w:trPr>
          <w:trHeight w:val="230"/>
        </w:trPr>
        <w:tc>
          <w:tcPr>
            <w:tcW w:w="329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Toilet, bath or laundry modifications</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57.1</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50.5</w:t>
            </w:r>
          </w:p>
        </w:tc>
        <w:tc>
          <w:tcPr>
            <w:tcW w:w="9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44.3</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39.0</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49.2</w:t>
            </w:r>
          </w:p>
        </w:tc>
      </w:tr>
      <w:tr w:rsidR="007C6A5F" w:rsidTr="00A324CA">
        <w:trPr>
          <w:trHeight w:val="230"/>
        </w:trPr>
        <w:tc>
          <w:tcPr>
            <w:tcW w:w="329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Kitchen modifications</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7.4</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4.4</w:t>
            </w:r>
          </w:p>
        </w:tc>
        <w:tc>
          <w:tcPr>
            <w:tcW w:w="9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2.6</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3.1</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4.6</w:t>
            </w:r>
          </w:p>
        </w:tc>
      </w:tr>
      <w:tr w:rsidR="007C6A5F" w:rsidTr="00A324CA">
        <w:trPr>
          <w:trHeight w:val="230"/>
        </w:trPr>
        <w:tc>
          <w:tcPr>
            <w:tcW w:w="329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Doors widened</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9.1</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3.6</w:t>
            </w:r>
          </w:p>
        </w:tc>
        <w:tc>
          <w:tcPr>
            <w:tcW w:w="9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3.6</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1.1</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4.7</w:t>
            </w:r>
          </w:p>
        </w:tc>
      </w:tr>
      <w:tr w:rsidR="007C6A5F" w:rsidTr="00A324CA">
        <w:trPr>
          <w:trHeight w:val="230"/>
        </w:trPr>
        <w:tc>
          <w:tcPr>
            <w:tcW w:w="329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Handrails or grab rails</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66.1</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65.6</w:t>
            </w:r>
          </w:p>
        </w:tc>
        <w:tc>
          <w:tcPr>
            <w:tcW w:w="9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70.9</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63.4</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66.5</w:t>
            </w:r>
          </w:p>
        </w:tc>
      </w:tr>
      <w:tr w:rsidR="007C6A5F" w:rsidTr="00A324CA">
        <w:trPr>
          <w:trHeight w:val="230"/>
        </w:trPr>
        <w:tc>
          <w:tcPr>
            <w:tcW w:w="329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Remote controls</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1.9</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2.3</w:t>
            </w:r>
          </w:p>
        </w:tc>
        <w:tc>
          <w:tcPr>
            <w:tcW w:w="9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2.3</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0.0</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1.5</w:t>
            </w:r>
          </w:p>
        </w:tc>
      </w:tr>
      <w:tr w:rsidR="007C6A5F" w:rsidTr="00A324CA">
        <w:trPr>
          <w:trHeight w:val="230"/>
        </w:trPr>
        <w:tc>
          <w:tcPr>
            <w:tcW w:w="329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New or changed heating or air-conditioning</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11.8</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4.8</w:t>
            </w:r>
          </w:p>
        </w:tc>
        <w:tc>
          <w:tcPr>
            <w:tcW w:w="9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3.4</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3.1</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6.0</w:t>
            </w:r>
          </w:p>
        </w:tc>
      </w:tr>
      <w:tr w:rsidR="007C6A5F" w:rsidTr="00A324CA">
        <w:trPr>
          <w:trHeight w:val="230"/>
        </w:trPr>
        <w:tc>
          <w:tcPr>
            <w:tcW w:w="329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Installed home automation/smart home or environmental control system</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2.4</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0.0</w:t>
            </w:r>
          </w:p>
        </w:tc>
        <w:tc>
          <w:tcPr>
            <w:tcW w:w="9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0.0</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0.0</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0.9</w:t>
            </w:r>
          </w:p>
        </w:tc>
      </w:tr>
      <w:tr w:rsidR="007C6A5F" w:rsidTr="00B5160B">
        <w:trPr>
          <w:trHeight w:val="230"/>
        </w:trPr>
        <w:tc>
          <w:tcPr>
            <w:tcW w:w="329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Telemonitoring system</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3.0</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2.3</w:t>
            </w:r>
          </w:p>
        </w:tc>
        <w:tc>
          <w:tcPr>
            <w:tcW w:w="9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0.0</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1.7</w:t>
            </w:r>
          </w:p>
        </w:tc>
        <w:tc>
          <w:tcPr>
            <w:tcW w:w="9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2.0</w:t>
            </w:r>
          </w:p>
        </w:tc>
      </w:tr>
      <w:tr w:rsidR="007C6A5F" w:rsidTr="00B5160B">
        <w:trPr>
          <w:trHeight w:val="230"/>
        </w:trPr>
        <w:tc>
          <w:tcPr>
            <w:tcW w:w="3296"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jc w:val="left"/>
              <w:rPr>
                <w:lang w:val="en-GB"/>
              </w:rPr>
            </w:pPr>
            <w:r>
              <w:rPr>
                <w:lang w:val="en-GB"/>
              </w:rPr>
              <w:t>Other change to dwelling</w:t>
            </w:r>
          </w:p>
        </w:tc>
        <w:tc>
          <w:tcPr>
            <w:tcW w:w="928"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rPr>
                <w:lang w:val="en-GB"/>
              </w:rPr>
              <w:t xml:space="preserve"> 11.3</w:t>
            </w:r>
          </w:p>
        </w:tc>
        <w:tc>
          <w:tcPr>
            <w:tcW w:w="928"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rPr>
                <w:lang w:val="en-GB"/>
              </w:rPr>
              <w:t xml:space="preserve"> 14.6</w:t>
            </w:r>
          </w:p>
        </w:tc>
        <w:tc>
          <w:tcPr>
            <w:tcW w:w="929"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rPr>
                <w:lang w:val="en-GB"/>
              </w:rPr>
              <w:t xml:space="preserve"> 9.4</w:t>
            </w:r>
          </w:p>
        </w:tc>
        <w:tc>
          <w:tcPr>
            <w:tcW w:w="928"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rPr>
                <w:lang w:val="en-GB"/>
              </w:rPr>
              <w:t xml:space="preserve"> 13.0</w:t>
            </w:r>
          </w:p>
        </w:tc>
        <w:tc>
          <w:tcPr>
            <w:tcW w:w="928"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rPr>
                <w:lang w:val="en-GB"/>
              </w:rPr>
              <w:t xml:space="preserve"> 12.0</w:t>
            </w:r>
          </w:p>
        </w:tc>
      </w:tr>
    </w:tbl>
    <w:p w:rsidR="007C6A5F" w:rsidRDefault="007C6A5F" w:rsidP="007C6A5F">
      <w:pPr>
        <w:pStyle w:val="Note"/>
        <w:rPr>
          <w:lang w:bidi="fa-IR"/>
        </w:rPr>
      </w:pPr>
      <w:r w:rsidRPr="007D1B4F">
        <w:rPr>
          <w:i/>
        </w:rPr>
        <w:t>Note:</w:t>
      </w:r>
      <w:r w:rsidRPr="00E879B8">
        <w:t xml:space="preserve"> </w:t>
      </w:r>
      <w:r>
        <w:t>Refers to the percentage of total home modifications.</w:t>
      </w:r>
    </w:p>
    <w:p w:rsidR="007C6A5F" w:rsidRDefault="007C6A5F" w:rsidP="007C6A5F">
      <w:pPr>
        <w:pStyle w:val="Source"/>
        <w:rPr>
          <w:lang w:bidi="fa-IR"/>
        </w:rPr>
      </w:pPr>
      <w:r w:rsidRPr="001F45FC">
        <w:rPr>
          <w:i/>
          <w:lang w:bidi="fa-IR"/>
        </w:rPr>
        <w:t>Source:</w:t>
      </w:r>
      <w:r>
        <w:rPr>
          <w:lang w:bidi="fa-IR"/>
        </w:rPr>
        <w:t xml:space="preserve"> </w:t>
      </w:r>
      <w:r>
        <w:t>ABS, Survey of Disabilities, Ageing and Carers, 2018, TableBuilder.</w:t>
      </w:r>
    </w:p>
    <w:p w:rsidR="007C6A5F" w:rsidRDefault="007C6A5F" w:rsidP="007C6A5F">
      <w:pPr>
        <w:pStyle w:val="BodyText"/>
        <w:rPr>
          <w:lang w:eastAsia="en-US"/>
        </w:rPr>
      </w:pPr>
      <w:r>
        <w:rPr>
          <w:lang w:eastAsia="en-US"/>
        </w:rPr>
        <w:t>Carnemolla and Bridge (2019) also report information on the types of home modifications based on a sample of 157 home modifications funded under the (previous) Home and Community Care (HACC) Program in NSW.</w:t>
      </w:r>
      <w:r>
        <w:rPr>
          <w:rStyle w:val="FootnoteReference"/>
          <w:lang w:eastAsia="en-US"/>
        </w:rPr>
        <w:footnoteReference w:id="27"/>
      </w:r>
    </w:p>
    <w:p w:rsidR="00EF4A2E" w:rsidRDefault="00EF4A2E" w:rsidP="007C6A5F">
      <w:pPr>
        <w:pStyle w:val="Caption"/>
      </w:pPr>
      <w:r>
        <w:br w:type="page"/>
      </w:r>
    </w:p>
    <w:p w:rsidR="007C6A5F" w:rsidRDefault="007C6A5F" w:rsidP="007C6A5F">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2</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15</w:instrText>
      </w:r>
      <w:r w:rsidRPr="00695C93">
        <w:fldChar w:fldCharType="end"/>
      </w:r>
      <w:r w:rsidRPr="00695C93">
        <w:instrText xml:space="preserve">" "" </w:instrText>
      </w:r>
      <w:r w:rsidRPr="00695C93">
        <w:fldChar w:fldCharType="separate"/>
      </w:r>
      <w:bookmarkStart w:id="2209" w:name="_Caption2463"/>
      <w:bookmarkStart w:id="2210" w:name="_Caption2201"/>
      <w:bookmarkStart w:id="2211" w:name="_Caption2610"/>
      <w:bookmarkStart w:id="2212" w:name="_Caption0716"/>
      <w:bookmarkStart w:id="2213" w:name="_Caption2370"/>
      <w:bookmarkStart w:id="2214" w:name="_Caption9754"/>
      <w:bookmarkStart w:id="2215" w:name="_Caption9180"/>
      <w:bookmarkStart w:id="2216" w:name="_Caption1492"/>
      <w:bookmarkStart w:id="2217" w:name="_Caption7955"/>
      <w:bookmarkStart w:id="2218" w:name="_Caption7850"/>
      <w:bookmarkStart w:id="2219" w:name="_Caption4198"/>
      <w:bookmarkStart w:id="2220" w:name="_Caption1119"/>
      <w:bookmarkStart w:id="2221" w:name="_Caption7936"/>
      <w:bookmarkStart w:id="2222" w:name="_Caption4577"/>
      <w:bookmarkStart w:id="2223" w:name="_Caption2712"/>
      <w:bookmarkStart w:id="2224" w:name="_Caption4211"/>
      <w:bookmarkStart w:id="2225" w:name="_Caption9711"/>
      <w:bookmarkStart w:id="2226" w:name="_Caption4540"/>
      <w:bookmarkStart w:id="2227" w:name="_Caption6565"/>
      <w:bookmarkStart w:id="2228" w:name="_Caption3653"/>
      <w:bookmarkStart w:id="2229" w:name="_Caption9946"/>
      <w:bookmarkStart w:id="2230" w:name="_Caption2422"/>
      <w:bookmarkStart w:id="2231" w:name="_Caption7025"/>
      <w:bookmarkStart w:id="2232" w:name="_Caption9800"/>
      <w:bookmarkStart w:id="2233" w:name="_Caption7908"/>
      <w:bookmarkStart w:id="2234" w:name="_Caption1108"/>
      <w:bookmarkStart w:id="2235" w:name="_Caption9468"/>
      <w:bookmarkStart w:id="2236" w:name="_Caption9676"/>
      <w:bookmarkStart w:id="2237" w:name="_Caption9042"/>
      <w:bookmarkStart w:id="2238" w:name="_Caption3958"/>
      <w:bookmarkStart w:id="2239" w:name="_Caption4300"/>
      <w:bookmarkStart w:id="2240" w:name="_Caption4186"/>
      <w:bookmarkStart w:id="2241" w:name="_Caption0556"/>
      <w:bookmarkStart w:id="2242" w:name="_Caption4642"/>
      <w:bookmarkStart w:id="2243" w:name="_Caption6280"/>
      <w:bookmarkStart w:id="2244" w:name="_Caption7287"/>
      <w:bookmarkStart w:id="2245" w:name="_Caption7753"/>
      <w:bookmarkStart w:id="2246" w:name="_Caption1304"/>
      <w:bookmarkStart w:id="2247" w:name="_Caption6676"/>
      <w:bookmarkStart w:id="2248" w:name="_Caption5215"/>
      <w:bookmarkStart w:id="2249" w:name="_Caption7212"/>
      <w:bookmarkStart w:id="2250" w:name="_Caption2128"/>
      <w:bookmarkStart w:id="2251" w:name="_Caption6186"/>
      <w:bookmarkStart w:id="2252" w:name="_Caption7323"/>
      <w:bookmarkStart w:id="2253" w:name="_Caption7458"/>
      <w:bookmarkStart w:id="2254" w:name="_Caption6122"/>
      <w:bookmarkStart w:id="2255" w:name="_Caption1242"/>
      <w:bookmarkStart w:id="2256" w:name="_Caption4680"/>
      <w:bookmarkStart w:id="2257" w:name="_Caption4306"/>
      <w:bookmarkStart w:id="2258" w:name="_Caption0472"/>
      <w:bookmarkStart w:id="2259" w:name="_Caption5062"/>
      <w:bookmarkStart w:id="2260" w:name="_Caption3650"/>
      <w:bookmarkStart w:id="2261" w:name="_Caption0870"/>
      <w:bookmarkStart w:id="2262" w:name="_Caption7280"/>
      <w:bookmarkStart w:id="2263" w:name="_Caption2023"/>
      <w:bookmarkStart w:id="2264" w:name="_Caption1006"/>
      <w:bookmarkStart w:id="2265" w:name="_Caption8899"/>
      <w:bookmarkStart w:id="2266" w:name="_Caption1495"/>
      <w:bookmarkStart w:id="2267" w:name="_Caption4986"/>
      <w:bookmarkStart w:id="2268" w:name="_Caption2318"/>
      <w:bookmarkStart w:id="2269" w:name="_Caption5877"/>
      <w:bookmarkStart w:id="2270" w:name="_Caption5561"/>
      <w:bookmarkStart w:id="2271" w:name="_Caption1643"/>
      <w:bookmarkStart w:id="2272" w:name="_Caption4789"/>
      <w:bookmarkStart w:id="2273" w:name="_Caption4949"/>
      <w:bookmarkStart w:id="2274" w:name="_Caption5932"/>
      <w:bookmarkStart w:id="2275" w:name="_Caption7509"/>
      <w:bookmarkStart w:id="2276" w:name="_Caption5994"/>
      <w:bookmarkStart w:id="2277" w:name="_Caption2547"/>
      <w:bookmarkStart w:id="2278" w:name="_Caption5358"/>
      <w:bookmarkStart w:id="2279" w:name="_Caption8564"/>
      <w:bookmarkStart w:id="2280" w:name="_Caption6318"/>
      <w:bookmarkStart w:id="2281" w:name="_Caption0956"/>
      <w:bookmarkStart w:id="2282" w:name="_Caption2475"/>
      <w:bookmarkStart w:id="2283" w:name="_Caption8848"/>
      <w:bookmarkStart w:id="2284" w:name="_Caption5955"/>
      <w:bookmarkStart w:id="2285" w:name="_Caption7585"/>
      <w:bookmarkStart w:id="2286" w:name="_Caption4386"/>
      <w:bookmarkStart w:id="2287" w:name="_Caption8354"/>
      <w:bookmarkStart w:id="2288" w:name="_Caption1161"/>
      <w:bookmarkStart w:id="2289" w:name="_Caption6523"/>
      <w:bookmarkStart w:id="2290" w:name="_Caption7880"/>
      <w:bookmarkStart w:id="2291" w:name="_Caption8685"/>
      <w:bookmarkStart w:id="2292" w:name="_Caption1793"/>
      <w:bookmarkStart w:id="2293" w:name="_Caption3011"/>
      <w:bookmarkStart w:id="2294" w:name="_Caption5113"/>
      <w:bookmarkStart w:id="2295" w:name="_Caption4836"/>
      <w:bookmarkStart w:id="2296" w:name="_Caption9708"/>
      <w:bookmarkStart w:id="2297" w:name="_Caption0432"/>
      <w:bookmarkStart w:id="2298" w:name="_Caption5330"/>
      <w:bookmarkStart w:id="2299" w:name="_Caption5812"/>
      <w:bookmarkStart w:id="2300" w:name="_Caption8875"/>
      <w:bookmarkStart w:id="2301" w:name="_Caption4500"/>
      <w:bookmarkStart w:id="2302" w:name="_Caption6724"/>
      <w:bookmarkStart w:id="2303" w:name="_Caption0747"/>
      <w:bookmarkStart w:id="2304" w:name="_Caption2269"/>
      <w:bookmarkStart w:id="2305" w:name="_Caption5658"/>
      <w:bookmarkStart w:id="2306" w:name="_Caption6343"/>
      <w:bookmarkStart w:id="2307" w:name="_Caption0827"/>
      <w:bookmarkStart w:id="2308" w:name="_Caption3447"/>
      <w:bookmarkStart w:id="2309" w:name="_Caption7911"/>
      <w:bookmarkStart w:id="2310" w:name="_Caption4919"/>
      <w:bookmarkStart w:id="2311" w:name="_Caption4613"/>
      <w:bookmarkStart w:id="2312" w:name="_Caption6013"/>
      <w:bookmarkStart w:id="2313" w:name="_Caption3896"/>
      <w:bookmarkStart w:id="2314" w:name="_Caption0386"/>
      <w:bookmarkStart w:id="2315" w:name="_Caption1145"/>
      <w:bookmarkStart w:id="2316" w:name="_Caption2053"/>
      <w:bookmarkStart w:id="2317" w:name="_Caption3774"/>
      <w:bookmarkStart w:id="2318" w:name="_Caption7994"/>
      <w:bookmarkStart w:id="2319" w:name="_Caption6461"/>
      <w:bookmarkStart w:id="2320" w:name="_Caption9446"/>
      <w:bookmarkStart w:id="2321" w:name="_Caption8432"/>
      <w:bookmarkStart w:id="2322" w:name="_Caption3658"/>
      <w:bookmarkStart w:id="2323" w:name="_Caption5324"/>
      <w:bookmarkStart w:id="2324" w:name="_Caption1617"/>
      <w:bookmarkStart w:id="2325" w:name="_Caption3820"/>
      <w:bookmarkStart w:id="2326" w:name="_Caption2137"/>
      <w:bookmarkStart w:id="2327" w:name="_Caption5117"/>
      <w:bookmarkStart w:id="2328" w:name="_Caption4192"/>
      <w:bookmarkStart w:id="2329" w:name="_Caption6433"/>
      <w:bookmarkStart w:id="2330" w:name="_Caption1029"/>
      <w:bookmarkStart w:id="2331" w:name="_Caption2112"/>
      <w:bookmarkStart w:id="2332" w:name="_Caption1826"/>
      <w:bookmarkStart w:id="2333" w:name="_Toc32321806"/>
      <w:bookmarkStart w:id="2334" w:name="_Toc44598499"/>
      <w:bookmarkStart w:id="2335" w:name="_Toc45654130"/>
      <w:r w:rsidR="00272AF3">
        <w:rPr>
          <w:noProof/>
        </w:rPr>
        <w:t>2</w:t>
      </w:r>
      <w:r w:rsidR="00272AF3" w:rsidRPr="00695C93">
        <w:rPr>
          <w:noProof/>
        </w:rPr>
        <w:t>.</w:t>
      </w:r>
      <w:r w:rsidR="00272AF3">
        <w:rPr>
          <w:noProof/>
        </w:rPr>
        <w:t>15</w:t>
      </w:r>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r w:rsidRPr="00695C93">
        <w:fldChar w:fldCharType="end"/>
      </w:r>
      <w:r w:rsidRPr="00695C93">
        <w:tab/>
      </w:r>
      <w:r>
        <w:t>Share of home modifications</w:t>
      </w:r>
      <w:bookmarkEnd w:id="2333"/>
      <w:bookmarkEnd w:id="2334"/>
      <w:bookmarkEnd w:id="2335"/>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2.15"/>
        <w:tblDescription w:val="Share of home modifications"/>
      </w:tblPr>
      <w:tblGrid>
        <w:gridCol w:w="2031"/>
        <w:gridCol w:w="2647"/>
        <w:gridCol w:w="3259"/>
      </w:tblGrid>
      <w:tr w:rsidR="00174B52" w:rsidTr="00174B52">
        <w:trPr>
          <w:trHeight w:val="230"/>
          <w:tblHeader/>
        </w:trPr>
        <w:tc>
          <w:tcPr>
            <w:tcW w:w="2031" w:type="dxa"/>
            <w:shd w:val="clear" w:color="auto" w:fill="6F6652" w:themeFill="text2"/>
          </w:tcPr>
          <w:p w:rsidR="00174B52" w:rsidRDefault="00174B52" w:rsidP="00C36DA4">
            <w:pPr>
              <w:pStyle w:val="TableDataColumnHeading"/>
              <w:jc w:val="left"/>
              <w:rPr>
                <w:lang w:val="en-GB"/>
              </w:rPr>
            </w:pPr>
            <w:r>
              <w:rPr>
                <w:lang w:val="en-GB"/>
              </w:rPr>
              <w:t>Location</w:t>
            </w:r>
          </w:p>
        </w:tc>
        <w:tc>
          <w:tcPr>
            <w:tcW w:w="2647" w:type="dxa"/>
            <w:shd w:val="clear" w:color="auto" w:fill="6F6652" w:themeFill="text2"/>
          </w:tcPr>
          <w:p w:rsidR="00174B52" w:rsidRDefault="00174B52" w:rsidP="00C36DA4">
            <w:pPr>
              <w:pStyle w:val="TableDataColumnHeading"/>
              <w:jc w:val="left"/>
              <w:rPr>
                <w:lang w:val="en-GB"/>
              </w:rPr>
            </w:pPr>
            <w:r>
              <w:rPr>
                <w:lang w:val="en-GB"/>
              </w:rPr>
              <w:t>Modification</w:t>
            </w:r>
          </w:p>
        </w:tc>
        <w:tc>
          <w:tcPr>
            <w:tcW w:w="3259" w:type="dxa"/>
            <w:shd w:val="clear" w:color="auto" w:fill="6F6652" w:themeFill="text2"/>
          </w:tcPr>
          <w:p w:rsidR="00174B52" w:rsidRDefault="00174B52" w:rsidP="00C36DA4">
            <w:pPr>
              <w:pStyle w:val="TableDataColumnHeading"/>
              <w:rPr>
                <w:lang w:val="en-GB"/>
              </w:rPr>
            </w:pPr>
            <w:r>
              <w:rPr>
                <w:lang w:val="en-GB"/>
              </w:rPr>
              <w:t>Share of modifications (per cent)</w:t>
            </w:r>
          </w:p>
        </w:tc>
      </w:tr>
      <w:tr w:rsidR="00174B52" w:rsidTr="00174B52">
        <w:trPr>
          <w:trHeight w:val="230"/>
        </w:trPr>
        <w:tc>
          <w:tcPr>
            <w:tcW w:w="2031"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jc w:val="left"/>
              <w:rPr>
                <w:lang w:val="en-GB"/>
              </w:rPr>
            </w:pPr>
            <w:r>
              <w:rPr>
                <w:lang w:val="en-GB"/>
              </w:rPr>
              <w:t>Bathroom modifications</w:t>
            </w:r>
          </w:p>
        </w:tc>
        <w:tc>
          <w:tcPr>
            <w:tcW w:w="2647"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jc w:val="left"/>
              <w:rPr>
                <w:lang w:val="en-GB"/>
              </w:rPr>
            </w:pPr>
            <w:r>
              <w:rPr>
                <w:lang w:val="en-GB"/>
              </w:rPr>
              <w:t>Major bathroom modifications</w:t>
            </w:r>
          </w:p>
        </w:tc>
        <w:tc>
          <w:tcPr>
            <w:tcW w:w="3259"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rPr>
                <w:lang w:val="en-GB"/>
              </w:rPr>
            </w:pPr>
            <w:r>
              <w:rPr>
                <w:lang w:val="en-GB"/>
              </w:rPr>
              <w:t xml:space="preserve"> 35.0</w:t>
            </w:r>
          </w:p>
        </w:tc>
      </w:tr>
      <w:tr w:rsidR="00174B52" w:rsidTr="00174B52">
        <w:trPr>
          <w:trHeight w:val="230"/>
        </w:trPr>
        <w:tc>
          <w:tcPr>
            <w:tcW w:w="2031"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jc w:val="left"/>
              <w:rPr>
                <w:lang w:val="en-GB"/>
              </w:rPr>
            </w:pPr>
            <w:r w:rsidRPr="00B03AB1">
              <w:rPr>
                <w:lang w:val="en-GB"/>
              </w:rPr>
              <w:t>Bathroom modifications</w:t>
            </w:r>
          </w:p>
        </w:tc>
        <w:tc>
          <w:tcPr>
            <w:tcW w:w="2647"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jc w:val="left"/>
              <w:rPr>
                <w:lang w:val="en-GB"/>
              </w:rPr>
            </w:pPr>
            <w:r>
              <w:rPr>
                <w:lang w:val="en-GB"/>
              </w:rPr>
              <w:t>Grab rail in shower</w:t>
            </w:r>
          </w:p>
        </w:tc>
        <w:tc>
          <w:tcPr>
            <w:tcW w:w="3259"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rPr>
                <w:lang w:val="en-GB"/>
              </w:rPr>
            </w:pPr>
            <w:r>
              <w:rPr>
                <w:lang w:val="en-GB"/>
              </w:rPr>
              <w:t xml:space="preserve"> 22.9</w:t>
            </w:r>
          </w:p>
        </w:tc>
      </w:tr>
      <w:tr w:rsidR="00174B52" w:rsidTr="00174B52">
        <w:trPr>
          <w:trHeight w:val="230"/>
        </w:trPr>
        <w:tc>
          <w:tcPr>
            <w:tcW w:w="2031"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jc w:val="left"/>
              <w:rPr>
                <w:lang w:val="en-GB"/>
              </w:rPr>
            </w:pPr>
            <w:r w:rsidRPr="00B03AB1">
              <w:rPr>
                <w:lang w:val="en-GB"/>
              </w:rPr>
              <w:t>Bathroom modifications</w:t>
            </w:r>
          </w:p>
        </w:tc>
        <w:tc>
          <w:tcPr>
            <w:tcW w:w="2647"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jc w:val="left"/>
              <w:rPr>
                <w:lang w:val="en-GB"/>
              </w:rPr>
            </w:pPr>
            <w:r>
              <w:rPr>
                <w:lang w:val="en-GB"/>
              </w:rPr>
              <w:t>Grab rail in bath</w:t>
            </w:r>
          </w:p>
        </w:tc>
        <w:tc>
          <w:tcPr>
            <w:tcW w:w="3259"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rPr>
                <w:lang w:val="en-GB"/>
              </w:rPr>
            </w:pPr>
            <w:r>
              <w:rPr>
                <w:lang w:val="en-GB"/>
              </w:rPr>
              <w:t xml:space="preserve"> 4.5</w:t>
            </w:r>
          </w:p>
        </w:tc>
      </w:tr>
      <w:tr w:rsidR="00174B52" w:rsidTr="00174B52">
        <w:trPr>
          <w:trHeight w:val="230"/>
        </w:trPr>
        <w:tc>
          <w:tcPr>
            <w:tcW w:w="2031"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jc w:val="left"/>
              <w:rPr>
                <w:lang w:val="en-GB"/>
              </w:rPr>
            </w:pPr>
            <w:r w:rsidRPr="00B03AB1">
              <w:rPr>
                <w:lang w:val="en-GB"/>
              </w:rPr>
              <w:t>Bathroom modifications</w:t>
            </w:r>
          </w:p>
        </w:tc>
        <w:tc>
          <w:tcPr>
            <w:tcW w:w="2647"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jc w:val="left"/>
              <w:rPr>
                <w:lang w:val="en-GB"/>
              </w:rPr>
            </w:pPr>
            <w:r>
              <w:rPr>
                <w:lang w:val="en-GB"/>
              </w:rPr>
              <w:t>Hand held shower</w:t>
            </w:r>
          </w:p>
        </w:tc>
        <w:tc>
          <w:tcPr>
            <w:tcW w:w="3259"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rPr>
                <w:lang w:val="en-GB"/>
              </w:rPr>
            </w:pPr>
            <w:r>
              <w:rPr>
                <w:lang w:val="en-GB"/>
              </w:rPr>
              <w:t xml:space="preserve"> 10.2</w:t>
            </w:r>
          </w:p>
        </w:tc>
      </w:tr>
      <w:tr w:rsidR="00174B52" w:rsidTr="00174B52">
        <w:trPr>
          <w:trHeight w:val="230"/>
        </w:trPr>
        <w:tc>
          <w:tcPr>
            <w:tcW w:w="2031"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jc w:val="left"/>
              <w:rPr>
                <w:lang w:val="en-GB"/>
              </w:rPr>
            </w:pPr>
            <w:r w:rsidRPr="00B03AB1">
              <w:rPr>
                <w:lang w:val="en-GB"/>
              </w:rPr>
              <w:t>Bathroom modifications</w:t>
            </w:r>
          </w:p>
        </w:tc>
        <w:tc>
          <w:tcPr>
            <w:tcW w:w="2647"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jc w:val="left"/>
              <w:rPr>
                <w:lang w:val="en-GB"/>
              </w:rPr>
            </w:pPr>
            <w:r>
              <w:rPr>
                <w:lang w:val="en-GB"/>
              </w:rPr>
              <w:t>Shower screen removal</w:t>
            </w:r>
          </w:p>
        </w:tc>
        <w:tc>
          <w:tcPr>
            <w:tcW w:w="3259"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rPr>
                <w:lang w:val="en-GB"/>
              </w:rPr>
            </w:pPr>
            <w:r>
              <w:rPr>
                <w:lang w:val="en-GB"/>
              </w:rPr>
              <w:t xml:space="preserve"> 1.9</w:t>
            </w:r>
          </w:p>
        </w:tc>
      </w:tr>
      <w:tr w:rsidR="00174B52" w:rsidTr="00174B52">
        <w:trPr>
          <w:trHeight w:val="230"/>
        </w:trPr>
        <w:tc>
          <w:tcPr>
            <w:tcW w:w="2031"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jc w:val="left"/>
              <w:rPr>
                <w:lang w:val="en-GB"/>
              </w:rPr>
            </w:pPr>
            <w:r w:rsidRPr="00B03AB1">
              <w:rPr>
                <w:lang w:val="en-GB"/>
              </w:rPr>
              <w:t>Bathroom modifications</w:t>
            </w:r>
          </w:p>
        </w:tc>
        <w:tc>
          <w:tcPr>
            <w:tcW w:w="2647"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jc w:val="left"/>
              <w:rPr>
                <w:lang w:val="en-GB"/>
              </w:rPr>
            </w:pPr>
            <w:r>
              <w:rPr>
                <w:lang w:val="en-GB"/>
              </w:rPr>
              <w:t>Grab rail in toilet</w:t>
            </w:r>
          </w:p>
        </w:tc>
        <w:tc>
          <w:tcPr>
            <w:tcW w:w="3259"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rPr>
                <w:lang w:val="en-GB"/>
              </w:rPr>
            </w:pPr>
            <w:r>
              <w:rPr>
                <w:lang w:val="en-GB"/>
              </w:rPr>
              <w:t xml:space="preserve"> 10.8</w:t>
            </w:r>
          </w:p>
        </w:tc>
      </w:tr>
      <w:tr w:rsidR="00174B52" w:rsidTr="00174B52">
        <w:trPr>
          <w:trHeight w:val="230"/>
        </w:trPr>
        <w:tc>
          <w:tcPr>
            <w:tcW w:w="2031"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jc w:val="left"/>
              <w:rPr>
                <w:lang w:val="en-GB"/>
              </w:rPr>
            </w:pPr>
            <w:r>
              <w:rPr>
                <w:lang w:val="en-GB"/>
              </w:rPr>
              <w:t>Access modifications</w:t>
            </w:r>
          </w:p>
        </w:tc>
        <w:tc>
          <w:tcPr>
            <w:tcW w:w="2647"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jc w:val="left"/>
              <w:rPr>
                <w:lang w:val="en-GB"/>
              </w:rPr>
            </w:pPr>
            <w:r>
              <w:rPr>
                <w:lang w:val="en-GB"/>
              </w:rPr>
              <w:t>Ramp</w:t>
            </w:r>
          </w:p>
        </w:tc>
        <w:tc>
          <w:tcPr>
            <w:tcW w:w="3259"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rPr>
                <w:lang w:val="en-GB"/>
              </w:rPr>
            </w:pPr>
            <w:r>
              <w:rPr>
                <w:lang w:val="en-GB"/>
              </w:rPr>
              <w:t xml:space="preserve"> 17.2</w:t>
            </w:r>
          </w:p>
        </w:tc>
      </w:tr>
      <w:tr w:rsidR="00174B52" w:rsidTr="00174B52">
        <w:trPr>
          <w:trHeight w:val="230"/>
        </w:trPr>
        <w:tc>
          <w:tcPr>
            <w:tcW w:w="2031"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jc w:val="left"/>
              <w:rPr>
                <w:lang w:val="en-GB"/>
              </w:rPr>
            </w:pPr>
            <w:r w:rsidRPr="009E0A3C">
              <w:rPr>
                <w:lang w:val="en-GB"/>
              </w:rPr>
              <w:t>Access modifications</w:t>
            </w:r>
          </w:p>
        </w:tc>
        <w:tc>
          <w:tcPr>
            <w:tcW w:w="2647"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jc w:val="left"/>
              <w:rPr>
                <w:lang w:val="en-GB"/>
              </w:rPr>
            </w:pPr>
            <w:r>
              <w:rPr>
                <w:lang w:val="en-GB"/>
              </w:rPr>
              <w:t>Step modifications</w:t>
            </w:r>
          </w:p>
        </w:tc>
        <w:tc>
          <w:tcPr>
            <w:tcW w:w="3259"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rPr>
                <w:lang w:val="en-GB"/>
              </w:rPr>
            </w:pPr>
            <w:r>
              <w:rPr>
                <w:lang w:val="en-GB"/>
              </w:rPr>
              <w:t xml:space="preserve"> 4.5</w:t>
            </w:r>
          </w:p>
        </w:tc>
      </w:tr>
      <w:tr w:rsidR="00174B52" w:rsidTr="00174B52">
        <w:trPr>
          <w:trHeight w:val="230"/>
        </w:trPr>
        <w:tc>
          <w:tcPr>
            <w:tcW w:w="2031"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jc w:val="left"/>
              <w:rPr>
                <w:lang w:val="en-GB"/>
              </w:rPr>
            </w:pPr>
            <w:r w:rsidRPr="009E0A3C">
              <w:rPr>
                <w:lang w:val="en-GB"/>
              </w:rPr>
              <w:t>Access modifications</w:t>
            </w:r>
          </w:p>
        </w:tc>
        <w:tc>
          <w:tcPr>
            <w:tcW w:w="2647"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jc w:val="left"/>
              <w:rPr>
                <w:lang w:val="en-GB"/>
              </w:rPr>
            </w:pPr>
            <w:r>
              <w:rPr>
                <w:lang w:val="en-GB"/>
              </w:rPr>
              <w:t>Lift</w:t>
            </w:r>
          </w:p>
        </w:tc>
        <w:tc>
          <w:tcPr>
            <w:tcW w:w="3259"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rPr>
                <w:lang w:val="en-GB"/>
              </w:rPr>
            </w:pPr>
            <w:r>
              <w:rPr>
                <w:lang w:val="en-GB"/>
              </w:rPr>
              <w:t xml:space="preserve"> 3.2</w:t>
            </w:r>
          </w:p>
        </w:tc>
      </w:tr>
      <w:tr w:rsidR="00174B52" w:rsidTr="00174B52">
        <w:trPr>
          <w:trHeight w:val="230"/>
        </w:trPr>
        <w:tc>
          <w:tcPr>
            <w:tcW w:w="2031"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jc w:val="left"/>
              <w:rPr>
                <w:lang w:val="en-GB"/>
              </w:rPr>
            </w:pPr>
            <w:r w:rsidRPr="009E0A3C">
              <w:rPr>
                <w:lang w:val="en-GB"/>
              </w:rPr>
              <w:t>Access modifications</w:t>
            </w:r>
          </w:p>
        </w:tc>
        <w:tc>
          <w:tcPr>
            <w:tcW w:w="2647"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jc w:val="left"/>
              <w:rPr>
                <w:lang w:val="en-GB"/>
              </w:rPr>
            </w:pPr>
            <w:r>
              <w:rPr>
                <w:lang w:val="en-GB"/>
              </w:rPr>
              <w:t>Widen doorway/remove wall</w:t>
            </w:r>
          </w:p>
        </w:tc>
        <w:tc>
          <w:tcPr>
            <w:tcW w:w="3259"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rPr>
                <w:lang w:val="en-GB"/>
              </w:rPr>
            </w:pPr>
            <w:r>
              <w:rPr>
                <w:lang w:val="en-GB"/>
              </w:rPr>
              <w:t xml:space="preserve"> 9.6</w:t>
            </w:r>
          </w:p>
        </w:tc>
      </w:tr>
      <w:tr w:rsidR="00174B52" w:rsidTr="00174B52">
        <w:trPr>
          <w:trHeight w:val="230"/>
        </w:trPr>
        <w:tc>
          <w:tcPr>
            <w:tcW w:w="2031"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jc w:val="left"/>
              <w:rPr>
                <w:lang w:val="en-GB"/>
              </w:rPr>
            </w:pPr>
            <w:r w:rsidRPr="009E0A3C">
              <w:rPr>
                <w:lang w:val="en-GB"/>
              </w:rPr>
              <w:t>Access modifications</w:t>
            </w:r>
          </w:p>
        </w:tc>
        <w:tc>
          <w:tcPr>
            <w:tcW w:w="2647"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jc w:val="left"/>
              <w:rPr>
                <w:lang w:val="en-GB"/>
              </w:rPr>
            </w:pPr>
            <w:r>
              <w:rPr>
                <w:lang w:val="en-GB"/>
              </w:rPr>
              <w:t>Front/rear handrail entrance</w:t>
            </w:r>
          </w:p>
        </w:tc>
        <w:tc>
          <w:tcPr>
            <w:tcW w:w="3259" w:type="dxa"/>
            <w:tcBorders>
              <w:top w:val="single" w:sz="8" w:space="0" w:color="FFFFFF" w:themeColor="background1"/>
              <w:bottom w:val="single" w:sz="8" w:space="0" w:color="FFFFFF" w:themeColor="background1"/>
            </w:tcBorders>
            <w:shd w:val="clear" w:color="auto" w:fill="E9E8E5" w:themeFill="background2"/>
          </w:tcPr>
          <w:p w:rsidR="00174B52" w:rsidRDefault="00174B52" w:rsidP="00174B52">
            <w:pPr>
              <w:pStyle w:val="TableDataEntries"/>
              <w:rPr>
                <w:lang w:val="en-GB"/>
              </w:rPr>
            </w:pPr>
            <w:r>
              <w:rPr>
                <w:lang w:val="en-GB"/>
              </w:rPr>
              <w:t xml:space="preserve"> 34.4</w:t>
            </w:r>
          </w:p>
        </w:tc>
      </w:tr>
      <w:tr w:rsidR="00174B52" w:rsidTr="00174B52">
        <w:trPr>
          <w:trHeight w:val="230"/>
        </w:trPr>
        <w:tc>
          <w:tcPr>
            <w:tcW w:w="2031" w:type="dxa"/>
            <w:tcBorders>
              <w:top w:val="single" w:sz="8" w:space="0" w:color="FFFFFF" w:themeColor="background1"/>
              <w:bottom w:val="single" w:sz="4" w:space="0" w:color="6F6652" w:themeColor="accent5"/>
            </w:tcBorders>
            <w:shd w:val="clear" w:color="auto" w:fill="E9E8E5" w:themeFill="background2"/>
          </w:tcPr>
          <w:p w:rsidR="00174B52" w:rsidRDefault="00174B52" w:rsidP="00C36DA4">
            <w:pPr>
              <w:pStyle w:val="TableDataEntries"/>
              <w:jc w:val="left"/>
              <w:rPr>
                <w:lang w:val="en-GB"/>
              </w:rPr>
            </w:pPr>
            <w:r>
              <w:rPr>
                <w:lang w:val="en-GB"/>
              </w:rPr>
              <w:t>Kitchen/laundry</w:t>
            </w:r>
          </w:p>
        </w:tc>
        <w:tc>
          <w:tcPr>
            <w:tcW w:w="2647" w:type="dxa"/>
            <w:tcBorders>
              <w:top w:val="single" w:sz="8" w:space="0" w:color="FFFFFF" w:themeColor="background1"/>
              <w:bottom w:val="single" w:sz="4" w:space="0" w:color="6F6652" w:themeColor="accent5"/>
            </w:tcBorders>
            <w:shd w:val="clear" w:color="auto" w:fill="E9E8E5" w:themeFill="background2"/>
          </w:tcPr>
          <w:p w:rsidR="00174B52" w:rsidRDefault="00174B52" w:rsidP="00C36DA4">
            <w:pPr>
              <w:pStyle w:val="TableDataEntries"/>
              <w:jc w:val="left"/>
              <w:rPr>
                <w:lang w:val="en-GB"/>
              </w:rPr>
            </w:pPr>
            <w:r>
              <w:rPr>
                <w:lang w:val="en-GB"/>
              </w:rPr>
              <w:t>Kitchen/laundry</w:t>
            </w:r>
          </w:p>
        </w:tc>
        <w:tc>
          <w:tcPr>
            <w:tcW w:w="3259" w:type="dxa"/>
            <w:tcBorders>
              <w:top w:val="single" w:sz="8" w:space="0" w:color="FFFFFF" w:themeColor="background1"/>
              <w:bottom w:val="single" w:sz="4" w:space="0" w:color="6F6652" w:themeColor="accent5"/>
            </w:tcBorders>
            <w:shd w:val="clear" w:color="auto" w:fill="E9E8E5" w:themeFill="background2"/>
          </w:tcPr>
          <w:p w:rsidR="00174B52" w:rsidRDefault="00174B52" w:rsidP="00C36DA4">
            <w:pPr>
              <w:pStyle w:val="TableDataEntries"/>
              <w:rPr>
                <w:lang w:val="en-GB"/>
              </w:rPr>
            </w:pPr>
            <w:r>
              <w:rPr>
                <w:lang w:val="en-GB"/>
              </w:rPr>
              <w:t xml:space="preserve"> 4.5</w:t>
            </w:r>
          </w:p>
        </w:tc>
      </w:tr>
    </w:tbl>
    <w:p w:rsidR="007C6A5F" w:rsidRDefault="007C6A5F" w:rsidP="007C6A5F">
      <w:pPr>
        <w:pStyle w:val="Source"/>
        <w:rPr>
          <w:lang w:bidi="fa-IR"/>
        </w:rPr>
      </w:pPr>
      <w:r>
        <w:rPr>
          <w:i/>
        </w:rPr>
        <w:t>Source</w:t>
      </w:r>
      <w:r w:rsidRPr="00E4232C">
        <w:rPr>
          <w:i/>
        </w:rPr>
        <w:t>:</w:t>
      </w:r>
      <w:r>
        <w:t xml:space="preserve"> </w:t>
      </w:r>
      <w:r>
        <w:rPr>
          <w:lang w:bidi="fa-IR"/>
        </w:rPr>
        <w:t xml:space="preserve">Carnemolla, P. and Bridge, C. 2019, </w:t>
      </w:r>
      <w:r w:rsidRPr="00C75B9B">
        <w:rPr>
          <w:i/>
          <w:iCs/>
          <w:lang w:bidi="fa-IR"/>
        </w:rPr>
        <w:t>Housing Design and Community Care: How Home Modifications Reduce Care Needs of Older People and People with Disability</w:t>
      </w:r>
      <w:r>
        <w:rPr>
          <w:lang w:bidi="fa-IR"/>
        </w:rPr>
        <w:t>, International Journal of Environmental Research and Public Health, p. 7.</w:t>
      </w:r>
    </w:p>
    <w:p w:rsidR="007C6A5F" w:rsidRDefault="007C6A5F" w:rsidP="007C6A5F">
      <w:pPr>
        <w:pStyle w:val="BodyText"/>
        <w:rPr>
          <w:lang w:eastAsia="en-US" w:bidi="fa-IR"/>
        </w:rPr>
      </w:pPr>
      <w:r w:rsidRPr="00552E0B">
        <w:rPr>
          <w:lang w:eastAsia="en-US" w:bidi="fa-IR"/>
        </w:rPr>
        <w:t>In 2018</w:t>
      </w:r>
      <w:r w:rsidRPr="00552E0B">
        <w:rPr>
          <w:lang w:eastAsia="en-US" w:bidi="fa-IR"/>
        </w:rPr>
        <w:noBreakHyphen/>
        <w:t xml:space="preserve">19, the Australian Government funded 48 842 home modifications for people over the age of 65 through the </w:t>
      </w:r>
      <w:r w:rsidR="001C2B49">
        <w:rPr>
          <w:lang w:eastAsia="en-US" w:bidi="fa-IR"/>
        </w:rPr>
        <w:t>Commonwealth</w:t>
      </w:r>
      <w:r w:rsidRPr="00552E0B">
        <w:rPr>
          <w:lang w:eastAsia="en-US" w:bidi="fa-IR"/>
        </w:rPr>
        <w:t xml:space="preserve"> Home Support Program at a total cost of around $35.3 million.</w:t>
      </w:r>
      <w:r w:rsidRPr="00552E0B">
        <w:rPr>
          <w:rStyle w:val="FootnoteReference"/>
          <w:lang w:eastAsia="en-US" w:bidi="fa-IR"/>
        </w:rPr>
        <w:footnoteReference w:id="28"/>
      </w:r>
      <w:r>
        <w:rPr>
          <w:lang w:eastAsia="en-US" w:bidi="fa-IR"/>
        </w:rPr>
        <w:t xml:space="preserve"> </w:t>
      </w:r>
      <w:r w:rsidRPr="00552E0B">
        <w:rPr>
          <w:lang w:eastAsia="en-US" w:bidi="fa-IR"/>
        </w:rPr>
        <w:t>This implies an average cost of around $723 per modification</w:t>
      </w:r>
      <w:r>
        <w:rPr>
          <w:lang w:eastAsia="en-US" w:bidi="fa-IR"/>
        </w:rPr>
        <w:t>, although this Program covers only relatively minor modifications. The cost of home modification that are funded privately or through other government programs are not known.</w:t>
      </w:r>
    </w:p>
    <w:p w:rsidR="007C6A5F" w:rsidRDefault="007C6A5F" w:rsidP="007C6A5F">
      <w:pPr>
        <w:pStyle w:val="Heading3"/>
        <w:numPr>
          <w:ilvl w:val="2"/>
          <w:numId w:val="5"/>
        </w:numPr>
        <w:rPr>
          <w:lang w:bidi="fa-IR"/>
        </w:rPr>
      </w:pPr>
      <w:r>
        <w:rPr>
          <w:lang w:bidi="fa-IR"/>
        </w:rPr>
        <w:t>Moving to a more accessible dwelling</w:t>
      </w:r>
    </w:p>
    <w:p w:rsidR="007C6A5F" w:rsidRDefault="007C6A5F" w:rsidP="007C6A5F">
      <w:pPr>
        <w:pStyle w:val="BodyText"/>
        <w:rPr>
          <w:lang w:bidi="fa-IR"/>
        </w:rPr>
      </w:pPr>
      <w:r>
        <w:rPr>
          <w:lang w:bidi="fa-IR"/>
        </w:rPr>
        <w:t>Where their current residence no longer meets their needs, one option that may be available to some people with mobility</w:t>
      </w:r>
      <w:r w:rsidR="004872C6">
        <w:rPr>
          <w:lang w:bidi="fa-IR"/>
        </w:rPr>
        <w:noBreakHyphen/>
        <w:t xml:space="preserve">related disability </w:t>
      </w:r>
      <w:r>
        <w:rPr>
          <w:lang w:bidi="fa-IR"/>
        </w:rPr>
        <w:t xml:space="preserve">is to move to a dwelling that better meets their accessibility needs (if available). </w:t>
      </w:r>
      <w:r w:rsidRPr="00471251">
        <w:rPr>
          <w:lang w:bidi="fa-IR"/>
        </w:rPr>
        <w:t>SDAC data suggests that around 10 per cent of people with a mobility</w:t>
      </w:r>
      <w:r w:rsidR="004872C6">
        <w:rPr>
          <w:lang w:bidi="fa-IR"/>
        </w:rPr>
        <w:noBreakHyphen/>
        <w:t xml:space="preserve">related disability </w:t>
      </w:r>
      <w:r w:rsidRPr="00471251">
        <w:rPr>
          <w:lang w:bidi="fa-IR"/>
        </w:rPr>
        <w:t>have had to move house at least once as a result of their condition or age (table </w:t>
      </w:r>
      <w:r>
        <w:rPr>
          <w:lang w:bidi="fa-IR"/>
        </w:rPr>
        <w:fldChar w:fldCharType="begin"/>
      </w:r>
      <w:r>
        <w:rPr>
          <w:lang w:bidi="fa-IR"/>
        </w:rPr>
        <w:instrText xml:space="preserve"> REF _Caption7147 </w:instrText>
      </w:r>
      <w:r>
        <w:rPr>
          <w:lang w:bidi="fa-IR"/>
        </w:rPr>
        <w:fldChar w:fldCharType="separate"/>
      </w:r>
      <w:r>
        <w:rPr>
          <w:noProof/>
        </w:rPr>
        <w:t>2</w:t>
      </w:r>
      <w:r w:rsidRPr="00695C93">
        <w:rPr>
          <w:noProof/>
        </w:rPr>
        <w:t>.</w:t>
      </w:r>
      <w:r>
        <w:rPr>
          <w:noProof/>
        </w:rPr>
        <w:t>16</w:t>
      </w:r>
      <w:r>
        <w:rPr>
          <w:lang w:bidi="fa-IR"/>
        </w:rPr>
        <w:fldChar w:fldCharType="end"/>
      </w:r>
      <w:r w:rsidRPr="00471251">
        <w:rPr>
          <w:lang w:bidi="fa-IR"/>
        </w:rPr>
        <w:t>).</w:t>
      </w:r>
      <w:r>
        <w:rPr>
          <w:lang w:bidi="fa-IR"/>
        </w:rPr>
        <w:t xml:space="preserve"> This affects all members of the household, not just the person with accessibility needs.</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2</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16</w:instrText>
      </w:r>
      <w:r w:rsidRPr="00695C93">
        <w:fldChar w:fldCharType="end"/>
      </w:r>
      <w:r w:rsidRPr="00695C93">
        <w:instrText xml:space="preserve">" "" </w:instrText>
      </w:r>
      <w:r w:rsidRPr="00695C93">
        <w:fldChar w:fldCharType="separate"/>
      </w:r>
      <w:bookmarkStart w:id="2336" w:name="_Caption8612"/>
      <w:bookmarkStart w:id="2337" w:name="_Caption9655"/>
      <w:bookmarkStart w:id="2338" w:name="_Caption9692"/>
      <w:bookmarkStart w:id="2339" w:name="_Caption8834"/>
      <w:bookmarkStart w:id="2340" w:name="_Caption2878"/>
      <w:bookmarkStart w:id="2341" w:name="_Caption2078"/>
      <w:bookmarkStart w:id="2342" w:name="_Caption2983"/>
      <w:bookmarkStart w:id="2343" w:name="_Caption3751"/>
      <w:bookmarkStart w:id="2344" w:name="_Caption5526"/>
      <w:bookmarkStart w:id="2345" w:name="_Caption0166"/>
      <w:bookmarkStart w:id="2346" w:name="_Caption4073"/>
      <w:bookmarkStart w:id="2347" w:name="_Caption5282"/>
      <w:bookmarkStart w:id="2348" w:name="_Caption3837"/>
      <w:bookmarkStart w:id="2349" w:name="_Caption3923"/>
      <w:bookmarkStart w:id="2350" w:name="_Caption2432"/>
      <w:bookmarkStart w:id="2351" w:name="_Caption9857"/>
      <w:bookmarkStart w:id="2352" w:name="_Caption2315"/>
      <w:bookmarkStart w:id="2353" w:name="_Caption0668"/>
      <w:bookmarkStart w:id="2354" w:name="_Caption9177"/>
      <w:bookmarkStart w:id="2355" w:name="_Caption2412"/>
      <w:bookmarkStart w:id="2356" w:name="_Caption5018"/>
      <w:bookmarkStart w:id="2357" w:name="_Caption3637"/>
      <w:bookmarkStart w:id="2358" w:name="_Caption6786"/>
      <w:bookmarkStart w:id="2359" w:name="_Caption8452"/>
      <w:bookmarkStart w:id="2360" w:name="_Caption3168"/>
      <w:bookmarkStart w:id="2361" w:name="_Caption4821"/>
      <w:bookmarkStart w:id="2362" w:name="_Caption1192"/>
      <w:bookmarkStart w:id="2363" w:name="_Caption1359"/>
      <w:bookmarkStart w:id="2364" w:name="_Caption9429"/>
      <w:bookmarkStart w:id="2365" w:name="_Caption0289"/>
      <w:bookmarkStart w:id="2366" w:name="_Caption3807"/>
      <w:bookmarkStart w:id="2367" w:name="_Caption8831"/>
      <w:bookmarkStart w:id="2368" w:name="_Caption5651"/>
      <w:bookmarkStart w:id="2369" w:name="_Caption9633"/>
      <w:bookmarkStart w:id="2370" w:name="_Caption0350"/>
      <w:bookmarkStart w:id="2371" w:name="_Caption3725"/>
      <w:bookmarkStart w:id="2372" w:name="_Caption8449"/>
      <w:bookmarkStart w:id="2373" w:name="_Caption5963"/>
      <w:bookmarkStart w:id="2374" w:name="_Caption4912"/>
      <w:bookmarkStart w:id="2375" w:name="_Caption0404"/>
      <w:bookmarkStart w:id="2376" w:name="_Caption4767"/>
      <w:bookmarkStart w:id="2377" w:name="_Caption4966"/>
      <w:bookmarkStart w:id="2378" w:name="_Caption3302"/>
      <w:bookmarkStart w:id="2379" w:name="_Caption5351"/>
      <w:bookmarkStart w:id="2380" w:name="_Caption7265"/>
      <w:bookmarkStart w:id="2381" w:name="_Caption4115"/>
      <w:bookmarkStart w:id="2382" w:name="_Caption0644"/>
      <w:bookmarkStart w:id="2383" w:name="_Caption9855"/>
      <w:bookmarkStart w:id="2384" w:name="_Caption0890"/>
      <w:bookmarkStart w:id="2385" w:name="_Caption0671"/>
      <w:bookmarkStart w:id="2386" w:name="_Caption7147"/>
      <w:bookmarkStart w:id="2387" w:name="_Caption1138"/>
      <w:bookmarkStart w:id="2388" w:name="_Caption6226"/>
      <w:bookmarkStart w:id="2389" w:name="_Caption2097"/>
      <w:bookmarkStart w:id="2390" w:name="_Caption5363"/>
      <w:bookmarkStart w:id="2391" w:name="_Caption2825"/>
      <w:bookmarkStart w:id="2392" w:name="_Caption3634"/>
      <w:bookmarkStart w:id="2393" w:name="_Caption9393"/>
      <w:bookmarkStart w:id="2394" w:name="_Caption8376"/>
      <w:bookmarkStart w:id="2395" w:name="_Caption6976"/>
      <w:bookmarkStart w:id="2396" w:name="_Caption3045"/>
      <w:bookmarkStart w:id="2397" w:name="_Caption9019"/>
      <w:bookmarkStart w:id="2398" w:name="_Caption9688"/>
      <w:bookmarkStart w:id="2399" w:name="_Caption0176"/>
      <w:bookmarkStart w:id="2400" w:name="_Caption7056"/>
      <w:bookmarkStart w:id="2401" w:name="_Caption6103"/>
      <w:bookmarkStart w:id="2402" w:name="_Caption9341"/>
      <w:bookmarkStart w:id="2403" w:name="_Caption3163"/>
      <w:bookmarkStart w:id="2404" w:name="_Caption7927"/>
      <w:bookmarkStart w:id="2405" w:name="_Caption8887"/>
      <w:bookmarkStart w:id="2406" w:name="_Caption4635"/>
      <w:bookmarkStart w:id="2407" w:name="_Caption8311"/>
      <w:bookmarkStart w:id="2408" w:name="_Caption1365"/>
      <w:bookmarkStart w:id="2409" w:name="_Caption1215"/>
      <w:bookmarkStart w:id="2410" w:name="_Caption7972"/>
      <w:bookmarkStart w:id="2411" w:name="_Caption5177"/>
      <w:bookmarkStart w:id="2412" w:name="_Caption3701"/>
      <w:bookmarkStart w:id="2413" w:name="_Caption7142"/>
      <w:bookmarkStart w:id="2414" w:name="_Caption5571"/>
      <w:bookmarkStart w:id="2415" w:name="_Caption1186"/>
      <w:bookmarkStart w:id="2416" w:name="_Caption2103"/>
      <w:bookmarkStart w:id="2417" w:name="_Caption8649"/>
      <w:bookmarkStart w:id="2418" w:name="_Caption2486"/>
      <w:bookmarkStart w:id="2419" w:name="_Caption7138"/>
      <w:bookmarkStart w:id="2420" w:name="_Caption1167"/>
      <w:bookmarkStart w:id="2421" w:name="_Caption6818"/>
      <w:bookmarkStart w:id="2422" w:name="_Caption0679"/>
      <w:bookmarkStart w:id="2423" w:name="_Caption8604"/>
      <w:bookmarkStart w:id="2424" w:name="_Caption6097"/>
      <w:bookmarkStart w:id="2425" w:name="_Caption5982"/>
      <w:bookmarkStart w:id="2426" w:name="_Caption1160"/>
      <w:bookmarkStart w:id="2427" w:name="_Caption0215"/>
      <w:bookmarkStart w:id="2428" w:name="_Caption6528"/>
      <w:bookmarkStart w:id="2429" w:name="_Caption0018"/>
      <w:bookmarkStart w:id="2430" w:name="_Caption2241"/>
      <w:bookmarkStart w:id="2431" w:name="_Caption0242"/>
      <w:bookmarkStart w:id="2432" w:name="_Caption4016"/>
      <w:bookmarkStart w:id="2433" w:name="_Caption7887"/>
      <w:bookmarkStart w:id="2434" w:name="_Caption6983"/>
      <w:bookmarkStart w:id="2435" w:name="_Caption5499"/>
      <w:bookmarkStart w:id="2436" w:name="_Caption2674"/>
      <w:bookmarkStart w:id="2437" w:name="_Caption9600"/>
      <w:bookmarkStart w:id="2438" w:name="_Caption4143"/>
      <w:bookmarkStart w:id="2439" w:name="_Caption4334"/>
      <w:bookmarkStart w:id="2440" w:name="_Caption5626"/>
      <w:bookmarkStart w:id="2441" w:name="_Caption6948"/>
      <w:bookmarkStart w:id="2442" w:name="_Caption9336"/>
      <w:bookmarkStart w:id="2443" w:name="_Caption3789"/>
      <w:bookmarkStart w:id="2444" w:name="_Caption1102"/>
      <w:bookmarkStart w:id="2445" w:name="_Caption2025"/>
      <w:bookmarkStart w:id="2446" w:name="_Caption1092"/>
      <w:bookmarkStart w:id="2447" w:name="_Caption7512"/>
      <w:bookmarkStart w:id="2448" w:name="_Caption2276"/>
      <w:bookmarkStart w:id="2449" w:name="_Caption6100"/>
      <w:bookmarkStart w:id="2450" w:name="_Caption5066"/>
      <w:bookmarkStart w:id="2451" w:name="_Caption8094"/>
      <w:bookmarkStart w:id="2452" w:name="_Caption3470"/>
      <w:bookmarkStart w:id="2453" w:name="_Caption4083"/>
      <w:bookmarkStart w:id="2454" w:name="_Caption8317"/>
      <w:bookmarkStart w:id="2455" w:name="_Caption0088"/>
      <w:bookmarkStart w:id="2456" w:name="_Caption1757"/>
      <w:bookmarkStart w:id="2457" w:name="_Caption0561"/>
      <w:bookmarkStart w:id="2458" w:name="_Caption0023"/>
      <w:bookmarkStart w:id="2459" w:name="_Caption6947"/>
      <w:bookmarkStart w:id="2460" w:name="_Caption8683"/>
      <w:bookmarkStart w:id="2461" w:name="_Caption2989"/>
      <w:bookmarkStart w:id="2462" w:name="_Caption6312"/>
      <w:bookmarkStart w:id="2463" w:name="_Toc32321807"/>
      <w:bookmarkStart w:id="2464" w:name="_Toc44598500"/>
      <w:bookmarkStart w:id="2465" w:name="_Toc45654131"/>
      <w:r w:rsidR="00272AF3">
        <w:rPr>
          <w:noProof/>
        </w:rPr>
        <w:t>2</w:t>
      </w:r>
      <w:r w:rsidR="00272AF3" w:rsidRPr="00695C93">
        <w:rPr>
          <w:noProof/>
        </w:rPr>
        <w:t>.</w:t>
      </w:r>
      <w:r w:rsidR="00272AF3">
        <w:rPr>
          <w:noProof/>
        </w:rPr>
        <w:t>16</w:t>
      </w:r>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r w:rsidRPr="00695C93">
        <w:fldChar w:fldCharType="end"/>
      </w:r>
      <w:r w:rsidRPr="00695C93">
        <w:tab/>
      </w:r>
      <w:r>
        <w:t>Moved house because of condition or age</w:t>
      </w:r>
      <w:bookmarkEnd w:id="2463"/>
      <w:bookmarkEnd w:id="2464"/>
      <w:bookmarkEnd w:id="2465"/>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2.16"/>
        <w:tblDescription w:val="Moved house because of condition or age"/>
      </w:tblPr>
      <w:tblGrid>
        <w:gridCol w:w="993"/>
        <w:gridCol w:w="1389"/>
        <w:gridCol w:w="1389"/>
        <w:gridCol w:w="1389"/>
        <w:gridCol w:w="1389"/>
        <w:gridCol w:w="1389"/>
      </w:tblGrid>
      <w:tr w:rsidR="007C6A5F" w:rsidTr="00472262">
        <w:trPr>
          <w:trHeight w:val="60"/>
          <w:tblHeader/>
        </w:trPr>
        <w:tc>
          <w:tcPr>
            <w:tcW w:w="993" w:type="dxa"/>
            <w:shd w:val="clear" w:color="auto" w:fill="6F6652" w:themeFill="text2"/>
          </w:tcPr>
          <w:p w:rsidR="007C6A5F" w:rsidRDefault="00472262" w:rsidP="00C36DA4">
            <w:pPr>
              <w:pStyle w:val="TableDataColumnHeading"/>
              <w:jc w:val="left"/>
              <w:rPr>
                <w:lang w:val="en-GB"/>
              </w:rPr>
            </w:pPr>
            <w:r>
              <w:rPr>
                <w:lang w:val="en-GB"/>
              </w:rPr>
              <w:t>Condition</w:t>
            </w:r>
          </w:p>
        </w:tc>
        <w:tc>
          <w:tcPr>
            <w:tcW w:w="1389" w:type="dxa"/>
            <w:shd w:val="clear" w:color="auto" w:fill="6F6652" w:themeFill="text2"/>
          </w:tcPr>
          <w:p w:rsidR="007C6A5F" w:rsidRDefault="007C6A5F" w:rsidP="00C36DA4">
            <w:pPr>
              <w:pStyle w:val="TableDataColumnHeading"/>
              <w:rPr>
                <w:lang w:val="en-GB"/>
              </w:rPr>
            </w:pPr>
            <w:r>
              <w:rPr>
                <w:lang w:val="en-GB"/>
              </w:rPr>
              <w:t>Has had to move house once</w:t>
            </w:r>
            <w:r w:rsidR="00472262">
              <w:rPr>
                <w:lang w:val="en-GB"/>
              </w:rPr>
              <w:br/>
              <w:t>(‘000)</w:t>
            </w:r>
          </w:p>
        </w:tc>
        <w:tc>
          <w:tcPr>
            <w:tcW w:w="1389" w:type="dxa"/>
            <w:shd w:val="clear" w:color="auto" w:fill="6F6652" w:themeFill="text2"/>
          </w:tcPr>
          <w:p w:rsidR="007C6A5F" w:rsidRDefault="007C6A5F" w:rsidP="00C36DA4">
            <w:pPr>
              <w:pStyle w:val="TableDataColumnHeading"/>
              <w:rPr>
                <w:lang w:val="en-GB"/>
              </w:rPr>
            </w:pPr>
            <w:r>
              <w:rPr>
                <w:lang w:val="en-GB"/>
              </w:rPr>
              <w:t>Has had to move house more than once</w:t>
            </w:r>
            <w:r w:rsidR="00472262">
              <w:rPr>
                <w:lang w:val="en-GB"/>
              </w:rPr>
              <w:br/>
              <w:t>(‘000)</w:t>
            </w:r>
          </w:p>
        </w:tc>
        <w:tc>
          <w:tcPr>
            <w:tcW w:w="1389" w:type="dxa"/>
            <w:shd w:val="clear" w:color="auto" w:fill="6F6652" w:themeFill="text2"/>
          </w:tcPr>
          <w:p w:rsidR="007C6A5F" w:rsidRDefault="007C6A5F" w:rsidP="00C36DA4">
            <w:pPr>
              <w:pStyle w:val="TableDataColumnHeading"/>
              <w:rPr>
                <w:lang w:val="en-GB"/>
              </w:rPr>
            </w:pPr>
            <w:r>
              <w:rPr>
                <w:lang w:val="en-GB"/>
              </w:rPr>
              <w:t>Total moved house</w:t>
            </w:r>
            <w:r w:rsidR="00472262">
              <w:rPr>
                <w:lang w:val="en-GB"/>
              </w:rPr>
              <w:br/>
              <w:t>(‘000)</w:t>
            </w:r>
          </w:p>
        </w:tc>
        <w:tc>
          <w:tcPr>
            <w:tcW w:w="1389" w:type="dxa"/>
            <w:shd w:val="clear" w:color="auto" w:fill="6F6652" w:themeFill="text2"/>
          </w:tcPr>
          <w:p w:rsidR="007C6A5F" w:rsidRDefault="007C6A5F" w:rsidP="00C36DA4">
            <w:pPr>
              <w:pStyle w:val="TableDataColumnHeading"/>
              <w:rPr>
                <w:lang w:val="en-GB"/>
              </w:rPr>
            </w:pPr>
            <w:r>
              <w:rPr>
                <w:lang w:val="en-GB"/>
              </w:rPr>
              <w:t>Total</w:t>
            </w:r>
            <w:r w:rsidR="00472262">
              <w:rPr>
                <w:lang w:val="en-GB"/>
              </w:rPr>
              <w:br/>
              <w:t>(‘000)</w:t>
            </w:r>
          </w:p>
        </w:tc>
        <w:tc>
          <w:tcPr>
            <w:tcW w:w="1389" w:type="dxa"/>
            <w:shd w:val="clear" w:color="auto" w:fill="6F6652" w:themeFill="text2"/>
          </w:tcPr>
          <w:p w:rsidR="007C6A5F" w:rsidRDefault="007C6A5F" w:rsidP="00C36DA4">
            <w:pPr>
              <w:pStyle w:val="TableDataColumnHeading"/>
              <w:rPr>
                <w:lang w:val="en-GB"/>
              </w:rPr>
            </w:pPr>
            <w:r>
              <w:rPr>
                <w:lang w:val="en-GB"/>
              </w:rPr>
              <w:t>Share moved</w:t>
            </w:r>
            <w:r w:rsidR="00472262">
              <w:rPr>
                <w:lang w:val="en-GB"/>
              </w:rPr>
              <w:br/>
              <w:t>(per cent)</w:t>
            </w:r>
          </w:p>
        </w:tc>
      </w:tr>
      <w:tr w:rsidR="007C6A5F" w:rsidTr="00472262">
        <w:trPr>
          <w:trHeight w:val="230"/>
        </w:trPr>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Profound</w:t>
            </w:r>
          </w:p>
        </w:tc>
        <w:tc>
          <w:tcPr>
            <w:tcW w:w="138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63.3</w:t>
            </w:r>
          </w:p>
        </w:tc>
        <w:tc>
          <w:tcPr>
            <w:tcW w:w="138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22.8</w:t>
            </w:r>
          </w:p>
        </w:tc>
        <w:tc>
          <w:tcPr>
            <w:tcW w:w="138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86.1</w:t>
            </w:r>
          </w:p>
        </w:tc>
        <w:tc>
          <w:tcPr>
            <w:tcW w:w="138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632.2</w:t>
            </w:r>
          </w:p>
        </w:tc>
        <w:tc>
          <w:tcPr>
            <w:tcW w:w="138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13.6</w:t>
            </w:r>
          </w:p>
        </w:tc>
      </w:tr>
      <w:tr w:rsidR="007C6A5F" w:rsidTr="00472262">
        <w:trPr>
          <w:trHeight w:val="230"/>
        </w:trPr>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Severe</w:t>
            </w:r>
          </w:p>
        </w:tc>
        <w:tc>
          <w:tcPr>
            <w:tcW w:w="138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61.0</w:t>
            </w:r>
          </w:p>
        </w:tc>
        <w:tc>
          <w:tcPr>
            <w:tcW w:w="138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18.2</w:t>
            </w:r>
          </w:p>
        </w:tc>
        <w:tc>
          <w:tcPr>
            <w:tcW w:w="138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79.2</w:t>
            </w:r>
          </w:p>
        </w:tc>
        <w:tc>
          <w:tcPr>
            <w:tcW w:w="138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518.9</w:t>
            </w:r>
          </w:p>
        </w:tc>
        <w:tc>
          <w:tcPr>
            <w:tcW w:w="138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15.3</w:t>
            </w:r>
          </w:p>
        </w:tc>
      </w:tr>
      <w:tr w:rsidR="007C6A5F" w:rsidTr="00472262">
        <w:trPr>
          <w:trHeight w:val="230"/>
        </w:trPr>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Moderate</w:t>
            </w:r>
          </w:p>
        </w:tc>
        <w:tc>
          <w:tcPr>
            <w:tcW w:w="138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35.3</w:t>
            </w:r>
          </w:p>
        </w:tc>
        <w:tc>
          <w:tcPr>
            <w:tcW w:w="138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11.0</w:t>
            </w:r>
          </w:p>
        </w:tc>
        <w:tc>
          <w:tcPr>
            <w:tcW w:w="138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46.3</w:t>
            </w:r>
          </w:p>
        </w:tc>
        <w:tc>
          <w:tcPr>
            <w:tcW w:w="138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434.9</w:t>
            </w:r>
          </w:p>
        </w:tc>
        <w:tc>
          <w:tcPr>
            <w:tcW w:w="138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10.6</w:t>
            </w:r>
          </w:p>
        </w:tc>
      </w:tr>
      <w:tr w:rsidR="007C6A5F" w:rsidTr="00472262">
        <w:trPr>
          <w:trHeight w:val="230"/>
        </w:trPr>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Mild</w:t>
            </w:r>
          </w:p>
        </w:tc>
        <w:tc>
          <w:tcPr>
            <w:tcW w:w="138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78.8</w:t>
            </w:r>
          </w:p>
        </w:tc>
        <w:tc>
          <w:tcPr>
            <w:tcW w:w="138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16.2</w:t>
            </w:r>
          </w:p>
        </w:tc>
        <w:tc>
          <w:tcPr>
            <w:tcW w:w="138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95.0</w:t>
            </w:r>
          </w:p>
        </w:tc>
        <w:tc>
          <w:tcPr>
            <w:tcW w:w="138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1 394.8</w:t>
            </w:r>
          </w:p>
        </w:tc>
        <w:tc>
          <w:tcPr>
            <w:tcW w:w="138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6.8</w:t>
            </w:r>
          </w:p>
        </w:tc>
      </w:tr>
      <w:tr w:rsidR="007C6A5F" w:rsidRPr="009B0B14" w:rsidTr="00472262">
        <w:trPr>
          <w:trHeight w:val="230"/>
        </w:trPr>
        <w:tc>
          <w:tcPr>
            <w:tcW w:w="993" w:type="dxa"/>
            <w:tcBorders>
              <w:top w:val="single" w:sz="8" w:space="0" w:color="FFFFFF" w:themeColor="background1"/>
              <w:bottom w:val="single" w:sz="4" w:space="0" w:color="6F6652" w:themeColor="accent5"/>
            </w:tcBorders>
            <w:shd w:val="clear" w:color="auto" w:fill="C2DADB" w:themeFill="accent6" w:themeFillTint="99"/>
          </w:tcPr>
          <w:p w:rsidR="007C6A5F" w:rsidRPr="009B0B14" w:rsidRDefault="007C6A5F" w:rsidP="00C36DA4">
            <w:pPr>
              <w:pStyle w:val="TableDataEntries"/>
              <w:jc w:val="left"/>
              <w:rPr>
                <w:rFonts w:ascii="Franklin Gothic Demi" w:hAnsi="Franklin Gothic Demi"/>
                <w:lang w:val="en-GB"/>
              </w:rPr>
            </w:pPr>
            <w:r w:rsidRPr="009B0B14">
              <w:rPr>
                <w:rFonts w:ascii="Franklin Gothic Demi" w:hAnsi="Franklin Gothic Demi"/>
                <w:lang w:val="en-GB"/>
              </w:rPr>
              <w:lastRenderedPageBreak/>
              <w:t>Total</w:t>
            </w:r>
          </w:p>
        </w:tc>
        <w:tc>
          <w:tcPr>
            <w:tcW w:w="1389" w:type="dxa"/>
            <w:tcBorders>
              <w:top w:val="single" w:sz="8" w:space="0" w:color="FFFFFF" w:themeColor="background1"/>
              <w:bottom w:val="single" w:sz="4" w:space="0" w:color="6F6652" w:themeColor="accent5"/>
            </w:tcBorders>
            <w:shd w:val="clear" w:color="auto" w:fill="C2DADB" w:themeFill="accent6" w:themeFillTint="99"/>
          </w:tcPr>
          <w:p w:rsidR="007C6A5F" w:rsidRPr="009B0B14" w:rsidRDefault="007C6A5F" w:rsidP="00C36DA4">
            <w:pPr>
              <w:pStyle w:val="TableDataEntries"/>
              <w:rPr>
                <w:rFonts w:ascii="Franklin Gothic Demi" w:hAnsi="Franklin Gothic Demi"/>
                <w:lang w:val="en-GB"/>
              </w:rPr>
            </w:pPr>
            <w:r w:rsidRPr="009B0B14">
              <w:rPr>
                <w:rFonts w:ascii="Franklin Gothic Demi" w:hAnsi="Franklin Gothic Demi"/>
                <w:lang w:val="en-GB"/>
              </w:rPr>
              <w:t xml:space="preserve"> 240.0</w:t>
            </w:r>
          </w:p>
        </w:tc>
        <w:tc>
          <w:tcPr>
            <w:tcW w:w="1389" w:type="dxa"/>
            <w:tcBorders>
              <w:top w:val="single" w:sz="8" w:space="0" w:color="FFFFFF" w:themeColor="background1"/>
              <w:bottom w:val="single" w:sz="4" w:space="0" w:color="6F6652" w:themeColor="accent5"/>
            </w:tcBorders>
            <w:shd w:val="clear" w:color="auto" w:fill="C2DADB" w:themeFill="accent6" w:themeFillTint="99"/>
          </w:tcPr>
          <w:p w:rsidR="007C6A5F" w:rsidRPr="009B0B14" w:rsidRDefault="007C6A5F" w:rsidP="00C36DA4">
            <w:pPr>
              <w:pStyle w:val="TableDataEntries"/>
              <w:rPr>
                <w:rFonts w:ascii="Franklin Gothic Demi" w:hAnsi="Franklin Gothic Demi"/>
                <w:lang w:val="en-GB"/>
              </w:rPr>
            </w:pPr>
            <w:r w:rsidRPr="009B0B14">
              <w:rPr>
                <w:rFonts w:ascii="Franklin Gothic Demi" w:hAnsi="Franklin Gothic Demi"/>
                <w:lang w:val="en-GB"/>
              </w:rPr>
              <w:t xml:space="preserve"> 67.1</w:t>
            </w:r>
          </w:p>
        </w:tc>
        <w:tc>
          <w:tcPr>
            <w:tcW w:w="1389" w:type="dxa"/>
            <w:tcBorders>
              <w:top w:val="single" w:sz="8" w:space="0" w:color="FFFFFF" w:themeColor="background1"/>
              <w:bottom w:val="single" w:sz="4" w:space="0" w:color="6F6652" w:themeColor="accent5"/>
            </w:tcBorders>
            <w:shd w:val="clear" w:color="auto" w:fill="C2DADB" w:themeFill="accent6" w:themeFillTint="99"/>
          </w:tcPr>
          <w:p w:rsidR="007C6A5F" w:rsidRPr="009B0B14" w:rsidRDefault="007C6A5F" w:rsidP="00C36DA4">
            <w:pPr>
              <w:pStyle w:val="TableDataEntries"/>
              <w:rPr>
                <w:rFonts w:ascii="Franklin Gothic Demi" w:hAnsi="Franklin Gothic Demi"/>
                <w:lang w:val="en-GB"/>
              </w:rPr>
            </w:pPr>
            <w:r w:rsidRPr="009B0B14">
              <w:rPr>
                <w:rFonts w:ascii="Franklin Gothic Demi" w:hAnsi="Franklin Gothic Demi"/>
                <w:lang w:val="en-GB"/>
              </w:rPr>
              <w:t xml:space="preserve"> 307.1</w:t>
            </w:r>
          </w:p>
        </w:tc>
        <w:tc>
          <w:tcPr>
            <w:tcW w:w="1389" w:type="dxa"/>
            <w:tcBorders>
              <w:top w:val="single" w:sz="8" w:space="0" w:color="FFFFFF" w:themeColor="background1"/>
              <w:bottom w:val="single" w:sz="4" w:space="0" w:color="6F6652" w:themeColor="accent5"/>
            </w:tcBorders>
            <w:shd w:val="clear" w:color="auto" w:fill="C2DADB" w:themeFill="accent6" w:themeFillTint="99"/>
          </w:tcPr>
          <w:p w:rsidR="007C6A5F" w:rsidRPr="009B0B14" w:rsidRDefault="007C6A5F" w:rsidP="00C36DA4">
            <w:pPr>
              <w:pStyle w:val="TableDataEntries"/>
              <w:rPr>
                <w:rFonts w:ascii="Franklin Gothic Demi" w:hAnsi="Franklin Gothic Demi"/>
                <w:lang w:val="en-GB"/>
              </w:rPr>
            </w:pPr>
            <w:r w:rsidRPr="009B0B14">
              <w:rPr>
                <w:rFonts w:ascii="Franklin Gothic Demi" w:hAnsi="Franklin Gothic Demi"/>
                <w:lang w:val="en-GB"/>
              </w:rPr>
              <w:t>2 982.3</w:t>
            </w:r>
          </w:p>
        </w:tc>
        <w:tc>
          <w:tcPr>
            <w:tcW w:w="1389" w:type="dxa"/>
            <w:tcBorders>
              <w:top w:val="single" w:sz="8" w:space="0" w:color="FFFFFF" w:themeColor="background1"/>
              <w:bottom w:val="single" w:sz="4" w:space="0" w:color="6F6652" w:themeColor="accent5"/>
            </w:tcBorders>
            <w:shd w:val="clear" w:color="auto" w:fill="C2DADB" w:themeFill="accent6" w:themeFillTint="99"/>
          </w:tcPr>
          <w:p w:rsidR="007C6A5F" w:rsidRPr="009B0B14" w:rsidRDefault="007C6A5F" w:rsidP="00C36DA4">
            <w:pPr>
              <w:pStyle w:val="TableDataEntries"/>
              <w:rPr>
                <w:rFonts w:ascii="Franklin Gothic Demi" w:hAnsi="Franklin Gothic Demi"/>
                <w:lang w:val="en-GB"/>
              </w:rPr>
            </w:pPr>
            <w:r w:rsidRPr="009B0B14">
              <w:rPr>
                <w:rFonts w:ascii="Franklin Gothic Demi" w:hAnsi="Franklin Gothic Demi"/>
                <w:lang w:val="en-GB"/>
              </w:rPr>
              <w:t xml:space="preserve"> 10.3</w:t>
            </w:r>
          </w:p>
        </w:tc>
      </w:tr>
    </w:tbl>
    <w:p w:rsidR="007C6A5F" w:rsidRDefault="007C6A5F" w:rsidP="007C6A5F">
      <w:pPr>
        <w:pStyle w:val="Source"/>
        <w:rPr>
          <w:lang w:bidi="fa-IR"/>
        </w:rPr>
      </w:pPr>
      <w:r w:rsidRPr="007F40BA">
        <w:rPr>
          <w:i/>
          <w:lang w:bidi="fa-IR"/>
        </w:rPr>
        <w:t>Source:</w:t>
      </w:r>
      <w:r>
        <w:rPr>
          <w:lang w:bidi="fa-IR"/>
        </w:rPr>
        <w:t xml:space="preserve"> </w:t>
      </w:r>
      <w:r>
        <w:t>ABS, Survey of Disabilities, Ageing and Carers, 2018, TableBuilder.</w:t>
      </w:r>
    </w:p>
    <w:p w:rsidR="007C6A5F" w:rsidRDefault="007C6A5F" w:rsidP="007C6A5F">
      <w:pPr>
        <w:pStyle w:val="Heading3"/>
        <w:numPr>
          <w:ilvl w:val="2"/>
          <w:numId w:val="5"/>
        </w:numPr>
        <w:rPr>
          <w:lang w:bidi="fa-IR"/>
        </w:rPr>
      </w:pPr>
      <w:r>
        <w:rPr>
          <w:lang w:bidi="fa-IR"/>
        </w:rPr>
        <w:t>Social housing</w:t>
      </w:r>
    </w:p>
    <w:p w:rsidR="007C6A5F" w:rsidRDefault="007C6A5F" w:rsidP="007C6A5F">
      <w:pPr>
        <w:pStyle w:val="BodyText"/>
        <w:rPr>
          <w:lang w:bidi="fa-IR"/>
        </w:rPr>
      </w:pPr>
      <w:r>
        <w:rPr>
          <w:lang w:bidi="fa-IR"/>
        </w:rPr>
        <w:t xml:space="preserve">The AIHW reports that around </w:t>
      </w:r>
      <w:r w:rsidRPr="007461B7">
        <w:rPr>
          <w:lang w:bidi="fa-IR"/>
        </w:rPr>
        <w:t>393 912 households in social housing programs</w:t>
      </w:r>
      <w:r>
        <w:rPr>
          <w:lang w:bidi="fa-IR"/>
        </w:rPr>
        <w:t xml:space="preserve"> as at 30 June 2017. Of these, 153 422 households (39 per cent) contained a person with a disability. However, no information is provided on:</w:t>
      </w:r>
    </w:p>
    <w:p w:rsidR="007C6A5F" w:rsidRDefault="007C6A5F" w:rsidP="005A6F87">
      <w:pPr>
        <w:pStyle w:val="ListBullet"/>
        <w:numPr>
          <w:ilvl w:val="0"/>
          <w:numId w:val="17"/>
        </w:numPr>
        <w:rPr>
          <w:lang w:bidi="fa-IR"/>
        </w:rPr>
      </w:pPr>
      <w:r>
        <w:rPr>
          <w:lang w:bidi="fa-IR"/>
        </w:rPr>
        <w:t>the severity of the disabilities</w:t>
      </w:r>
    </w:p>
    <w:p w:rsidR="007C6A5F" w:rsidRDefault="007C6A5F" w:rsidP="005A6F87">
      <w:pPr>
        <w:pStyle w:val="ListBullet"/>
        <w:numPr>
          <w:ilvl w:val="0"/>
          <w:numId w:val="17"/>
        </w:numPr>
        <w:rPr>
          <w:lang w:bidi="fa-IR"/>
        </w:rPr>
      </w:pPr>
      <w:r>
        <w:rPr>
          <w:lang w:bidi="fa-IR"/>
        </w:rPr>
        <w:t>the proportion that had a mobility</w:t>
      </w:r>
      <w:r>
        <w:rPr>
          <w:lang w:bidi="fa-IR"/>
        </w:rPr>
        <w:noBreakHyphen/>
        <w:t>related disability.</w:t>
      </w:r>
    </w:p>
    <w:p w:rsidR="007C6A5F" w:rsidRDefault="007C6A5F" w:rsidP="007C6A5F">
      <w:pPr>
        <w:pStyle w:val="BodyText"/>
        <w:rPr>
          <w:lang w:bidi="fa-IR"/>
        </w:rPr>
      </w:pPr>
      <w:r w:rsidRPr="00471251">
        <w:rPr>
          <w:lang w:bidi="fa-IR"/>
        </w:rPr>
        <w:t>According to data from the SDAC, there were around 221 800 people with a mobility</w:t>
      </w:r>
      <w:r w:rsidRPr="00471251">
        <w:rPr>
          <w:lang w:bidi="fa-IR"/>
        </w:rPr>
        <w:noBreakHyphen/>
        <w:t>related disability in social housing in 2018 (table </w:t>
      </w:r>
      <w:r>
        <w:rPr>
          <w:lang w:bidi="fa-IR"/>
        </w:rPr>
        <w:fldChar w:fldCharType="begin"/>
      </w:r>
      <w:r>
        <w:rPr>
          <w:lang w:bidi="fa-IR"/>
        </w:rPr>
        <w:instrText xml:space="preserve"> REF _Caption4467 </w:instrText>
      </w:r>
      <w:r>
        <w:rPr>
          <w:lang w:bidi="fa-IR"/>
        </w:rPr>
        <w:fldChar w:fldCharType="separate"/>
      </w:r>
      <w:r>
        <w:rPr>
          <w:noProof/>
        </w:rPr>
        <w:t>2</w:t>
      </w:r>
      <w:r w:rsidRPr="00695C93">
        <w:rPr>
          <w:noProof/>
        </w:rPr>
        <w:t>.</w:t>
      </w:r>
      <w:r>
        <w:rPr>
          <w:noProof/>
        </w:rPr>
        <w:t>17</w:t>
      </w:r>
      <w:r>
        <w:rPr>
          <w:lang w:bidi="fa-IR"/>
        </w:rPr>
        <w:fldChar w:fldCharType="end"/>
      </w:r>
      <w:r w:rsidRPr="00471251">
        <w:rPr>
          <w:lang w:bidi="fa-IR"/>
        </w:rPr>
        <w:t>).</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2</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17</w:instrText>
      </w:r>
      <w:r w:rsidRPr="00695C93">
        <w:fldChar w:fldCharType="end"/>
      </w:r>
      <w:r w:rsidRPr="00695C93">
        <w:instrText xml:space="preserve">" "" </w:instrText>
      </w:r>
      <w:r w:rsidRPr="00695C93">
        <w:fldChar w:fldCharType="separate"/>
      </w:r>
      <w:bookmarkStart w:id="2466" w:name="_Caption1230"/>
      <w:bookmarkStart w:id="2467" w:name="_Caption6289"/>
      <w:bookmarkStart w:id="2468" w:name="_Caption5390"/>
      <w:bookmarkStart w:id="2469" w:name="_Caption4102"/>
      <w:bookmarkStart w:id="2470" w:name="_Caption8175"/>
      <w:bookmarkStart w:id="2471" w:name="_Caption5681"/>
      <w:bookmarkStart w:id="2472" w:name="_Caption4787"/>
      <w:bookmarkStart w:id="2473" w:name="_Caption2013"/>
      <w:bookmarkStart w:id="2474" w:name="_Caption1585"/>
      <w:bookmarkStart w:id="2475" w:name="_Caption7013"/>
      <w:bookmarkStart w:id="2476" w:name="_Caption9734"/>
      <w:bookmarkStart w:id="2477" w:name="_Caption3812"/>
      <w:bookmarkStart w:id="2478" w:name="_Caption3623"/>
      <w:bookmarkStart w:id="2479" w:name="_Caption3242"/>
      <w:bookmarkStart w:id="2480" w:name="_Caption8267"/>
      <w:bookmarkStart w:id="2481" w:name="_Caption0552"/>
      <w:bookmarkStart w:id="2482" w:name="_Caption7402"/>
      <w:bookmarkStart w:id="2483" w:name="_Caption4326"/>
      <w:bookmarkStart w:id="2484" w:name="_Caption5799"/>
      <w:bookmarkStart w:id="2485" w:name="_Caption7094"/>
      <w:bookmarkStart w:id="2486" w:name="_Caption8269"/>
      <w:bookmarkStart w:id="2487" w:name="_Caption6241"/>
      <w:bookmarkStart w:id="2488" w:name="_Caption2193"/>
      <w:bookmarkStart w:id="2489" w:name="_Caption7185"/>
      <w:bookmarkStart w:id="2490" w:name="_Caption3947"/>
      <w:bookmarkStart w:id="2491" w:name="_Caption7448"/>
      <w:bookmarkStart w:id="2492" w:name="_Caption5398"/>
      <w:bookmarkStart w:id="2493" w:name="_Caption2413"/>
      <w:bookmarkStart w:id="2494" w:name="_Caption3245"/>
      <w:bookmarkStart w:id="2495" w:name="_Caption5243"/>
      <w:bookmarkStart w:id="2496" w:name="_Caption3255"/>
      <w:bookmarkStart w:id="2497" w:name="_Caption8272"/>
      <w:bookmarkStart w:id="2498" w:name="_Caption0204"/>
      <w:bookmarkStart w:id="2499" w:name="_Caption2004"/>
      <w:bookmarkStart w:id="2500" w:name="_Caption2858"/>
      <w:bookmarkStart w:id="2501" w:name="_Caption7437"/>
      <w:bookmarkStart w:id="2502" w:name="_Caption3082"/>
      <w:bookmarkStart w:id="2503" w:name="_Caption0522"/>
      <w:bookmarkStart w:id="2504" w:name="_Caption1450"/>
      <w:bookmarkStart w:id="2505" w:name="_Caption3756"/>
      <w:bookmarkStart w:id="2506" w:name="_Caption5382"/>
      <w:bookmarkStart w:id="2507" w:name="_Caption2602"/>
      <w:bookmarkStart w:id="2508" w:name="_Caption7266"/>
      <w:bookmarkStart w:id="2509" w:name="_Caption4084"/>
      <w:bookmarkStart w:id="2510" w:name="_Caption4728"/>
      <w:bookmarkStart w:id="2511" w:name="_Caption9349"/>
      <w:bookmarkStart w:id="2512" w:name="_Caption6111"/>
      <w:bookmarkStart w:id="2513" w:name="_Caption7744"/>
      <w:bookmarkStart w:id="2514" w:name="_Caption3468"/>
      <w:bookmarkStart w:id="2515" w:name="_Caption4467"/>
      <w:bookmarkStart w:id="2516" w:name="_Caption5195"/>
      <w:bookmarkStart w:id="2517" w:name="_Caption4627"/>
      <w:bookmarkStart w:id="2518" w:name="_Caption3610"/>
      <w:bookmarkStart w:id="2519" w:name="_Caption5005"/>
      <w:bookmarkStart w:id="2520" w:name="_Caption5115"/>
      <w:bookmarkStart w:id="2521" w:name="_Caption1807"/>
      <w:bookmarkStart w:id="2522" w:name="_Caption9610"/>
      <w:bookmarkStart w:id="2523" w:name="_Caption0693"/>
      <w:bookmarkStart w:id="2524" w:name="_Caption3999"/>
      <w:bookmarkStart w:id="2525" w:name="_Caption7411"/>
      <w:bookmarkStart w:id="2526" w:name="_Caption4001"/>
      <w:bookmarkStart w:id="2527" w:name="_Caption4312"/>
      <w:bookmarkStart w:id="2528" w:name="_Caption9904"/>
      <w:bookmarkStart w:id="2529" w:name="_Caption6788"/>
      <w:bookmarkStart w:id="2530" w:name="_Caption4811"/>
      <w:bookmarkStart w:id="2531" w:name="_Caption9608"/>
      <w:bookmarkStart w:id="2532" w:name="_Caption3966"/>
      <w:bookmarkStart w:id="2533" w:name="_Caption3285"/>
      <w:bookmarkStart w:id="2534" w:name="_Caption5665"/>
      <w:bookmarkStart w:id="2535" w:name="_Caption3921"/>
      <w:bookmarkStart w:id="2536" w:name="_Caption4830"/>
      <w:bookmarkStart w:id="2537" w:name="_Caption8358"/>
      <w:bookmarkStart w:id="2538" w:name="_Caption4653"/>
      <w:bookmarkStart w:id="2539" w:name="_Caption5396"/>
      <w:bookmarkStart w:id="2540" w:name="_Caption5992"/>
      <w:bookmarkStart w:id="2541" w:name="_Caption5684"/>
      <w:bookmarkStart w:id="2542" w:name="_Caption3848"/>
      <w:bookmarkStart w:id="2543" w:name="_Caption2238"/>
      <w:bookmarkStart w:id="2544" w:name="_Caption3410"/>
      <w:bookmarkStart w:id="2545" w:name="_Caption1800"/>
      <w:bookmarkStart w:id="2546" w:name="_Caption3552"/>
      <w:bookmarkStart w:id="2547" w:name="_Caption3378"/>
      <w:bookmarkStart w:id="2548" w:name="_Caption7047"/>
      <w:bookmarkStart w:id="2549" w:name="_Caption8479"/>
      <w:bookmarkStart w:id="2550" w:name="_Caption3485"/>
      <w:bookmarkStart w:id="2551" w:name="_Caption6422"/>
      <w:bookmarkStart w:id="2552" w:name="_Caption9961"/>
      <w:bookmarkStart w:id="2553" w:name="_Caption7400"/>
      <w:bookmarkStart w:id="2554" w:name="_Caption1159"/>
      <w:bookmarkStart w:id="2555" w:name="_Caption2393"/>
      <w:bookmarkStart w:id="2556" w:name="_Caption8075"/>
      <w:bookmarkStart w:id="2557" w:name="_Caption8196"/>
      <w:bookmarkStart w:id="2558" w:name="_Caption6371"/>
      <w:bookmarkStart w:id="2559" w:name="_Caption3942"/>
      <w:bookmarkStart w:id="2560" w:name="_Caption7746"/>
      <w:bookmarkStart w:id="2561" w:name="_Caption9268"/>
      <w:bookmarkStart w:id="2562" w:name="_Caption7937"/>
      <w:bookmarkStart w:id="2563" w:name="_Caption1785"/>
      <w:bookmarkStart w:id="2564" w:name="_Caption6106"/>
      <w:bookmarkStart w:id="2565" w:name="_Caption3221"/>
      <w:bookmarkStart w:id="2566" w:name="_Caption2029"/>
      <w:bookmarkStart w:id="2567" w:name="_Caption8607"/>
      <w:bookmarkStart w:id="2568" w:name="_Caption1209"/>
      <w:bookmarkStart w:id="2569" w:name="_Caption6728"/>
      <w:bookmarkStart w:id="2570" w:name="_Caption7114"/>
      <w:bookmarkStart w:id="2571" w:name="_Caption5950"/>
      <w:bookmarkStart w:id="2572" w:name="_Caption9433"/>
      <w:bookmarkStart w:id="2573" w:name="_Caption6487"/>
      <w:bookmarkStart w:id="2574" w:name="_Caption1689"/>
      <w:bookmarkStart w:id="2575" w:name="_Caption4249"/>
      <w:bookmarkStart w:id="2576" w:name="_Caption5375"/>
      <w:bookmarkStart w:id="2577" w:name="_Caption1413"/>
      <w:bookmarkStart w:id="2578" w:name="_Caption8398"/>
      <w:bookmarkStart w:id="2579" w:name="_Caption4692"/>
      <w:bookmarkStart w:id="2580" w:name="_Caption3625"/>
      <w:bookmarkStart w:id="2581" w:name="_Caption4575"/>
      <w:bookmarkStart w:id="2582" w:name="_Caption6391"/>
      <w:bookmarkStart w:id="2583" w:name="_Caption7790"/>
      <w:bookmarkStart w:id="2584" w:name="_Caption2133"/>
      <w:bookmarkStart w:id="2585" w:name="_Caption8064"/>
      <w:bookmarkStart w:id="2586" w:name="_Caption5796"/>
      <w:bookmarkStart w:id="2587" w:name="_Toc32321808"/>
      <w:bookmarkStart w:id="2588" w:name="_Toc44598501"/>
      <w:bookmarkStart w:id="2589" w:name="_Toc45654132"/>
      <w:r w:rsidR="00272AF3">
        <w:rPr>
          <w:noProof/>
        </w:rPr>
        <w:t>2</w:t>
      </w:r>
      <w:r w:rsidR="00272AF3" w:rsidRPr="00695C93">
        <w:rPr>
          <w:noProof/>
        </w:rPr>
        <w:t>.</w:t>
      </w:r>
      <w:r w:rsidR="00272AF3">
        <w:rPr>
          <w:noProof/>
        </w:rPr>
        <w:t>17</w:t>
      </w:r>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r w:rsidRPr="00695C93">
        <w:fldChar w:fldCharType="end"/>
      </w:r>
      <w:r w:rsidRPr="00695C93">
        <w:tab/>
      </w:r>
      <w:r>
        <w:t>Number of people with a mobility-related disability in social housing</w:t>
      </w:r>
      <w:bookmarkEnd w:id="2587"/>
      <w:bookmarkEnd w:id="2588"/>
      <w:bookmarkEnd w:id="2589"/>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2.17"/>
        <w:tblDescription w:val="Number of people with a mobility-related disability in social housing"/>
      </w:tblPr>
      <w:tblGrid>
        <w:gridCol w:w="3686"/>
        <w:gridCol w:w="1163"/>
        <w:gridCol w:w="772"/>
        <w:gridCol w:w="900"/>
        <w:gridCol w:w="644"/>
        <w:gridCol w:w="772"/>
      </w:tblGrid>
      <w:tr w:rsidR="007C6A5F" w:rsidTr="00DA3B77">
        <w:trPr>
          <w:trHeight w:val="250"/>
          <w:tblHeader/>
        </w:trPr>
        <w:tc>
          <w:tcPr>
            <w:tcW w:w="3686" w:type="dxa"/>
            <w:shd w:val="clear" w:color="auto" w:fill="6F6652" w:themeFill="text2"/>
          </w:tcPr>
          <w:p w:rsidR="007C6A5F" w:rsidRDefault="00DA3B77" w:rsidP="00C36DA4">
            <w:pPr>
              <w:pStyle w:val="TableDataColumnHeading"/>
              <w:jc w:val="left"/>
              <w:rPr>
                <w:lang w:val="en-GB"/>
              </w:rPr>
            </w:pPr>
            <w:r>
              <w:rPr>
                <w:lang w:val="en-GB"/>
              </w:rPr>
              <w:t>Social housing</w:t>
            </w:r>
          </w:p>
        </w:tc>
        <w:tc>
          <w:tcPr>
            <w:tcW w:w="1163" w:type="dxa"/>
            <w:shd w:val="clear" w:color="auto" w:fill="6F6652" w:themeFill="text2"/>
          </w:tcPr>
          <w:p w:rsidR="007C6A5F" w:rsidRDefault="007C6A5F" w:rsidP="00C36DA4">
            <w:pPr>
              <w:pStyle w:val="TableDataColumnHeading"/>
              <w:rPr>
                <w:lang w:val="en-GB"/>
              </w:rPr>
            </w:pPr>
            <w:r>
              <w:rPr>
                <w:lang w:val="en-GB"/>
              </w:rPr>
              <w:t>Profound</w:t>
            </w:r>
            <w:r w:rsidR="00DA3B77">
              <w:rPr>
                <w:lang w:val="en-GB"/>
              </w:rPr>
              <w:br/>
              <w:t>(‘000)</w:t>
            </w:r>
          </w:p>
        </w:tc>
        <w:tc>
          <w:tcPr>
            <w:tcW w:w="772" w:type="dxa"/>
            <w:shd w:val="clear" w:color="auto" w:fill="6F6652" w:themeFill="text2"/>
          </w:tcPr>
          <w:p w:rsidR="007C6A5F" w:rsidRDefault="007C6A5F" w:rsidP="00C36DA4">
            <w:pPr>
              <w:pStyle w:val="TableDataColumnHeading"/>
              <w:rPr>
                <w:lang w:val="en-GB"/>
              </w:rPr>
            </w:pPr>
            <w:r>
              <w:rPr>
                <w:lang w:val="en-GB"/>
              </w:rPr>
              <w:t>Severe</w:t>
            </w:r>
            <w:r w:rsidR="00DA3B77">
              <w:rPr>
                <w:lang w:val="en-GB"/>
              </w:rPr>
              <w:br/>
              <w:t>(‘000)</w:t>
            </w:r>
          </w:p>
        </w:tc>
        <w:tc>
          <w:tcPr>
            <w:tcW w:w="900" w:type="dxa"/>
            <w:shd w:val="clear" w:color="auto" w:fill="6F6652" w:themeFill="text2"/>
          </w:tcPr>
          <w:p w:rsidR="007C6A5F" w:rsidRDefault="007C6A5F" w:rsidP="00C36DA4">
            <w:pPr>
              <w:pStyle w:val="TableDataColumnHeading"/>
              <w:rPr>
                <w:lang w:val="en-GB"/>
              </w:rPr>
            </w:pPr>
            <w:r>
              <w:rPr>
                <w:lang w:val="en-GB"/>
              </w:rPr>
              <w:t>Moderate</w:t>
            </w:r>
            <w:r w:rsidR="00DA3B77">
              <w:rPr>
                <w:lang w:val="en-GB"/>
              </w:rPr>
              <w:br/>
              <w:t>(‘000)</w:t>
            </w:r>
          </w:p>
        </w:tc>
        <w:tc>
          <w:tcPr>
            <w:tcW w:w="644" w:type="dxa"/>
            <w:shd w:val="clear" w:color="auto" w:fill="6F6652" w:themeFill="text2"/>
          </w:tcPr>
          <w:p w:rsidR="007C6A5F" w:rsidRDefault="007C6A5F" w:rsidP="00C36DA4">
            <w:pPr>
              <w:pStyle w:val="TableDataColumnHeading"/>
              <w:rPr>
                <w:lang w:val="en-GB"/>
              </w:rPr>
            </w:pPr>
            <w:r>
              <w:rPr>
                <w:lang w:val="en-GB"/>
              </w:rPr>
              <w:t>Mild</w:t>
            </w:r>
            <w:r w:rsidR="00DA3B77">
              <w:rPr>
                <w:lang w:val="en-GB"/>
              </w:rPr>
              <w:br/>
              <w:t>(‘000)</w:t>
            </w:r>
          </w:p>
        </w:tc>
        <w:tc>
          <w:tcPr>
            <w:tcW w:w="772" w:type="dxa"/>
            <w:shd w:val="clear" w:color="auto" w:fill="6F6652" w:themeFill="text2"/>
          </w:tcPr>
          <w:p w:rsidR="007C6A5F" w:rsidRDefault="007C6A5F" w:rsidP="00C36DA4">
            <w:pPr>
              <w:pStyle w:val="TableDataColumnHeading"/>
              <w:rPr>
                <w:lang w:val="en-GB"/>
              </w:rPr>
            </w:pPr>
            <w:r>
              <w:rPr>
                <w:lang w:val="en-GB"/>
              </w:rPr>
              <w:t>Total</w:t>
            </w:r>
            <w:r w:rsidR="00DA3B77">
              <w:rPr>
                <w:lang w:val="en-GB"/>
              </w:rPr>
              <w:br/>
              <w:t>(‘000)</w:t>
            </w:r>
          </w:p>
        </w:tc>
      </w:tr>
      <w:tr w:rsidR="007C6A5F" w:rsidTr="00DA3B77">
        <w:trPr>
          <w:trHeight w:val="250"/>
        </w:trPr>
        <w:tc>
          <w:tcPr>
            <w:tcW w:w="368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State or Territory Housing Authority</w:t>
            </w:r>
          </w:p>
        </w:tc>
        <w:tc>
          <w:tcPr>
            <w:tcW w:w="116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29.7</w:t>
            </w:r>
          </w:p>
        </w:tc>
        <w:tc>
          <w:tcPr>
            <w:tcW w:w="77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28.9</w:t>
            </w:r>
          </w:p>
        </w:tc>
        <w:tc>
          <w:tcPr>
            <w:tcW w:w="90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27.4</w:t>
            </w:r>
          </w:p>
        </w:tc>
        <w:tc>
          <w:tcPr>
            <w:tcW w:w="64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77.5</w:t>
            </w:r>
          </w:p>
        </w:tc>
        <w:tc>
          <w:tcPr>
            <w:tcW w:w="77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166.6</w:t>
            </w:r>
          </w:p>
        </w:tc>
      </w:tr>
      <w:tr w:rsidR="007C6A5F" w:rsidTr="00DA3B77">
        <w:trPr>
          <w:trHeight w:val="250"/>
        </w:trPr>
        <w:tc>
          <w:tcPr>
            <w:tcW w:w="368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Housing co-operative, community or church group</w:t>
            </w:r>
          </w:p>
        </w:tc>
        <w:tc>
          <w:tcPr>
            <w:tcW w:w="116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16.7</w:t>
            </w:r>
          </w:p>
        </w:tc>
        <w:tc>
          <w:tcPr>
            <w:tcW w:w="77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7.8</w:t>
            </w:r>
          </w:p>
        </w:tc>
        <w:tc>
          <w:tcPr>
            <w:tcW w:w="90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7.7</w:t>
            </w:r>
          </w:p>
        </w:tc>
        <w:tc>
          <w:tcPr>
            <w:tcW w:w="64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26.4</w:t>
            </w:r>
          </w:p>
        </w:tc>
        <w:tc>
          <w:tcPr>
            <w:tcW w:w="77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55.1</w:t>
            </w:r>
          </w:p>
        </w:tc>
      </w:tr>
      <w:tr w:rsidR="007C6A5F" w:rsidRPr="009B0B14" w:rsidTr="00DA3B77">
        <w:trPr>
          <w:trHeight w:val="250"/>
        </w:trPr>
        <w:tc>
          <w:tcPr>
            <w:tcW w:w="3686" w:type="dxa"/>
            <w:tcBorders>
              <w:top w:val="single" w:sz="8" w:space="0" w:color="FFFFFF" w:themeColor="background1"/>
              <w:bottom w:val="single" w:sz="4" w:space="0" w:color="6F6652" w:themeColor="accent5"/>
            </w:tcBorders>
            <w:shd w:val="clear" w:color="auto" w:fill="C2DADB" w:themeFill="accent6" w:themeFillTint="99"/>
          </w:tcPr>
          <w:p w:rsidR="007C6A5F" w:rsidRPr="009B0B14" w:rsidRDefault="007C6A5F" w:rsidP="00C36DA4">
            <w:pPr>
              <w:pStyle w:val="TableDataEntries"/>
              <w:jc w:val="left"/>
              <w:rPr>
                <w:rFonts w:ascii="Franklin Gothic Demi" w:hAnsi="Franklin Gothic Demi"/>
                <w:lang w:val="en-GB"/>
              </w:rPr>
            </w:pPr>
            <w:r w:rsidRPr="009B0B14">
              <w:rPr>
                <w:rFonts w:ascii="Franklin Gothic Demi" w:hAnsi="Franklin Gothic Demi"/>
                <w:lang w:val="en-GB"/>
              </w:rPr>
              <w:t>Total</w:t>
            </w:r>
          </w:p>
        </w:tc>
        <w:tc>
          <w:tcPr>
            <w:tcW w:w="1163" w:type="dxa"/>
            <w:tcBorders>
              <w:top w:val="single" w:sz="8" w:space="0" w:color="FFFFFF" w:themeColor="background1"/>
              <w:bottom w:val="single" w:sz="4" w:space="0" w:color="6F6652" w:themeColor="accent5"/>
            </w:tcBorders>
            <w:shd w:val="clear" w:color="auto" w:fill="C2DADB" w:themeFill="accent6" w:themeFillTint="99"/>
          </w:tcPr>
          <w:p w:rsidR="007C6A5F" w:rsidRPr="009B0B14" w:rsidRDefault="007C6A5F" w:rsidP="00C36DA4">
            <w:pPr>
              <w:pStyle w:val="TableDataEntries"/>
              <w:rPr>
                <w:rFonts w:ascii="Franklin Gothic Demi" w:hAnsi="Franklin Gothic Demi"/>
                <w:lang w:val="en-GB"/>
              </w:rPr>
            </w:pPr>
            <w:r w:rsidRPr="009B0B14">
              <w:rPr>
                <w:rFonts w:ascii="Franklin Gothic Demi" w:hAnsi="Franklin Gothic Demi"/>
                <w:lang w:val="en-GB"/>
              </w:rPr>
              <w:t>46.3</w:t>
            </w:r>
          </w:p>
        </w:tc>
        <w:tc>
          <w:tcPr>
            <w:tcW w:w="772" w:type="dxa"/>
            <w:tcBorders>
              <w:top w:val="single" w:sz="8" w:space="0" w:color="FFFFFF" w:themeColor="background1"/>
              <w:bottom w:val="single" w:sz="4" w:space="0" w:color="6F6652" w:themeColor="accent5"/>
            </w:tcBorders>
            <w:shd w:val="clear" w:color="auto" w:fill="C2DADB" w:themeFill="accent6" w:themeFillTint="99"/>
          </w:tcPr>
          <w:p w:rsidR="007C6A5F" w:rsidRPr="009B0B14" w:rsidRDefault="007C6A5F" w:rsidP="00C36DA4">
            <w:pPr>
              <w:pStyle w:val="TableDataEntries"/>
              <w:rPr>
                <w:rFonts w:ascii="Franklin Gothic Demi" w:hAnsi="Franklin Gothic Demi"/>
                <w:lang w:val="en-GB"/>
              </w:rPr>
            </w:pPr>
            <w:r w:rsidRPr="009B0B14">
              <w:rPr>
                <w:rFonts w:ascii="Franklin Gothic Demi" w:hAnsi="Franklin Gothic Demi"/>
                <w:lang w:val="en-GB"/>
              </w:rPr>
              <w:t>37.9</w:t>
            </w:r>
          </w:p>
        </w:tc>
        <w:tc>
          <w:tcPr>
            <w:tcW w:w="900" w:type="dxa"/>
            <w:tcBorders>
              <w:top w:val="single" w:sz="8" w:space="0" w:color="FFFFFF" w:themeColor="background1"/>
              <w:bottom w:val="single" w:sz="4" w:space="0" w:color="6F6652" w:themeColor="accent5"/>
            </w:tcBorders>
            <w:shd w:val="clear" w:color="auto" w:fill="C2DADB" w:themeFill="accent6" w:themeFillTint="99"/>
          </w:tcPr>
          <w:p w:rsidR="007C6A5F" w:rsidRPr="009B0B14" w:rsidRDefault="007C6A5F" w:rsidP="00C36DA4">
            <w:pPr>
              <w:pStyle w:val="TableDataEntries"/>
              <w:rPr>
                <w:rFonts w:ascii="Franklin Gothic Demi" w:hAnsi="Franklin Gothic Demi"/>
                <w:lang w:val="en-GB"/>
              </w:rPr>
            </w:pPr>
            <w:r w:rsidRPr="009B0B14">
              <w:rPr>
                <w:rFonts w:ascii="Franklin Gothic Demi" w:hAnsi="Franklin Gothic Demi"/>
                <w:lang w:val="en-GB"/>
              </w:rPr>
              <w:t>35.1</w:t>
            </w:r>
          </w:p>
        </w:tc>
        <w:tc>
          <w:tcPr>
            <w:tcW w:w="644" w:type="dxa"/>
            <w:tcBorders>
              <w:top w:val="single" w:sz="8" w:space="0" w:color="FFFFFF" w:themeColor="background1"/>
              <w:bottom w:val="single" w:sz="4" w:space="0" w:color="6F6652" w:themeColor="accent5"/>
            </w:tcBorders>
            <w:shd w:val="clear" w:color="auto" w:fill="C2DADB" w:themeFill="accent6" w:themeFillTint="99"/>
          </w:tcPr>
          <w:p w:rsidR="007C6A5F" w:rsidRPr="009B0B14" w:rsidRDefault="007C6A5F" w:rsidP="00C36DA4">
            <w:pPr>
              <w:pStyle w:val="TableDataEntries"/>
              <w:rPr>
                <w:rFonts w:ascii="Franklin Gothic Demi" w:hAnsi="Franklin Gothic Demi"/>
                <w:lang w:val="en-GB"/>
              </w:rPr>
            </w:pPr>
            <w:r w:rsidRPr="009B0B14">
              <w:rPr>
                <w:rFonts w:ascii="Franklin Gothic Demi" w:hAnsi="Franklin Gothic Demi"/>
                <w:lang w:val="en-GB"/>
              </w:rPr>
              <w:t>103.7</w:t>
            </w:r>
          </w:p>
        </w:tc>
        <w:tc>
          <w:tcPr>
            <w:tcW w:w="772" w:type="dxa"/>
            <w:tcBorders>
              <w:top w:val="single" w:sz="8" w:space="0" w:color="FFFFFF" w:themeColor="background1"/>
              <w:bottom w:val="single" w:sz="4" w:space="0" w:color="6F6652" w:themeColor="accent5"/>
            </w:tcBorders>
            <w:shd w:val="clear" w:color="auto" w:fill="C2DADB" w:themeFill="accent6" w:themeFillTint="99"/>
          </w:tcPr>
          <w:p w:rsidR="007C6A5F" w:rsidRPr="009B0B14" w:rsidRDefault="007C6A5F" w:rsidP="00C36DA4">
            <w:pPr>
              <w:pStyle w:val="TableDataEntries"/>
              <w:rPr>
                <w:rFonts w:ascii="Franklin Gothic Demi" w:hAnsi="Franklin Gothic Demi"/>
                <w:lang w:val="en-GB"/>
              </w:rPr>
            </w:pPr>
            <w:r w:rsidRPr="009B0B14">
              <w:rPr>
                <w:rFonts w:ascii="Franklin Gothic Demi" w:hAnsi="Franklin Gothic Demi"/>
                <w:lang w:val="en-GB"/>
              </w:rPr>
              <w:t>221.8</w:t>
            </w:r>
          </w:p>
        </w:tc>
      </w:tr>
    </w:tbl>
    <w:p w:rsidR="007C6A5F" w:rsidRDefault="007C6A5F" w:rsidP="007C6A5F">
      <w:pPr>
        <w:pStyle w:val="Source"/>
        <w:rPr>
          <w:lang w:bidi="fa-IR"/>
        </w:rPr>
      </w:pPr>
      <w:r w:rsidRPr="000C6CE2">
        <w:rPr>
          <w:i/>
          <w:lang w:bidi="fa-IR"/>
        </w:rPr>
        <w:t>Source:</w:t>
      </w:r>
      <w:r>
        <w:rPr>
          <w:lang w:bidi="fa-IR"/>
        </w:rPr>
        <w:t xml:space="preserve"> </w:t>
      </w:r>
      <w:r>
        <w:t>ABS, Survey of Disabilities, Ageing and Carers, 2018, TableBuilder.</w:t>
      </w:r>
    </w:p>
    <w:p w:rsidR="007C6A5F" w:rsidRDefault="007C6A5F" w:rsidP="007C6A5F">
      <w:pPr>
        <w:pStyle w:val="Heading3"/>
        <w:numPr>
          <w:ilvl w:val="2"/>
          <w:numId w:val="5"/>
        </w:numPr>
        <w:rPr>
          <w:lang w:bidi="fa-IR"/>
        </w:rPr>
      </w:pPr>
      <w:r>
        <w:rPr>
          <w:lang w:bidi="fa-IR"/>
        </w:rPr>
        <w:t>Aged care</w:t>
      </w:r>
    </w:p>
    <w:p w:rsidR="007C6A5F" w:rsidRDefault="007C6A5F" w:rsidP="007C6A5F">
      <w:pPr>
        <w:pStyle w:val="BodyText"/>
        <w:rPr>
          <w:lang w:bidi="fa-IR"/>
        </w:rPr>
      </w:pPr>
      <w:r>
        <w:rPr>
          <w:lang w:bidi="fa-IR"/>
        </w:rPr>
        <w:t>According to SDAC data, there were around 176 300 people with a mobility impairment in residential aged care in 2018 (including homes for the aged and cared retired/aged accommodation).</w:t>
      </w:r>
    </w:p>
    <w:p w:rsidR="007C6A5F" w:rsidRDefault="007C6A5F" w:rsidP="007C6A5F">
      <w:pPr>
        <w:pStyle w:val="BodyText"/>
        <w:rPr>
          <w:lang w:bidi="fa-IR"/>
        </w:rPr>
      </w:pPr>
      <w:r>
        <w:rPr>
          <w:lang w:bidi="fa-IR"/>
        </w:rPr>
        <w:t>The Australian Institute of Health and Welfare reports there were 182 705 permanent aged care places funded by the Australian Government in 2019.</w:t>
      </w:r>
      <w:r>
        <w:rPr>
          <w:rStyle w:val="FootnoteReference"/>
          <w:lang w:bidi="fa-IR"/>
        </w:rPr>
        <w:footnoteReference w:id="29"/>
      </w:r>
    </w:p>
    <w:p w:rsidR="007C6A5F" w:rsidRDefault="007C6A5F" w:rsidP="007C6A5F">
      <w:pPr>
        <w:pStyle w:val="Heading3"/>
        <w:numPr>
          <w:ilvl w:val="2"/>
          <w:numId w:val="5"/>
        </w:numPr>
        <w:rPr>
          <w:lang w:bidi="fa-IR"/>
        </w:rPr>
      </w:pPr>
      <w:r>
        <w:rPr>
          <w:lang w:bidi="fa-IR"/>
        </w:rPr>
        <w:t>Specialist Disability Accommodation</w:t>
      </w:r>
    </w:p>
    <w:p w:rsidR="007C6A5F" w:rsidRDefault="007C6A5F" w:rsidP="007C6A5F">
      <w:pPr>
        <w:pStyle w:val="BodyText"/>
        <w:rPr>
          <w:lang w:bidi="fa-IR"/>
        </w:rPr>
      </w:pPr>
      <w:r>
        <w:rPr>
          <w:lang w:bidi="fa-IR"/>
        </w:rPr>
        <w:t>The NDIS Quarterly Report to the COAG Disability Reform Council reported that as at 30 September 2019:</w:t>
      </w:r>
      <w:r w:rsidDel="00EB0AE2">
        <w:rPr>
          <w:rStyle w:val="FootnoteReference"/>
          <w:lang w:bidi="fa-IR"/>
        </w:rPr>
        <w:t xml:space="preserve"> </w:t>
      </w:r>
    </w:p>
    <w:p w:rsidR="007C6A5F" w:rsidRDefault="007C6A5F" w:rsidP="005A6F87">
      <w:pPr>
        <w:pStyle w:val="ListBullet"/>
        <w:numPr>
          <w:ilvl w:val="0"/>
          <w:numId w:val="17"/>
        </w:numPr>
        <w:rPr>
          <w:lang w:bidi="fa-IR"/>
        </w:rPr>
      </w:pPr>
      <w:r>
        <w:rPr>
          <w:lang w:bidi="fa-IR"/>
        </w:rPr>
        <w:t>there were 13 683 participants with SDA funding in an active NDIS plan (the NDIA has estimated that the number of participants eligible for SDA funding will increase to 28 000 over time)</w:t>
      </w:r>
    </w:p>
    <w:p w:rsidR="007C6A5F" w:rsidRDefault="007C6A5F" w:rsidP="005A6F87">
      <w:pPr>
        <w:pStyle w:val="ListBullet"/>
        <w:numPr>
          <w:ilvl w:val="0"/>
          <w:numId w:val="17"/>
        </w:numPr>
        <w:rPr>
          <w:lang w:bidi="fa-IR"/>
        </w:rPr>
      </w:pPr>
      <w:r>
        <w:rPr>
          <w:lang w:bidi="fa-IR"/>
        </w:rPr>
        <w:lastRenderedPageBreak/>
        <w:t>the annualised cost of SDA supports in active plans is estimated at around $48 million</w:t>
      </w:r>
      <w:r>
        <w:rPr>
          <w:rStyle w:val="FootnoteReference"/>
          <w:lang w:bidi="fa-IR"/>
        </w:rPr>
        <w:footnoteReference w:id="30"/>
      </w:r>
    </w:p>
    <w:p w:rsidR="007C6A5F" w:rsidRDefault="007C6A5F" w:rsidP="005A6F87">
      <w:pPr>
        <w:pStyle w:val="ListBullet"/>
        <w:numPr>
          <w:ilvl w:val="0"/>
          <w:numId w:val="17"/>
        </w:numPr>
        <w:rPr>
          <w:lang w:bidi="fa-IR"/>
        </w:rPr>
      </w:pPr>
      <w:r>
        <w:rPr>
          <w:lang w:bidi="fa-IR"/>
        </w:rPr>
        <w:t>there were 3 938 enrolled dwellings, including:</w:t>
      </w:r>
      <w:r>
        <w:rPr>
          <w:rStyle w:val="FootnoteReference"/>
          <w:lang w:bidi="fa-IR"/>
        </w:rPr>
        <w:footnoteReference w:id="31"/>
      </w:r>
    </w:p>
    <w:p w:rsidR="007C6A5F" w:rsidRDefault="007C6A5F" w:rsidP="005A6F87">
      <w:pPr>
        <w:pStyle w:val="ListBullet2"/>
        <w:numPr>
          <w:ilvl w:val="1"/>
          <w:numId w:val="17"/>
        </w:numPr>
        <w:ind w:left="568" w:hanging="284"/>
        <w:rPr>
          <w:lang w:bidi="fa-IR"/>
        </w:rPr>
      </w:pPr>
      <w:r>
        <w:rPr>
          <w:lang w:bidi="fa-IR"/>
        </w:rPr>
        <w:t>847 Improved Liveability dwellings (broadly aligning the LHDG silver standard)</w:t>
      </w:r>
    </w:p>
    <w:p w:rsidR="007C6A5F" w:rsidRDefault="007C6A5F" w:rsidP="005A6F87">
      <w:pPr>
        <w:pStyle w:val="ListBullet2"/>
        <w:numPr>
          <w:ilvl w:val="1"/>
          <w:numId w:val="17"/>
        </w:numPr>
        <w:ind w:left="568" w:hanging="284"/>
        <w:rPr>
          <w:lang w:bidi="fa-IR"/>
        </w:rPr>
      </w:pPr>
      <w:r>
        <w:rPr>
          <w:lang w:bidi="fa-IR"/>
        </w:rPr>
        <w:t>511 ‘Fully Accessible’ dwellings (broadly consistent with LHDG platinum standard dwellings)</w:t>
      </w:r>
    </w:p>
    <w:p w:rsidR="007C6A5F" w:rsidRDefault="007C6A5F" w:rsidP="005A6F87">
      <w:pPr>
        <w:pStyle w:val="ListBullet2"/>
        <w:numPr>
          <w:ilvl w:val="1"/>
          <w:numId w:val="17"/>
        </w:numPr>
        <w:ind w:left="568" w:hanging="284"/>
        <w:rPr>
          <w:lang w:bidi="fa-IR"/>
        </w:rPr>
      </w:pPr>
      <w:r>
        <w:rPr>
          <w:lang w:bidi="fa-IR"/>
        </w:rPr>
        <w:t>455 High Physical Support dwellings (suitable for people unable to transition without assistance).</w:t>
      </w:r>
    </w:p>
    <w:p w:rsidR="007C6A5F" w:rsidRDefault="007C6A5F" w:rsidP="007C6A5F">
      <w:pPr>
        <w:pStyle w:val="Heading2"/>
        <w:numPr>
          <w:ilvl w:val="1"/>
          <w:numId w:val="5"/>
        </w:numPr>
      </w:pPr>
      <w:bookmarkStart w:id="2590" w:name="_Toc32321749"/>
      <w:bookmarkStart w:id="2591" w:name="_Toc44598437"/>
      <w:bookmarkStart w:id="2592" w:name="_Toc45654068"/>
      <w:r>
        <w:t>Quantifying the problem</w:t>
      </w:r>
      <w:bookmarkEnd w:id="2590"/>
      <w:bookmarkEnd w:id="2591"/>
      <w:bookmarkEnd w:id="2592"/>
    </w:p>
    <w:p w:rsidR="007C6A5F" w:rsidRDefault="007C6A5F" w:rsidP="007C6A5F">
      <w:pPr>
        <w:pStyle w:val="BodyText"/>
      </w:pPr>
      <w:r>
        <w:t>The outcomes (including those described above) under current arrangements and policy settings are not necessarily optimal from various perspectives. In particular, housing designs that are not based on universal design principles may not be optimal where:</w:t>
      </w:r>
    </w:p>
    <w:p w:rsidR="007C6A5F" w:rsidRDefault="007C6A5F" w:rsidP="005A6F87">
      <w:pPr>
        <w:pStyle w:val="ListBullet"/>
        <w:numPr>
          <w:ilvl w:val="0"/>
          <w:numId w:val="17"/>
        </w:numPr>
      </w:pPr>
      <w:r>
        <w:t xml:space="preserve">the needs of members of the community with </w:t>
      </w:r>
      <w:r w:rsidR="004872C6">
        <w:t xml:space="preserve">a </w:t>
      </w:r>
      <w:r>
        <w:t>mobility</w:t>
      </w:r>
      <w:r w:rsidR="004872C6">
        <w:noBreakHyphen/>
        <w:t xml:space="preserve">related disability </w:t>
      </w:r>
      <w:r>
        <w:t>are not met; and/or</w:t>
      </w:r>
    </w:p>
    <w:p w:rsidR="007C6A5F" w:rsidRPr="00236F61" w:rsidRDefault="007C6A5F" w:rsidP="005A6F87">
      <w:pPr>
        <w:pStyle w:val="ListBullet"/>
        <w:numPr>
          <w:ilvl w:val="0"/>
          <w:numId w:val="17"/>
        </w:numPr>
      </w:pPr>
      <w:r>
        <w:t xml:space="preserve">the cost of meeting the needs of members of the community with </w:t>
      </w:r>
      <w:r w:rsidR="004872C6">
        <w:t xml:space="preserve">a </w:t>
      </w:r>
      <w:r>
        <w:t>mobility</w:t>
      </w:r>
      <w:r w:rsidR="004872C6">
        <w:noBreakHyphen/>
        <w:t xml:space="preserve">related disability </w:t>
      </w:r>
      <w:r>
        <w:t>is unnecessarily high (including both costs incurred by affected individuals and the government).</w:t>
      </w:r>
    </w:p>
    <w:p w:rsidR="007C6A5F" w:rsidRDefault="007C6A5F" w:rsidP="007C6A5F">
      <w:pPr>
        <w:pStyle w:val="BodyText"/>
      </w:pPr>
      <w:r w:rsidRPr="00687613">
        <w:t>These sub</w:t>
      </w:r>
      <w:r w:rsidRPr="00687613">
        <w:noBreakHyphen/>
        <w:t xml:space="preserve">optimal outcomes are effectively the </w:t>
      </w:r>
      <w:r>
        <w:t>‘</w:t>
      </w:r>
      <w:r w:rsidRPr="00687613">
        <w:t>problem</w:t>
      </w:r>
      <w:r>
        <w:t>’</w:t>
      </w:r>
      <w:r w:rsidRPr="00687613">
        <w:t xml:space="preserve"> that the proposed changes to the NCC are trying to solve (i</w:t>
      </w:r>
      <w:r>
        <w:t>.e. the problem that is not already being solved through existing mechanisms). Table </w:t>
      </w:r>
      <w:r>
        <w:rPr>
          <w:noProof/>
        </w:rPr>
        <w:fldChar w:fldCharType="begin"/>
      </w:r>
      <w:r>
        <w:rPr>
          <w:noProof/>
        </w:rPr>
        <w:instrText xml:space="preserve"> REF _Caption0630 </w:instrText>
      </w:r>
      <w:r>
        <w:rPr>
          <w:noProof/>
        </w:rPr>
        <w:fldChar w:fldCharType="separate"/>
      </w:r>
      <w:r>
        <w:rPr>
          <w:noProof/>
        </w:rPr>
        <w:t>2</w:t>
      </w:r>
      <w:r w:rsidRPr="00695C93">
        <w:rPr>
          <w:noProof/>
        </w:rPr>
        <w:t>.</w:t>
      </w:r>
      <w:r>
        <w:rPr>
          <w:noProof/>
        </w:rPr>
        <w:t>18</w:t>
      </w:r>
      <w:r>
        <w:rPr>
          <w:noProof/>
        </w:rPr>
        <w:fldChar w:fldCharType="end"/>
      </w:r>
      <w:r>
        <w:t xml:space="preserve"> identifies some sub-optimal outcomes that could arise from a shortage of accessible housing.</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2</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18</w:instrText>
      </w:r>
      <w:r w:rsidRPr="00695C93">
        <w:fldChar w:fldCharType="end"/>
      </w:r>
      <w:r w:rsidRPr="00695C93">
        <w:instrText xml:space="preserve">" "" </w:instrText>
      </w:r>
      <w:r w:rsidRPr="00695C93">
        <w:fldChar w:fldCharType="separate"/>
      </w:r>
      <w:bookmarkStart w:id="2593" w:name="_Caption9790"/>
      <w:bookmarkStart w:id="2594" w:name="_Caption9563"/>
      <w:bookmarkStart w:id="2595" w:name="_Caption2339"/>
      <w:bookmarkStart w:id="2596" w:name="_Caption4142"/>
      <w:bookmarkStart w:id="2597" w:name="_Caption9148"/>
      <w:bookmarkStart w:id="2598" w:name="_Caption0057"/>
      <w:bookmarkStart w:id="2599" w:name="_Caption0295"/>
      <w:bookmarkStart w:id="2600" w:name="_Caption9524"/>
      <w:bookmarkStart w:id="2601" w:name="_Caption1533"/>
      <w:bookmarkStart w:id="2602" w:name="_Caption6347"/>
      <w:bookmarkStart w:id="2603" w:name="_Caption0655"/>
      <w:bookmarkStart w:id="2604" w:name="_Caption8895"/>
      <w:bookmarkStart w:id="2605" w:name="_Caption9410"/>
      <w:bookmarkStart w:id="2606" w:name="_Caption8836"/>
      <w:bookmarkStart w:id="2607" w:name="_Caption1057"/>
      <w:bookmarkStart w:id="2608" w:name="_Caption5226"/>
      <w:bookmarkStart w:id="2609" w:name="_Caption2145"/>
      <w:bookmarkStart w:id="2610" w:name="_Caption2635"/>
      <w:bookmarkStart w:id="2611" w:name="_Caption0245"/>
      <w:bookmarkStart w:id="2612" w:name="_Caption2501"/>
      <w:bookmarkStart w:id="2613" w:name="_Caption2354"/>
      <w:bookmarkStart w:id="2614" w:name="_Caption1556"/>
      <w:bookmarkStart w:id="2615" w:name="_Caption3957"/>
      <w:bookmarkStart w:id="2616" w:name="_Caption0363"/>
      <w:bookmarkStart w:id="2617" w:name="_Caption0371"/>
      <w:bookmarkStart w:id="2618" w:name="_Caption0464"/>
      <w:bookmarkStart w:id="2619" w:name="_Caption8603"/>
      <w:bookmarkStart w:id="2620" w:name="_Caption2799"/>
      <w:bookmarkStart w:id="2621" w:name="_Caption3860"/>
      <w:bookmarkStart w:id="2622" w:name="_Caption0665"/>
      <w:bookmarkStart w:id="2623" w:name="_Caption6780"/>
      <w:bookmarkStart w:id="2624" w:name="_Caption8471"/>
      <w:bookmarkStart w:id="2625" w:name="_Caption9551"/>
      <w:bookmarkStart w:id="2626" w:name="_Caption1775"/>
      <w:bookmarkStart w:id="2627" w:name="_Caption1267"/>
      <w:bookmarkStart w:id="2628" w:name="_Caption4796"/>
      <w:bookmarkStart w:id="2629" w:name="_Caption9805"/>
      <w:bookmarkStart w:id="2630" w:name="_Caption6876"/>
      <w:bookmarkStart w:id="2631" w:name="_Caption5737"/>
      <w:bookmarkStart w:id="2632" w:name="_Caption1045"/>
      <w:bookmarkStart w:id="2633" w:name="_Caption2290"/>
      <w:bookmarkStart w:id="2634" w:name="_Caption2974"/>
      <w:bookmarkStart w:id="2635" w:name="_Caption8654"/>
      <w:bookmarkStart w:id="2636" w:name="_Caption9918"/>
      <w:bookmarkStart w:id="2637" w:name="_Caption2964"/>
      <w:bookmarkStart w:id="2638" w:name="_Caption3647"/>
      <w:bookmarkStart w:id="2639" w:name="_Caption1183"/>
      <w:bookmarkStart w:id="2640" w:name="_Caption4698"/>
      <w:bookmarkStart w:id="2641" w:name="_Caption3078"/>
      <w:bookmarkStart w:id="2642" w:name="_Caption3353"/>
      <w:bookmarkStart w:id="2643" w:name="_Caption4859"/>
      <w:bookmarkStart w:id="2644" w:name="_Caption1742"/>
      <w:bookmarkStart w:id="2645" w:name="_Caption5782"/>
      <w:bookmarkStart w:id="2646" w:name="_Caption4795"/>
      <w:bookmarkStart w:id="2647" w:name="_Caption4736"/>
      <w:bookmarkStart w:id="2648" w:name="_Caption9440"/>
      <w:bookmarkStart w:id="2649" w:name="_Caption3106"/>
      <w:bookmarkStart w:id="2650" w:name="_Caption2532"/>
      <w:bookmarkStart w:id="2651" w:name="_Caption0810"/>
      <w:bookmarkStart w:id="2652" w:name="_Caption3137"/>
      <w:bookmarkStart w:id="2653" w:name="_Caption0208"/>
      <w:bookmarkStart w:id="2654" w:name="_Caption9338"/>
      <w:bookmarkStart w:id="2655" w:name="_Caption4814"/>
      <w:bookmarkStart w:id="2656" w:name="_Caption0630"/>
      <w:bookmarkStart w:id="2657" w:name="_Caption2115"/>
      <w:bookmarkStart w:id="2658" w:name="_Caption4122"/>
      <w:bookmarkStart w:id="2659" w:name="_Caption3944"/>
      <w:bookmarkStart w:id="2660" w:name="_Caption9271"/>
      <w:bookmarkStart w:id="2661" w:name="_Caption1566"/>
      <w:bookmarkStart w:id="2662" w:name="_Caption9151"/>
      <w:bookmarkStart w:id="2663" w:name="_Caption8898"/>
      <w:bookmarkStart w:id="2664" w:name="_Caption0778"/>
      <w:bookmarkStart w:id="2665" w:name="_Caption1259"/>
      <w:bookmarkStart w:id="2666" w:name="_Caption9555"/>
      <w:bookmarkStart w:id="2667" w:name="_Caption7843"/>
      <w:bookmarkStart w:id="2668" w:name="_Caption5467"/>
      <w:bookmarkStart w:id="2669" w:name="_Caption3370"/>
      <w:bookmarkStart w:id="2670" w:name="_Caption5998"/>
      <w:bookmarkStart w:id="2671" w:name="_Caption5094"/>
      <w:bookmarkStart w:id="2672" w:name="_Caption0163"/>
      <w:bookmarkStart w:id="2673" w:name="_Caption2195"/>
      <w:bookmarkStart w:id="2674" w:name="_Caption8477"/>
      <w:bookmarkStart w:id="2675" w:name="_Caption8925"/>
      <w:bookmarkStart w:id="2676" w:name="_Caption7285"/>
      <w:bookmarkStart w:id="2677" w:name="_Caption6393"/>
      <w:bookmarkStart w:id="2678" w:name="_Caption9499"/>
      <w:bookmarkStart w:id="2679" w:name="_Caption1047"/>
      <w:bookmarkStart w:id="2680" w:name="_Caption3909"/>
      <w:bookmarkStart w:id="2681" w:name="_Caption3445"/>
      <w:bookmarkStart w:id="2682" w:name="_Caption9098"/>
      <w:bookmarkStart w:id="2683" w:name="_Caption8176"/>
      <w:bookmarkStart w:id="2684" w:name="_Caption3738"/>
      <w:bookmarkStart w:id="2685" w:name="_Caption8518"/>
      <w:bookmarkStart w:id="2686" w:name="_Caption5672"/>
      <w:bookmarkStart w:id="2687" w:name="_Caption8396"/>
      <w:bookmarkStart w:id="2688" w:name="_Caption0380"/>
      <w:bookmarkStart w:id="2689" w:name="_Caption4472"/>
      <w:bookmarkStart w:id="2690" w:name="_Caption1149"/>
      <w:bookmarkStart w:id="2691" w:name="_Caption9731"/>
      <w:bookmarkStart w:id="2692" w:name="_Caption0715"/>
      <w:bookmarkStart w:id="2693" w:name="_Caption5033"/>
      <w:bookmarkStart w:id="2694" w:name="_Caption0595"/>
      <w:bookmarkStart w:id="2695" w:name="_Caption0646"/>
      <w:bookmarkStart w:id="2696" w:name="_Caption6236"/>
      <w:bookmarkStart w:id="2697" w:name="_Caption7780"/>
      <w:bookmarkStart w:id="2698" w:name="_Caption8073"/>
      <w:bookmarkStart w:id="2699" w:name="_Caption6648"/>
      <w:bookmarkStart w:id="2700" w:name="_Caption7077"/>
      <w:bookmarkStart w:id="2701" w:name="_Caption2518"/>
      <w:bookmarkStart w:id="2702" w:name="_Caption6681"/>
      <w:bookmarkStart w:id="2703" w:name="_Caption9864"/>
      <w:bookmarkStart w:id="2704" w:name="_Caption2380"/>
      <w:bookmarkStart w:id="2705" w:name="_Caption2608"/>
      <w:bookmarkStart w:id="2706" w:name="_Caption3737"/>
      <w:bookmarkStart w:id="2707" w:name="_Caption1151"/>
      <w:bookmarkStart w:id="2708" w:name="_Caption9654"/>
      <w:bookmarkStart w:id="2709" w:name="_Caption9427"/>
      <w:bookmarkStart w:id="2710" w:name="_Caption4351"/>
      <w:bookmarkStart w:id="2711" w:name="_Caption5754"/>
      <w:bookmarkStart w:id="2712" w:name="_Caption0913"/>
      <w:bookmarkStart w:id="2713" w:name="_Caption7330"/>
      <w:bookmarkStart w:id="2714" w:name="_Caption9203"/>
      <w:bookmarkStart w:id="2715" w:name="_Caption7275"/>
      <w:bookmarkStart w:id="2716" w:name="_Caption8904"/>
      <w:bookmarkStart w:id="2717" w:name="_Caption2970"/>
      <w:bookmarkStart w:id="2718" w:name="_Caption4972"/>
      <w:bookmarkStart w:id="2719" w:name="_Caption2660"/>
      <w:bookmarkStart w:id="2720" w:name="_Caption8231"/>
      <w:bookmarkStart w:id="2721" w:name="_Caption6153"/>
      <w:bookmarkStart w:id="2722" w:name="_Caption2165"/>
      <w:bookmarkStart w:id="2723" w:name="_Caption5689"/>
      <w:bookmarkStart w:id="2724" w:name="_Caption7852"/>
      <w:bookmarkStart w:id="2725" w:name="_Caption5086"/>
      <w:bookmarkStart w:id="2726" w:name="_Caption0233"/>
      <w:bookmarkStart w:id="2727" w:name="_Caption2750"/>
      <w:bookmarkStart w:id="2728" w:name="_Caption5240"/>
      <w:bookmarkStart w:id="2729" w:name="_Caption3239"/>
      <w:bookmarkStart w:id="2730" w:name="_Caption5267"/>
      <w:bookmarkStart w:id="2731" w:name="_Caption9345"/>
      <w:bookmarkStart w:id="2732" w:name="_Caption4937"/>
      <w:bookmarkStart w:id="2733" w:name="_Caption2753"/>
      <w:bookmarkStart w:id="2734" w:name="_Caption2358"/>
      <w:bookmarkStart w:id="2735" w:name="_Caption4109"/>
      <w:bookmarkStart w:id="2736" w:name="_Caption9290"/>
      <w:bookmarkStart w:id="2737" w:name="_Caption6346"/>
      <w:bookmarkStart w:id="2738" w:name="_Caption0752"/>
      <w:bookmarkStart w:id="2739" w:name="_Caption7857"/>
      <w:bookmarkStart w:id="2740" w:name="_Caption7739"/>
      <w:bookmarkStart w:id="2741" w:name="_Caption5708"/>
      <w:bookmarkStart w:id="2742" w:name="_Caption2144"/>
      <w:bookmarkStart w:id="2743" w:name="_Caption8057"/>
      <w:bookmarkStart w:id="2744" w:name="_Caption6330"/>
      <w:bookmarkStart w:id="2745" w:name="_Toc24977950"/>
      <w:bookmarkStart w:id="2746" w:name="_Toc32321809"/>
      <w:bookmarkStart w:id="2747" w:name="_Toc44598502"/>
      <w:bookmarkStart w:id="2748" w:name="_Toc45654133"/>
      <w:r w:rsidR="00272AF3">
        <w:rPr>
          <w:noProof/>
        </w:rPr>
        <w:t>2</w:t>
      </w:r>
      <w:r w:rsidR="00272AF3" w:rsidRPr="00695C93">
        <w:rPr>
          <w:noProof/>
        </w:rPr>
        <w:t>.</w:t>
      </w:r>
      <w:r w:rsidR="00272AF3">
        <w:rPr>
          <w:noProof/>
        </w:rPr>
        <w:t>18</w:t>
      </w:r>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r w:rsidRPr="00695C93">
        <w:fldChar w:fldCharType="end"/>
      </w:r>
      <w:r w:rsidRPr="00695C93">
        <w:tab/>
      </w:r>
      <w:r>
        <w:t>Summary of sub-optimal outcomes from a shortage of accessible housing</w:t>
      </w:r>
      <w:bookmarkEnd w:id="2745"/>
      <w:bookmarkEnd w:id="2746"/>
      <w:bookmarkEnd w:id="2747"/>
      <w:bookmarkEnd w:id="2748"/>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2.18"/>
        <w:tblDescription w:val="Summary of sub-optimal outcomes from a shortage of accessible housing"/>
      </w:tblPr>
      <w:tblGrid>
        <w:gridCol w:w="1134"/>
        <w:gridCol w:w="1843"/>
        <w:gridCol w:w="2268"/>
        <w:gridCol w:w="2692"/>
      </w:tblGrid>
      <w:tr w:rsidR="005A47DA" w:rsidTr="00F17F83">
        <w:trPr>
          <w:tblHeader/>
        </w:trPr>
        <w:tc>
          <w:tcPr>
            <w:tcW w:w="1134" w:type="dxa"/>
            <w:tcBorders>
              <w:bottom w:val="single" w:sz="8" w:space="0" w:color="FFFFFF" w:themeColor="background1"/>
            </w:tcBorders>
            <w:shd w:val="clear" w:color="auto" w:fill="6F6652" w:themeFill="text2"/>
          </w:tcPr>
          <w:p w:rsidR="005A47DA" w:rsidRDefault="00F17F83" w:rsidP="00C36DA4">
            <w:pPr>
              <w:pStyle w:val="TableTextColumnHeading"/>
              <w:rPr>
                <w:lang w:bidi="fa-IR"/>
              </w:rPr>
            </w:pPr>
            <w:r>
              <w:rPr>
                <w:lang w:bidi="fa-IR"/>
              </w:rPr>
              <w:t>Short-term or long-term</w:t>
            </w:r>
          </w:p>
        </w:tc>
        <w:tc>
          <w:tcPr>
            <w:tcW w:w="1843" w:type="dxa"/>
            <w:tcBorders>
              <w:bottom w:val="single" w:sz="8" w:space="0" w:color="FFFFFF" w:themeColor="background1"/>
            </w:tcBorders>
            <w:shd w:val="clear" w:color="auto" w:fill="6F6652" w:themeFill="text2"/>
          </w:tcPr>
          <w:p w:rsidR="005A47DA" w:rsidRDefault="005A47DA" w:rsidP="00C36DA4">
            <w:pPr>
              <w:pStyle w:val="TableTextColumnHeading"/>
              <w:rPr>
                <w:lang w:bidi="fa-IR"/>
              </w:rPr>
            </w:pPr>
            <w:r>
              <w:rPr>
                <w:lang w:bidi="fa-IR"/>
              </w:rPr>
              <w:t>Outcome</w:t>
            </w:r>
          </w:p>
        </w:tc>
        <w:tc>
          <w:tcPr>
            <w:tcW w:w="2268" w:type="dxa"/>
            <w:tcBorders>
              <w:bottom w:val="single" w:sz="8" w:space="0" w:color="FFFFFF" w:themeColor="background1"/>
            </w:tcBorders>
            <w:shd w:val="clear" w:color="auto" w:fill="6F6652" w:themeFill="text2"/>
          </w:tcPr>
          <w:p w:rsidR="005A47DA" w:rsidRDefault="005A47DA" w:rsidP="00C36DA4">
            <w:pPr>
              <w:pStyle w:val="TableTextColumnHeading"/>
              <w:rPr>
                <w:lang w:bidi="fa-IR"/>
              </w:rPr>
            </w:pPr>
            <w:r>
              <w:rPr>
                <w:lang w:bidi="fa-IR"/>
              </w:rPr>
              <w:t>Circumstances where outcome is not optimal</w:t>
            </w:r>
          </w:p>
        </w:tc>
        <w:tc>
          <w:tcPr>
            <w:tcW w:w="2692" w:type="dxa"/>
            <w:tcBorders>
              <w:bottom w:val="single" w:sz="8" w:space="0" w:color="FFFFFF" w:themeColor="background1"/>
            </w:tcBorders>
            <w:shd w:val="clear" w:color="auto" w:fill="6F6652" w:themeFill="text2"/>
          </w:tcPr>
          <w:p w:rsidR="005A47DA" w:rsidRDefault="005A47DA" w:rsidP="00C36DA4">
            <w:pPr>
              <w:pStyle w:val="TableTextColumnHeading"/>
              <w:rPr>
                <w:lang w:bidi="fa-IR"/>
              </w:rPr>
            </w:pPr>
            <w:r>
              <w:rPr>
                <w:lang w:bidi="fa-IR"/>
              </w:rPr>
              <w:t>Cost of sub-optimal outcome</w:t>
            </w:r>
          </w:p>
        </w:tc>
      </w:tr>
      <w:tr w:rsidR="005A47DA" w:rsidTr="00F17F83">
        <w:tc>
          <w:tcPr>
            <w:tcW w:w="1134" w:type="dxa"/>
            <w:tcBorders>
              <w:top w:val="single" w:sz="8" w:space="0" w:color="FFFFFF" w:themeColor="background1"/>
              <w:bottom w:val="single" w:sz="8" w:space="0" w:color="FFFFFF" w:themeColor="background1"/>
            </w:tcBorders>
            <w:shd w:val="clear" w:color="auto" w:fill="E9E8E5" w:themeFill="background2"/>
          </w:tcPr>
          <w:p w:rsidR="005A47DA" w:rsidRDefault="005A47DA" w:rsidP="005A47DA">
            <w:pPr>
              <w:pStyle w:val="TableTextEntries"/>
              <w:rPr>
                <w:lang w:bidi="fa-IR"/>
              </w:rPr>
            </w:pPr>
            <w:r>
              <w:rPr>
                <w:lang w:bidi="fa-IR"/>
              </w:rPr>
              <w:t>Short-term (temporary) outcomes</w:t>
            </w:r>
          </w:p>
        </w:tc>
        <w:tc>
          <w:tcPr>
            <w:tcW w:w="1843" w:type="dxa"/>
            <w:tcBorders>
              <w:top w:val="single" w:sz="8" w:space="0" w:color="FFFFFF" w:themeColor="background1"/>
              <w:bottom w:val="single" w:sz="8" w:space="0" w:color="FFFFFF" w:themeColor="background1"/>
            </w:tcBorders>
            <w:shd w:val="clear" w:color="auto" w:fill="E9E8E5" w:themeFill="background2"/>
          </w:tcPr>
          <w:p w:rsidR="005A47DA" w:rsidRDefault="005A47DA" w:rsidP="005A47DA">
            <w:pPr>
              <w:pStyle w:val="TableTextEntries"/>
              <w:rPr>
                <w:lang w:bidi="fa-IR"/>
              </w:rPr>
            </w:pPr>
            <w:r>
              <w:rPr>
                <w:lang w:bidi="fa-IR"/>
              </w:rPr>
              <w:t>Patient remains in hospital/transition care while suitable housing is found</w:t>
            </w:r>
          </w:p>
        </w:tc>
        <w:tc>
          <w:tcPr>
            <w:tcW w:w="2268" w:type="dxa"/>
            <w:tcBorders>
              <w:top w:val="single" w:sz="8" w:space="0" w:color="FFFFFF" w:themeColor="background1"/>
              <w:bottom w:val="single" w:sz="8" w:space="0" w:color="FFFFFF" w:themeColor="background1"/>
            </w:tcBorders>
            <w:shd w:val="clear" w:color="auto" w:fill="E9E8E5" w:themeFill="background2"/>
          </w:tcPr>
          <w:p w:rsidR="005A47DA" w:rsidRDefault="005A47DA" w:rsidP="005A47DA">
            <w:pPr>
              <w:pStyle w:val="TableTextEntries"/>
              <w:rPr>
                <w:lang w:bidi="fa-IR"/>
              </w:rPr>
            </w:pPr>
            <w:r>
              <w:rPr>
                <w:lang w:bidi="fa-IR"/>
              </w:rPr>
              <w:t>Where patient would not need to be in hospital if accessible housing was available</w:t>
            </w:r>
          </w:p>
        </w:tc>
        <w:tc>
          <w:tcPr>
            <w:tcW w:w="2692" w:type="dxa"/>
            <w:tcBorders>
              <w:top w:val="single" w:sz="8" w:space="0" w:color="FFFFFF" w:themeColor="background1"/>
              <w:bottom w:val="single" w:sz="8" w:space="0" w:color="FFFFFF" w:themeColor="background1"/>
            </w:tcBorders>
            <w:shd w:val="clear" w:color="auto" w:fill="E9E8E5" w:themeFill="background2"/>
          </w:tcPr>
          <w:p w:rsidR="005A47DA" w:rsidRDefault="005A47DA" w:rsidP="005A47DA">
            <w:pPr>
              <w:pStyle w:val="TableTextEntries"/>
              <w:rPr>
                <w:lang w:bidi="fa-IR"/>
              </w:rPr>
            </w:pPr>
            <w:r>
              <w:rPr>
                <w:lang w:bidi="fa-IR"/>
              </w:rPr>
              <w:t>Additional cost of hospital stay or respite care</w:t>
            </w:r>
          </w:p>
        </w:tc>
      </w:tr>
      <w:tr w:rsidR="005A47DA" w:rsidTr="00F17F83">
        <w:tc>
          <w:tcPr>
            <w:tcW w:w="1134" w:type="dxa"/>
            <w:tcBorders>
              <w:top w:val="single" w:sz="8" w:space="0" w:color="FFFFFF" w:themeColor="background1"/>
              <w:bottom w:val="single" w:sz="8" w:space="0" w:color="FFFFFF" w:themeColor="background1"/>
            </w:tcBorders>
            <w:shd w:val="clear" w:color="auto" w:fill="E9E8E5" w:themeFill="background2"/>
          </w:tcPr>
          <w:p w:rsidR="005A47DA" w:rsidRDefault="005A47DA" w:rsidP="005A47DA">
            <w:pPr>
              <w:pStyle w:val="TableTextEntries"/>
              <w:rPr>
                <w:lang w:bidi="fa-IR"/>
              </w:rPr>
            </w:pPr>
            <w:r>
              <w:rPr>
                <w:lang w:bidi="fa-IR"/>
              </w:rPr>
              <w:t>Short-term (temporary) outcomes</w:t>
            </w:r>
          </w:p>
        </w:tc>
        <w:tc>
          <w:tcPr>
            <w:tcW w:w="1843" w:type="dxa"/>
            <w:tcBorders>
              <w:top w:val="single" w:sz="8" w:space="0" w:color="FFFFFF" w:themeColor="background1"/>
              <w:bottom w:val="single" w:sz="8" w:space="0" w:color="FFFFFF" w:themeColor="background1"/>
            </w:tcBorders>
            <w:shd w:val="clear" w:color="auto" w:fill="E9E8E5" w:themeFill="background2"/>
          </w:tcPr>
          <w:p w:rsidR="005A47DA" w:rsidRDefault="005A47DA" w:rsidP="005A47DA">
            <w:pPr>
              <w:pStyle w:val="TableTextEntries"/>
              <w:rPr>
                <w:lang w:bidi="fa-IR"/>
              </w:rPr>
            </w:pPr>
            <w:r>
              <w:rPr>
                <w:lang w:bidi="fa-IR"/>
              </w:rPr>
              <w:t>Housing without accessibility features (while suitable housing is unable to be found)</w:t>
            </w:r>
          </w:p>
        </w:tc>
        <w:tc>
          <w:tcPr>
            <w:tcW w:w="2268" w:type="dxa"/>
            <w:tcBorders>
              <w:top w:val="single" w:sz="8" w:space="0" w:color="FFFFFF" w:themeColor="background1"/>
              <w:bottom w:val="single" w:sz="8" w:space="0" w:color="FFFFFF" w:themeColor="background1"/>
            </w:tcBorders>
            <w:shd w:val="clear" w:color="auto" w:fill="E9E8E5" w:themeFill="background2"/>
          </w:tcPr>
          <w:p w:rsidR="005A47DA" w:rsidRDefault="005A47DA" w:rsidP="005A47DA">
            <w:pPr>
              <w:pStyle w:val="TableTextEntries"/>
              <w:rPr>
                <w:lang w:bidi="fa-IR"/>
              </w:rPr>
            </w:pPr>
            <w:r>
              <w:rPr>
                <w:lang w:bidi="fa-IR"/>
              </w:rPr>
              <w:t>Where individual has accessibility needs but temporarily remains in housing without relevant accessibility features while more suitable housing is found.</w:t>
            </w:r>
          </w:p>
        </w:tc>
        <w:tc>
          <w:tcPr>
            <w:tcW w:w="2692" w:type="dxa"/>
            <w:tcBorders>
              <w:top w:val="single" w:sz="8" w:space="0" w:color="FFFFFF" w:themeColor="background1"/>
              <w:bottom w:val="single" w:sz="8" w:space="0" w:color="FFFFFF" w:themeColor="background1"/>
            </w:tcBorders>
            <w:shd w:val="clear" w:color="auto" w:fill="E9E8E5" w:themeFill="background2"/>
          </w:tcPr>
          <w:p w:rsidR="005A47DA" w:rsidRDefault="005A47DA" w:rsidP="005A47DA">
            <w:pPr>
              <w:pStyle w:val="TableTextEntries"/>
              <w:rPr>
                <w:lang w:bidi="fa-IR"/>
              </w:rPr>
            </w:pPr>
            <w:r>
              <w:rPr>
                <w:lang w:bidi="fa-IR"/>
              </w:rPr>
              <w:t>Accessibility needs not met, possibly leading to:</w:t>
            </w:r>
          </w:p>
          <w:p w:rsidR="005A47DA" w:rsidRDefault="005A47DA" w:rsidP="005A47DA">
            <w:pPr>
              <w:pStyle w:val="TableListBullet"/>
              <w:rPr>
                <w:lang w:bidi="fa-IR"/>
              </w:rPr>
            </w:pPr>
            <w:r>
              <w:rPr>
                <w:lang w:bidi="fa-IR"/>
              </w:rPr>
              <w:t>Higher care needs (family or other), including:</w:t>
            </w:r>
          </w:p>
          <w:p w:rsidR="005A47DA" w:rsidRDefault="005A47DA" w:rsidP="005A47DA">
            <w:pPr>
              <w:pStyle w:val="TableListBullet2"/>
              <w:spacing w:before="0" w:after="0"/>
              <w:rPr>
                <w:lang w:bidi="fa-IR"/>
              </w:rPr>
            </w:pPr>
            <w:r>
              <w:rPr>
                <w:lang w:bidi="fa-IR"/>
              </w:rPr>
              <w:t>Loss of independence</w:t>
            </w:r>
          </w:p>
          <w:p w:rsidR="005A47DA" w:rsidRDefault="005A47DA" w:rsidP="005A47DA">
            <w:pPr>
              <w:pStyle w:val="TableListBullet2"/>
              <w:spacing w:before="0" w:after="0"/>
              <w:rPr>
                <w:lang w:bidi="fa-IR"/>
              </w:rPr>
            </w:pPr>
            <w:r>
              <w:rPr>
                <w:lang w:bidi="fa-IR"/>
              </w:rPr>
              <w:t>Cost of carers (including opportunity cost of informal care)</w:t>
            </w:r>
          </w:p>
          <w:p w:rsidR="005A47DA" w:rsidRDefault="005A47DA" w:rsidP="005A47DA">
            <w:pPr>
              <w:pStyle w:val="TableListBullet"/>
              <w:rPr>
                <w:lang w:bidi="fa-IR"/>
              </w:rPr>
            </w:pPr>
            <w:r>
              <w:rPr>
                <w:lang w:bidi="fa-IR"/>
              </w:rPr>
              <w:t>Less safe environment, including:</w:t>
            </w:r>
          </w:p>
          <w:p w:rsidR="005A47DA" w:rsidRDefault="005A47DA" w:rsidP="005A47DA">
            <w:pPr>
              <w:pStyle w:val="TableListBullet2"/>
              <w:spacing w:before="0" w:after="0"/>
              <w:rPr>
                <w:lang w:bidi="fa-IR"/>
              </w:rPr>
            </w:pPr>
            <w:r>
              <w:rPr>
                <w:lang w:bidi="fa-IR"/>
              </w:rPr>
              <w:t>Increase in slips, trips and falls for person with impairment</w:t>
            </w:r>
          </w:p>
          <w:p w:rsidR="005A47DA" w:rsidRDefault="005A47DA" w:rsidP="005A47DA">
            <w:pPr>
              <w:pStyle w:val="TableListBullet2"/>
              <w:spacing w:before="0" w:after="0"/>
              <w:rPr>
                <w:lang w:bidi="fa-IR"/>
              </w:rPr>
            </w:pPr>
            <w:r>
              <w:rPr>
                <w:lang w:bidi="fa-IR"/>
              </w:rPr>
              <w:lastRenderedPageBreak/>
              <w:t>Safety impacts on carers</w:t>
            </w:r>
          </w:p>
          <w:p w:rsidR="005A47DA" w:rsidRDefault="005A47DA" w:rsidP="005A47DA">
            <w:pPr>
              <w:pStyle w:val="TableListBullet"/>
              <w:rPr>
                <w:lang w:bidi="fa-IR"/>
              </w:rPr>
            </w:pPr>
            <w:r>
              <w:rPr>
                <w:lang w:bidi="fa-IR"/>
              </w:rPr>
              <w:t>Inability to participate in the community (i.e. unable to easily enter/leave the dwelling)</w:t>
            </w:r>
          </w:p>
          <w:p w:rsidR="005A47DA" w:rsidRDefault="005A47DA" w:rsidP="005A47DA">
            <w:pPr>
              <w:pStyle w:val="TableListBullet2"/>
              <w:spacing w:before="0" w:after="0"/>
              <w:rPr>
                <w:lang w:bidi="fa-IR"/>
              </w:rPr>
            </w:pPr>
            <w:r>
              <w:rPr>
                <w:lang w:bidi="fa-IR"/>
              </w:rPr>
              <w:t>Loss of employment opportunities</w:t>
            </w:r>
          </w:p>
          <w:p w:rsidR="005A47DA" w:rsidRDefault="005A47DA" w:rsidP="005A47DA">
            <w:pPr>
              <w:pStyle w:val="TableListBullet2"/>
              <w:spacing w:before="0" w:after="0"/>
              <w:rPr>
                <w:lang w:bidi="fa-IR"/>
              </w:rPr>
            </w:pPr>
            <w:r>
              <w:rPr>
                <w:lang w:bidi="fa-IR"/>
              </w:rPr>
              <w:t>Inability to participate in other aspects of community life.</w:t>
            </w:r>
          </w:p>
        </w:tc>
      </w:tr>
      <w:tr w:rsidR="005A47DA" w:rsidTr="00F17F83">
        <w:tc>
          <w:tcPr>
            <w:tcW w:w="1134" w:type="dxa"/>
            <w:tcBorders>
              <w:top w:val="single" w:sz="8" w:space="0" w:color="FFFFFF" w:themeColor="background1"/>
              <w:bottom w:val="single" w:sz="8" w:space="0" w:color="FFFFFF" w:themeColor="background1"/>
            </w:tcBorders>
            <w:shd w:val="clear" w:color="auto" w:fill="E9E8E5" w:themeFill="background2"/>
          </w:tcPr>
          <w:p w:rsidR="005A47DA" w:rsidRDefault="005A47DA" w:rsidP="005A47DA">
            <w:pPr>
              <w:pStyle w:val="TableTextEntries"/>
              <w:rPr>
                <w:lang w:bidi="fa-IR"/>
              </w:rPr>
            </w:pPr>
            <w:r>
              <w:rPr>
                <w:lang w:bidi="fa-IR"/>
              </w:rPr>
              <w:lastRenderedPageBreak/>
              <w:t>Long-term outcomes</w:t>
            </w:r>
          </w:p>
        </w:tc>
        <w:tc>
          <w:tcPr>
            <w:tcW w:w="1843" w:type="dxa"/>
            <w:tcBorders>
              <w:top w:val="single" w:sz="8" w:space="0" w:color="FFFFFF" w:themeColor="background1"/>
              <w:bottom w:val="single" w:sz="8" w:space="0" w:color="FFFFFF" w:themeColor="background1"/>
            </w:tcBorders>
            <w:shd w:val="clear" w:color="auto" w:fill="E9E8E5" w:themeFill="background2"/>
          </w:tcPr>
          <w:p w:rsidR="005A47DA" w:rsidRDefault="005A47DA" w:rsidP="005A47DA">
            <w:pPr>
              <w:pStyle w:val="TableTextEntries"/>
              <w:rPr>
                <w:lang w:bidi="fa-IR"/>
              </w:rPr>
            </w:pPr>
            <w:r>
              <w:rPr>
                <w:lang w:bidi="fa-IR"/>
              </w:rPr>
              <w:t>Housing without accessibility features</w:t>
            </w:r>
          </w:p>
        </w:tc>
        <w:tc>
          <w:tcPr>
            <w:tcW w:w="2268" w:type="dxa"/>
            <w:tcBorders>
              <w:top w:val="single" w:sz="8" w:space="0" w:color="FFFFFF" w:themeColor="background1"/>
              <w:bottom w:val="single" w:sz="8" w:space="0" w:color="FFFFFF" w:themeColor="background1"/>
            </w:tcBorders>
            <w:shd w:val="clear" w:color="auto" w:fill="E9E8E5" w:themeFill="background2"/>
          </w:tcPr>
          <w:p w:rsidR="005A47DA" w:rsidRDefault="005A47DA" w:rsidP="005A47DA">
            <w:pPr>
              <w:pStyle w:val="TableTextEntries"/>
              <w:rPr>
                <w:lang w:bidi="fa-IR"/>
              </w:rPr>
            </w:pPr>
            <w:r>
              <w:rPr>
                <w:lang w:bidi="fa-IR"/>
              </w:rPr>
              <w:t>Where individual has accessibility needs but remains in housing without relevant accessibility features longer-term</w:t>
            </w:r>
            <w:r w:rsidRPr="00572BAC">
              <w:rPr>
                <w:lang w:bidi="fa-IR"/>
              </w:rPr>
              <w:t>.</w:t>
            </w:r>
          </w:p>
        </w:tc>
        <w:tc>
          <w:tcPr>
            <w:tcW w:w="2692" w:type="dxa"/>
            <w:tcBorders>
              <w:top w:val="single" w:sz="8" w:space="0" w:color="FFFFFF" w:themeColor="background1"/>
              <w:bottom w:val="single" w:sz="8" w:space="0" w:color="FFFFFF" w:themeColor="background1"/>
            </w:tcBorders>
            <w:shd w:val="clear" w:color="auto" w:fill="E9E8E5" w:themeFill="background2"/>
          </w:tcPr>
          <w:p w:rsidR="005A47DA" w:rsidRDefault="005A47DA" w:rsidP="005A47DA">
            <w:pPr>
              <w:pStyle w:val="TableTextEntries"/>
              <w:rPr>
                <w:lang w:bidi="fa-IR"/>
              </w:rPr>
            </w:pPr>
            <w:r>
              <w:rPr>
                <w:lang w:bidi="fa-IR"/>
              </w:rPr>
              <w:t>Accessibility needs not met, possibly leading to:</w:t>
            </w:r>
          </w:p>
          <w:p w:rsidR="005A47DA" w:rsidRDefault="005A47DA" w:rsidP="005A47DA">
            <w:pPr>
              <w:pStyle w:val="TableListBullet"/>
              <w:rPr>
                <w:lang w:bidi="fa-IR"/>
              </w:rPr>
            </w:pPr>
            <w:r>
              <w:rPr>
                <w:lang w:bidi="fa-IR"/>
              </w:rPr>
              <w:t>Cost of higher care needs (family or other), including:</w:t>
            </w:r>
          </w:p>
          <w:p w:rsidR="005A47DA" w:rsidRDefault="005A47DA" w:rsidP="005A47DA">
            <w:pPr>
              <w:pStyle w:val="TableListBullet2"/>
              <w:spacing w:before="0" w:after="0"/>
              <w:rPr>
                <w:lang w:bidi="fa-IR"/>
              </w:rPr>
            </w:pPr>
            <w:r>
              <w:rPr>
                <w:lang w:bidi="fa-IR"/>
              </w:rPr>
              <w:t>Loss of independence</w:t>
            </w:r>
          </w:p>
          <w:p w:rsidR="005A47DA" w:rsidRDefault="005A47DA" w:rsidP="005A47DA">
            <w:pPr>
              <w:pStyle w:val="TableListBullet2"/>
              <w:spacing w:before="0" w:after="0"/>
              <w:rPr>
                <w:lang w:bidi="fa-IR"/>
              </w:rPr>
            </w:pPr>
            <w:r>
              <w:rPr>
                <w:lang w:bidi="fa-IR"/>
              </w:rPr>
              <w:t>Cost of carers (including opportunity cost of informal care)</w:t>
            </w:r>
          </w:p>
          <w:p w:rsidR="005A47DA" w:rsidRDefault="005A47DA" w:rsidP="005A47DA">
            <w:pPr>
              <w:pStyle w:val="TableListBullet"/>
              <w:rPr>
                <w:lang w:bidi="fa-IR"/>
              </w:rPr>
            </w:pPr>
            <w:r>
              <w:rPr>
                <w:lang w:bidi="fa-IR"/>
              </w:rPr>
              <w:t>Less safe environment, including:</w:t>
            </w:r>
          </w:p>
          <w:p w:rsidR="005A47DA" w:rsidRDefault="005A47DA" w:rsidP="005A47DA">
            <w:pPr>
              <w:pStyle w:val="TableListBullet2"/>
              <w:spacing w:before="0" w:after="0"/>
              <w:rPr>
                <w:lang w:bidi="fa-IR"/>
              </w:rPr>
            </w:pPr>
            <w:r>
              <w:rPr>
                <w:lang w:bidi="fa-IR"/>
              </w:rPr>
              <w:t>Increase in falls for person with impairment</w:t>
            </w:r>
          </w:p>
          <w:p w:rsidR="005A47DA" w:rsidRDefault="005A47DA" w:rsidP="005A47DA">
            <w:pPr>
              <w:pStyle w:val="TableListBullet2"/>
              <w:spacing w:before="0" w:after="0"/>
              <w:rPr>
                <w:lang w:bidi="fa-IR"/>
              </w:rPr>
            </w:pPr>
            <w:r>
              <w:rPr>
                <w:lang w:bidi="fa-IR"/>
              </w:rPr>
              <w:t>Safety impacts on carers</w:t>
            </w:r>
          </w:p>
          <w:p w:rsidR="005A47DA" w:rsidRDefault="005A47DA" w:rsidP="005A47DA">
            <w:pPr>
              <w:pStyle w:val="TableListBullet"/>
              <w:rPr>
                <w:lang w:bidi="fa-IR"/>
              </w:rPr>
            </w:pPr>
            <w:r>
              <w:rPr>
                <w:lang w:bidi="fa-IR"/>
              </w:rPr>
              <w:t>Inability to participate in the community (i.e. unable to easily enter/leave the dwelling)</w:t>
            </w:r>
          </w:p>
          <w:p w:rsidR="005A47DA" w:rsidRDefault="005A47DA" w:rsidP="005A47DA">
            <w:pPr>
              <w:pStyle w:val="TableListBullet2"/>
              <w:spacing w:before="0" w:after="0"/>
              <w:rPr>
                <w:lang w:bidi="fa-IR"/>
              </w:rPr>
            </w:pPr>
            <w:r>
              <w:rPr>
                <w:lang w:bidi="fa-IR"/>
              </w:rPr>
              <w:t>Loss of employment opportunities</w:t>
            </w:r>
          </w:p>
          <w:p w:rsidR="005A47DA" w:rsidRDefault="005A47DA" w:rsidP="005A47DA">
            <w:pPr>
              <w:pStyle w:val="TableListBullet2"/>
              <w:spacing w:before="0" w:after="0"/>
              <w:rPr>
                <w:lang w:bidi="fa-IR"/>
              </w:rPr>
            </w:pPr>
            <w:r>
              <w:rPr>
                <w:lang w:bidi="fa-IR"/>
              </w:rPr>
              <w:t>In ability to participate in other aspects of community life</w:t>
            </w:r>
          </w:p>
        </w:tc>
      </w:tr>
      <w:tr w:rsidR="005A47DA" w:rsidTr="00F17F83">
        <w:tc>
          <w:tcPr>
            <w:tcW w:w="1134" w:type="dxa"/>
            <w:tcBorders>
              <w:top w:val="single" w:sz="8" w:space="0" w:color="FFFFFF" w:themeColor="background1"/>
              <w:bottom w:val="single" w:sz="8" w:space="0" w:color="FFFFFF" w:themeColor="background1"/>
            </w:tcBorders>
            <w:shd w:val="clear" w:color="auto" w:fill="E9E8E5" w:themeFill="background2"/>
          </w:tcPr>
          <w:p w:rsidR="005A47DA" w:rsidRDefault="005A47DA" w:rsidP="005A47DA">
            <w:pPr>
              <w:pStyle w:val="TableTextEntries"/>
              <w:rPr>
                <w:lang w:bidi="fa-IR"/>
              </w:rPr>
            </w:pPr>
            <w:r w:rsidRPr="00864ED3">
              <w:rPr>
                <w:lang w:bidi="fa-IR"/>
              </w:rPr>
              <w:t>Long-term outcomes</w:t>
            </w:r>
          </w:p>
        </w:tc>
        <w:tc>
          <w:tcPr>
            <w:tcW w:w="1843" w:type="dxa"/>
            <w:tcBorders>
              <w:top w:val="single" w:sz="8" w:space="0" w:color="FFFFFF" w:themeColor="background1"/>
              <w:bottom w:val="single" w:sz="8" w:space="0" w:color="FFFFFF" w:themeColor="background1"/>
            </w:tcBorders>
            <w:shd w:val="clear" w:color="auto" w:fill="E9E8E5" w:themeFill="background2"/>
          </w:tcPr>
          <w:p w:rsidR="005A47DA" w:rsidRDefault="005A47DA" w:rsidP="005A47DA">
            <w:pPr>
              <w:pStyle w:val="TableTextEntries"/>
              <w:rPr>
                <w:lang w:bidi="fa-IR"/>
              </w:rPr>
            </w:pPr>
            <w:r>
              <w:rPr>
                <w:lang w:bidi="fa-IR"/>
              </w:rPr>
              <w:t xml:space="preserve">Residential aged care </w:t>
            </w:r>
            <w:r w:rsidRPr="00891416">
              <w:rPr>
                <w:rStyle w:val="NoteLabel"/>
                <w:color w:val="auto"/>
                <w:position w:val="0"/>
                <w:sz w:val="16"/>
              </w:rPr>
              <w:t>a</w:t>
            </w:r>
          </w:p>
        </w:tc>
        <w:tc>
          <w:tcPr>
            <w:tcW w:w="2268" w:type="dxa"/>
            <w:tcBorders>
              <w:top w:val="single" w:sz="8" w:space="0" w:color="FFFFFF" w:themeColor="background1"/>
              <w:bottom w:val="single" w:sz="8" w:space="0" w:color="FFFFFF" w:themeColor="background1"/>
            </w:tcBorders>
            <w:shd w:val="clear" w:color="auto" w:fill="E9E8E5" w:themeFill="background2"/>
          </w:tcPr>
          <w:p w:rsidR="005A47DA" w:rsidRDefault="005A47DA" w:rsidP="005A47DA">
            <w:pPr>
              <w:pStyle w:val="TableListBullet"/>
              <w:rPr>
                <w:lang w:bidi="fa-IR"/>
              </w:rPr>
            </w:pPr>
            <w:r>
              <w:rPr>
                <w:lang w:bidi="fa-IR"/>
              </w:rPr>
              <w:t xml:space="preserve">Where the person does not require specialist housing or the level of care that is provided in aged care (i.e. their only requirement is housing that is physically accessible, and they can only get this by moving into aged care) </w:t>
            </w:r>
          </w:p>
        </w:tc>
        <w:tc>
          <w:tcPr>
            <w:tcW w:w="2692" w:type="dxa"/>
            <w:tcBorders>
              <w:top w:val="single" w:sz="8" w:space="0" w:color="FFFFFF" w:themeColor="background1"/>
              <w:bottom w:val="single" w:sz="8" w:space="0" w:color="FFFFFF" w:themeColor="background1"/>
            </w:tcBorders>
            <w:shd w:val="clear" w:color="auto" w:fill="E9E8E5" w:themeFill="background2"/>
          </w:tcPr>
          <w:p w:rsidR="005A47DA" w:rsidRDefault="005A47DA" w:rsidP="005A47DA">
            <w:pPr>
              <w:pStyle w:val="TableListBullet"/>
              <w:rPr>
                <w:lang w:bidi="fa-IR"/>
              </w:rPr>
            </w:pPr>
            <w:r>
              <w:rPr>
                <w:lang w:bidi="fa-IR"/>
              </w:rPr>
              <w:t>Less preferred environment, potentially leading to:</w:t>
            </w:r>
          </w:p>
          <w:p w:rsidR="005A47DA" w:rsidRDefault="005A47DA" w:rsidP="005A47DA">
            <w:pPr>
              <w:pStyle w:val="TableListBullet2"/>
              <w:spacing w:before="0" w:after="0"/>
              <w:rPr>
                <w:lang w:bidi="fa-IR"/>
              </w:rPr>
            </w:pPr>
            <w:r>
              <w:rPr>
                <w:lang w:bidi="fa-IR"/>
              </w:rPr>
              <w:t>social isolation</w:t>
            </w:r>
          </w:p>
          <w:p w:rsidR="005A47DA" w:rsidRDefault="005A47DA" w:rsidP="005A47DA">
            <w:pPr>
              <w:pStyle w:val="TableListBullet2"/>
              <w:spacing w:before="0" w:after="0"/>
              <w:rPr>
                <w:lang w:bidi="fa-IR"/>
              </w:rPr>
            </w:pPr>
            <w:r>
              <w:rPr>
                <w:lang w:bidi="fa-IR"/>
              </w:rPr>
              <w:t>loneliness</w:t>
            </w:r>
          </w:p>
          <w:p w:rsidR="005A47DA" w:rsidRDefault="005A47DA" w:rsidP="005A47DA">
            <w:pPr>
              <w:pStyle w:val="TableListBullet"/>
              <w:rPr>
                <w:lang w:bidi="fa-IR"/>
              </w:rPr>
            </w:pPr>
            <w:r>
              <w:rPr>
                <w:lang w:bidi="fa-IR"/>
              </w:rPr>
              <w:t>Higher financial cost to the government than home-based care.</w:t>
            </w:r>
          </w:p>
        </w:tc>
      </w:tr>
      <w:tr w:rsidR="005A47DA" w:rsidTr="00F17F83">
        <w:tc>
          <w:tcPr>
            <w:tcW w:w="1134" w:type="dxa"/>
            <w:tcBorders>
              <w:top w:val="single" w:sz="8" w:space="0" w:color="FFFFFF" w:themeColor="background1"/>
              <w:bottom w:val="single" w:sz="8" w:space="0" w:color="FFFFFF" w:themeColor="background1"/>
            </w:tcBorders>
            <w:shd w:val="clear" w:color="auto" w:fill="E9E8E5" w:themeFill="background2"/>
          </w:tcPr>
          <w:p w:rsidR="005A47DA" w:rsidRDefault="005A47DA" w:rsidP="005A47DA">
            <w:pPr>
              <w:pStyle w:val="TableTextEntries"/>
              <w:rPr>
                <w:lang w:bidi="fa-IR"/>
              </w:rPr>
            </w:pPr>
            <w:r w:rsidRPr="00864ED3">
              <w:rPr>
                <w:lang w:bidi="fa-IR"/>
              </w:rPr>
              <w:t>Long-term outcomes</w:t>
            </w:r>
          </w:p>
        </w:tc>
        <w:tc>
          <w:tcPr>
            <w:tcW w:w="1843" w:type="dxa"/>
            <w:tcBorders>
              <w:top w:val="single" w:sz="8" w:space="0" w:color="FFFFFF" w:themeColor="background1"/>
              <w:bottom w:val="single" w:sz="8" w:space="0" w:color="FFFFFF" w:themeColor="background1"/>
            </w:tcBorders>
            <w:shd w:val="clear" w:color="auto" w:fill="E9E8E5" w:themeFill="background2"/>
          </w:tcPr>
          <w:p w:rsidR="005A47DA" w:rsidRDefault="005A47DA" w:rsidP="005A47DA">
            <w:pPr>
              <w:pStyle w:val="TableTextEntries"/>
              <w:rPr>
                <w:lang w:bidi="fa-IR"/>
              </w:rPr>
            </w:pPr>
            <w:r>
              <w:rPr>
                <w:lang w:bidi="fa-IR"/>
              </w:rPr>
              <w:t>Institutional care for younger people with a disability</w:t>
            </w:r>
          </w:p>
        </w:tc>
        <w:tc>
          <w:tcPr>
            <w:tcW w:w="2268" w:type="dxa"/>
            <w:tcBorders>
              <w:top w:val="single" w:sz="8" w:space="0" w:color="FFFFFF" w:themeColor="background1"/>
              <w:bottom w:val="single" w:sz="8" w:space="0" w:color="FFFFFF" w:themeColor="background1"/>
            </w:tcBorders>
            <w:shd w:val="clear" w:color="auto" w:fill="E9E8E5" w:themeFill="background2"/>
          </w:tcPr>
          <w:p w:rsidR="005A47DA" w:rsidRDefault="005A47DA" w:rsidP="005A47DA">
            <w:pPr>
              <w:pStyle w:val="TableListBullet"/>
              <w:rPr>
                <w:lang w:bidi="fa-IR"/>
              </w:rPr>
            </w:pPr>
            <w:r>
              <w:rPr>
                <w:lang w:bidi="fa-IR"/>
              </w:rPr>
              <w:t>This outcome is sub</w:t>
            </w:r>
            <w:r>
              <w:rPr>
                <w:lang w:bidi="fa-IR"/>
              </w:rPr>
              <w:noBreakHyphen/>
              <w:t>optimal in all instances.</w:t>
            </w:r>
          </w:p>
        </w:tc>
        <w:tc>
          <w:tcPr>
            <w:tcW w:w="2692" w:type="dxa"/>
            <w:tcBorders>
              <w:top w:val="single" w:sz="8" w:space="0" w:color="FFFFFF" w:themeColor="background1"/>
              <w:bottom w:val="single" w:sz="8" w:space="0" w:color="FFFFFF" w:themeColor="background1"/>
            </w:tcBorders>
            <w:shd w:val="clear" w:color="auto" w:fill="E9E8E5" w:themeFill="background2"/>
          </w:tcPr>
          <w:p w:rsidR="005A47DA" w:rsidRDefault="005A47DA" w:rsidP="005A47DA">
            <w:pPr>
              <w:pStyle w:val="TableListBullet"/>
              <w:rPr>
                <w:lang w:bidi="fa-IR"/>
              </w:rPr>
            </w:pPr>
            <w:r>
              <w:rPr>
                <w:lang w:bidi="fa-IR"/>
              </w:rPr>
              <w:t>Less preferred environment, potentially leading to:</w:t>
            </w:r>
          </w:p>
          <w:p w:rsidR="005A47DA" w:rsidRDefault="005A47DA" w:rsidP="005A47DA">
            <w:pPr>
              <w:pStyle w:val="TableListBullet2"/>
              <w:spacing w:before="0" w:after="0"/>
              <w:rPr>
                <w:lang w:bidi="fa-IR"/>
              </w:rPr>
            </w:pPr>
            <w:r>
              <w:rPr>
                <w:lang w:bidi="fa-IR"/>
              </w:rPr>
              <w:t>social isolation</w:t>
            </w:r>
          </w:p>
          <w:p w:rsidR="005A47DA" w:rsidRDefault="005A47DA" w:rsidP="005A47DA">
            <w:pPr>
              <w:pStyle w:val="TableListBullet2"/>
              <w:spacing w:before="0" w:after="0"/>
              <w:rPr>
                <w:lang w:bidi="fa-IR"/>
              </w:rPr>
            </w:pPr>
            <w:r>
              <w:rPr>
                <w:lang w:bidi="fa-IR"/>
              </w:rPr>
              <w:t>depression</w:t>
            </w:r>
          </w:p>
          <w:p w:rsidR="005A47DA" w:rsidRDefault="005A47DA" w:rsidP="005A47DA">
            <w:pPr>
              <w:pStyle w:val="TableListBullet2"/>
              <w:spacing w:before="0" w:after="0"/>
              <w:rPr>
                <w:lang w:bidi="fa-IR"/>
              </w:rPr>
            </w:pPr>
            <w:r>
              <w:rPr>
                <w:lang w:bidi="fa-IR"/>
              </w:rPr>
              <w:t>inability to participate in the community (including employment)</w:t>
            </w:r>
          </w:p>
          <w:p w:rsidR="005A47DA" w:rsidRDefault="005A47DA" w:rsidP="005A47DA">
            <w:pPr>
              <w:pStyle w:val="TableListBullet"/>
              <w:rPr>
                <w:lang w:bidi="fa-IR"/>
              </w:rPr>
            </w:pPr>
            <w:r>
              <w:rPr>
                <w:lang w:bidi="fa-IR"/>
              </w:rPr>
              <w:t>Possibly higher cost than home-based care.</w:t>
            </w:r>
          </w:p>
          <w:p w:rsidR="005A47DA" w:rsidRDefault="005A47DA" w:rsidP="005A47DA">
            <w:pPr>
              <w:pStyle w:val="TableListBullet"/>
              <w:rPr>
                <w:lang w:bidi="fa-IR"/>
              </w:rPr>
            </w:pPr>
            <w:r>
              <w:rPr>
                <w:lang w:bidi="fa-IR"/>
              </w:rPr>
              <w:t>People in institutional care may be more vulnerable to abuse.</w:t>
            </w:r>
          </w:p>
        </w:tc>
      </w:tr>
      <w:tr w:rsidR="00F17F83" w:rsidTr="00F17F83">
        <w:tc>
          <w:tcPr>
            <w:tcW w:w="1134" w:type="dxa"/>
            <w:tcBorders>
              <w:top w:val="single" w:sz="8" w:space="0" w:color="FFFFFF" w:themeColor="background1"/>
              <w:bottom w:val="single" w:sz="8" w:space="0" w:color="FFFFFF" w:themeColor="background1"/>
            </w:tcBorders>
            <w:shd w:val="clear" w:color="auto" w:fill="E9E8E5" w:themeFill="background2"/>
          </w:tcPr>
          <w:p w:rsidR="00F17F83" w:rsidRDefault="00F17F83" w:rsidP="00F17F83">
            <w:pPr>
              <w:pStyle w:val="TableTextEntries"/>
              <w:rPr>
                <w:lang w:bidi="fa-IR"/>
              </w:rPr>
            </w:pPr>
            <w:r w:rsidRPr="0032022B">
              <w:rPr>
                <w:lang w:bidi="fa-IR"/>
              </w:rPr>
              <w:lastRenderedPageBreak/>
              <w:t>Long-term outcomes</w:t>
            </w:r>
          </w:p>
        </w:tc>
        <w:tc>
          <w:tcPr>
            <w:tcW w:w="1843" w:type="dxa"/>
            <w:tcBorders>
              <w:top w:val="single" w:sz="8" w:space="0" w:color="FFFFFF" w:themeColor="background1"/>
              <w:bottom w:val="single" w:sz="8" w:space="0" w:color="FFFFFF" w:themeColor="background1"/>
            </w:tcBorders>
            <w:shd w:val="clear" w:color="auto" w:fill="E9E8E5" w:themeFill="background2"/>
          </w:tcPr>
          <w:p w:rsidR="00F17F83" w:rsidRDefault="00F17F83" w:rsidP="00F17F83">
            <w:pPr>
              <w:pStyle w:val="TableTextEntries"/>
              <w:rPr>
                <w:lang w:bidi="fa-IR"/>
              </w:rPr>
            </w:pPr>
            <w:r>
              <w:rPr>
                <w:lang w:bidi="fa-IR"/>
              </w:rPr>
              <w:t>Accessible private/social housing in non</w:t>
            </w:r>
            <w:r>
              <w:rPr>
                <w:lang w:bidi="fa-IR"/>
              </w:rPr>
              <w:noBreakHyphen/>
              <w:t>preferred location</w:t>
            </w:r>
          </w:p>
        </w:tc>
        <w:tc>
          <w:tcPr>
            <w:tcW w:w="2268" w:type="dxa"/>
            <w:tcBorders>
              <w:top w:val="single" w:sz="8" w:space="0" w:color="FFFFFF" w:themeColor="background1"/>
              <w:bottom w:val="single" w:sz="8" w:space="0" w:color="FFFFFF" w:themeColor="background1"/>
            </w:tcBorders>
            <w:shd w:val="clear" w:color="auto" w:fill="E9E8E5" w:themeFill="background2"/>
          </w:tcPr>
          <w:p w:rsidR="00F17F83" w:rsidRDefault="00F17F83" w:rsidP="00F17F83">
            <w:pPr>
              <w:pStyle w:val="TableTextEntries"/>
              <w:rPr>
                <w:lang w:bidi="fa-IR"/>
              </w:rPr>
            </w:pPr>
            <w:r>
              <w:rPr>
                <w:lang w:bidi="fa-IR"/>
              </w:rPr>
              <w:t xml:space="preserve">A person may have accessible </w:t>
            </w:r>
            <w:r w:rsidRPr="00986E36">
              <w:rPr>
                <w:rStyle w:val="TableTextEntriesChar"/>
              </w:rPr>
              <w:t>private/social housing, but the location does not suit their needs (in terms of proximity to family/friends</w:t>
            </w:r>
            <w:r>
              <w:rPr>
                <w:rStyle w:val="TableTextEntriesChar"/>
              </w:rPr>
              <w:t>, schools</w:t>
            </w:r>
            <w:r w:rsidRPr="00986E36">
              <w:rPr>
                <w:rStyle w:val="TableTextEntriesChar"/>
              </w:rPr>
              <w:t xml:space="preserve"> and employment opportunities</w:t>
            </w:r>
            <w:r>
              <w:rPr>
                <w:rStyle w:val="TableTextEntriesChar"/>
              </w:rPr>
              <w:t>)</w:t>
            </w:r>
          </w:p>
        </w:tc>
        <w:tc>
          <w:tcPr>
            <w:tcW w:w="2692" w:type="dxa"/>
            <w:tcBorders>
              <w:top w:val="single" w:sz="8" w:space="0" w:color="FFFFFF" w:themeColor="background1"/>
              <w:bottom w:val="single" w:sz="8" w:space="0" w:color="FFFFFF" w:themeColor="background1"/>
            </w:tcBorders>
            <w:shd w:val="clear" w:color="auto" w:fill="E9E8E5" w:themeFill="background2"/>
          </w:tcPr>
          <w:p w:rsidR="00F17F83" w:rsidRDefault="00F17F83" w:rsidP="00F17F83">
            <w:pPr>
              <w:pStyle w:val="TableListBullet"/>
              <w:rPr>
                <w:lang w:bidi="fa-IR"/>
              </w:rPr>
            </w:pPr>
            <w:r>
              <w:rPr>
                <w:lang w:bidi="fa-IR"/>
              </w:rPr>
              <w:t>Social isolation/loneliness</w:t>
            </w:r>
          </w:p>
          <w:p w:rsidR="00F17F83" w:rsidRDefault="00F17F83" w:rsidP="00F17F83">
            <w:pPr>
              <w:pStyle w:val="TableListBullet"/>
              <w:rPr>
                <w:lang w:bidi="fa-IR"/>
              </w:rPr>
            </w:pPr>
            <w:r>
              <w:rPr>
                <w:lang w:bidi="fa-IR"/>
              </w:rPr>
              <w:t>Lack of employment opportunities</w:t>
            </w:r>
          </w:p>
          <w:p w:rsidR="00F17F83" w:rsidRDefault="00F17F83" w:rsidP="00F17F83">
            <w:pPr>
              <w:pStyle w:val="TableListBullet"/>
              <w:rPr>
                <w:lang w:bidi="fa-IR"/>
              </w:rPr>
            </w:pPr>
            <w:r>
              <w:rPr>
                <w:lang w:bidi="fa-IR"/>
              </w:rPr>
              <w:t>Disruption for families (such as school-aged children moving schools)</w:t>
            </w:r>
          </w:p>
        </w:tc>
      </w:tr>
      <w:tr w:rsidR="00F17F83" w:rsidTr="00F17F83">
        <w:tc>
          <w:tcPr>
            <w:tcW w:w="1134" w:type="dxa"/>
            <w:tcBorders>
              <w:top w:val="single" w:sz="8" w:space="0" w:color="FFFFFF" w:themeColor="background1"/>
              <w:bottom w:val="single" w:sz="8" w:space="0" w:color="FFFFFF" w:themeColor="background1"/>
            </w:tcBorders>
            <w:shd w:val="clear" w:color="auto" w:fill="E9E8E5" w:themeFill="background2"/>
          </w:tcPr>
          <w:p w:rsidR="00F17F83" w:rsidRDefault="00F17F83" w:rsidP="00F17F83">
            <w:pPr>
              <w:pStyle w:val="TableTextEntries"/>
              <w:rPr>
                <w:lang w:bidi="fa-IR"/>
              </w:rPr>
            </w:pPr>
            <w:r w:rsidRPr="0032022B">
              <w:rPr>
                <w:lang w:bidi="fa-IR"/>
              </w:rPr>
              <w:t>Long-term outcomes</w:t>
            </w:r>
          </w:p>
        </w:tc>
        <w:tc>
          <w:tcPr>
            <w:tcW w:w="1843" w:type="dxa"/>
            <w:tcBorders>
              <w:top w:val="single" w:sz="8" w:space="0" w:color="FFFFFF" w:themeColor="background1"/>
              <w:bottom w:val="single" w:sz="8" w:space="0" w:color="FFFFFF" w:themeColor="background1"/>
            </w:tcBorders>
            <w:shd w:val="clear" w:color="auto" w:fill="E9E8E5" w:themeFill="background2"/>
          </w:tcPr>
          <w:p w:rsidR="00F17F83" w:rsidRDefault="00F17F83" w:rsidP="00F17F83">
            <w:pPr>
              <w:pStyle w:val="TableTextEntries"/>
              <w:rPr>
                <w:lang w:bidi="fa-IR"/>
              </w:rPr>
            </w:pPr>
            <w:r>
              <w:rPr>
                <w:lang w:bidi="fa-IR"/>
              </w:rPr>
              <w:t>Home modifications</w:t>
            </w:r>
          </w:p>
        </w:tc>
        <w:tc>
          <w:tcPr>
            <w:tcW w:w="2268" w:type="dxa"/>
            <w:tcBorders>
              <w:top w:val="single" w:sz="8" w:space="0" w:color="FFFFFF" w:themeColor="background1"/>
              <w:bottom w:val="single" w:sz="8" w:space="0" w:color="FFFFFF" w:themeColor="background1"/>
            </w:tcBorders>
            <w:shd w:val="clear" w:color="auto" w:fill="E9E8E5" w:themeFill="background2"/>
          </w:tcPr>
          <w:p w:rsidR="00F17F83" w:rsidRDefault="00F17F83" w:rsidP="00F17F83">
            <w:pPr>
              <w:pStyle w:val="TableTextEntries"/>
              <w:rPr>
                <w:lang w:bidi="fa-IR"/>
              </w:rPr>
            </w:pPr>
            <w:r>
              <w:rPr>
                <w:lang w:bidi="fa-IR"/>
              </w:rPr>
              <w:t>Home modifications may not be an optimal option where:</w:t>
            </w:r>
          </w:p>
          <w:p w:rsidR="00F17F83" w:rsidRDefault="00F17F83" w:rsidP="00F17F83">
            <w:pPr>
              <w:pStyle w:val="TableListBullet"/>
              <w:rPr>
                <w:lang w:bidi="fa-IR"/>
              </w:rPr>
            </w:pPr>
            <w:r>
              <w:rPr>
                <w:lang w:bidi="fa-IR"/>
              </w:rPr>
              <w:t>Home modifications only partially meet accessibility needs</w:t>
            </w:r>
          </w:p>
          <w:p w:rsidR="00F17F83" w:rsidRDefault="00F17F83" w:rsidP="00F17F83">
            <w:pPr>
              <w:pStyle w:val="TableListBullet"/>
              <w:rPr>
                <w:lang w:bidi="fa-IR"/>
              </w:rPr>
            </w:pPr>
            <w:r>
              <w:rPr>
                <w:lang w:bidi="fa-IR"/>
              </w:rPr>
              <w:t>Home modifications are prohibitively costly.</w:t>
            </w:r>
          </w:p>
        </w:tc>
        <w:tc>
          <w:tcPr>
            <w:tcW w:w="2692" w:type="dxa"/>
            <w:tcBorders>
              <w:top w:val="single" w:sz="8" w:space="0" w:color="FFFFFF" w:themeColor="background1"/>
              <w:bottom w:val="single" w:sz="8" w:space="0" w:color="FFFFFF" w:themeColor="background1"/>
            </w:tcBorders>
            <w:shd w:val="clear" w:color="auto" w:fill="E9E8E5" w:themeFill="background2"/>
          </w:tcPr>
          <w:p w:rsidR="00F17F83" w:rsidRDefault="00F17F83" w:rsidP="00F17F83">
            <w:pPr>
              <w:pStyle w:val="TableListBullet"/>
              <w:rPr>
                <w:lang w:bidi="fa-IR"/>
              </w:rPr>
            </w:pPr>
            <w:r>
              <w:rPr>
                <w:lang w:bidi="fa-IR"/>
              </w:rPr>
              <w:t>High cost of home modification.</w:t>
            </w:r>
          </w:p>
        </w:tc>
      </w:tr>
      <w:tr w:rsidR="00F17F83" w:rsidTr="00F17F83">
        <w:tc>
          <w:tcPr>
            <w:tcW w:w="1134" w:type="dxa"/>
            <w:tcBorders>
              <w:top w:val="single" w:sz="8" w:space="0" w:color="FFFFFF" w:themeColor="background1"/>
              <w:bottom w:val="single" w:sz="4" w:space="0" w:color="6F6652" w:themeColor="accent5"/>
            </w:tcBorders>
            <w:shd w:val="clear" w:color="auto" w:fill="E9E8E5" w:themeFill="background2"/>
          </w:tcPr>
          <w:p w:rsidR="00F17F83" w:rsidRDefault="00F17F83" w:rsidP="00F17F83">
            <w:pPr>
              <w:pStyle w:val="TableTextEntries"/>
              <w:rPr>
                <w:lang w:bidi="fa-IR"/>
              </w:rPr>
            </w:pPr>
            <w:r w:rsidRPr="0032022B">
              <w:rPr>
                <w:lang w:bidi="fa-IR"/>
              </w:rPr>
              <w:t>Long-term outcomes</w:t>
            </w:r>
          </w:p>
        </w:tc>
        <w:tc>
          <w:tcPr>
            <w:tcW w:w="1843" w:type="dxa"/>
            <w:tcBorders>
              <w:top w:val="single" w:sz="8" w:space="0" w:color="FFFFFF" w:themeColor="background1"/>
              <w:bottom w:val="single" w:sz="4" w:space="0" w:color="6F6652" w:themeColor="accent5"/>
            </w:tcBorders>
            <w:shd w:val="clear" w:color="auto" w:fill="E9E8E5" w:themeFill="background2"/>
          </w:tcPr>
          <w:p w:rsidR="00F17F83" w:rsidRDefault="00F17F83" w:rsidP="00F17F83">
            <w:pPr>
              <w:pStyle w:val="TableTextEntries"/>
              <w:rPr>
                <w:lang w:bidi="fa-IR"/>
              </w:rPr>
            </w:pPr>
            <w:r>
              <w:rPr>
                <w:lang w:bidi="fa-IR"/>
              </w:rPr>
              <w:t>People with disabilities unable to visit family and friends</w:t>
            </w:r>
          </w:p>
        </w:tc>
        <w:tc>
          <w:tcPr>
            <w:tcW w:w="2268" w:type="dxa"/>
            <w:tcBorders>
              <w:top w:val="single" w:sz="8" w:space="0" w:color="FFFFFF" w:themeColor="background1"/>
              <w:bottom w:val="single" w:sz="4" w:space="0" w:color="6F6652" w:themeColor="accent5"/>
            </w:tcBorders>
            <w:shd w:val="clear" w:color="auto" w:fill="E9E8E5" w:themeFill="background2"/>
          </w:tcPr>
          <w:p w:rsidR="00F17F83" w:rsidRDefault="00F17F83" w:rsidP="00F17F83">
            <w:pPr>
              <w:pStyle w:val="TableTextEntries"/>
              <w:rPr>
                <w:lang w:bidi="fa-IR"/>
              </w:rPr>
            </w:pPr>
          </w:p>
        </w:tc>
        <w:tc>
          <w:tcPr>
            <w:tcW w:w="2692" w:type="dxa"/>
            <w:tcBorders>
              <w:top w:val="single" w:sz="8" w:space="0" w:color="FFFFFF" w:themeColor="background1"/>
              <w:bottom w:val="single" w:sz="4" w:space="0" w:color="6F6652" w:themeColor="accent5"/>
            </w:tcBorders>
            <w:shd w:val="clear" w:color="auto" w:fill="E9E8E5" w:themeFill="background2"/>
          </w:tcPr>
          <w:p w:rsidR="00F17F83" w:rsidRDefault="00F17F83" w:rsidP="00F17F83">
            <w:pPr>
              <w:pStyle w:val="TableListBullet"/>
              <w:rPr>
                <w:lang w:bidi="fa-IR"/>
              </w:rPr>
            </w:pPr>
            <w:r>
              <w:rPr>
                <w:lang w:bidi="fa-IR"/>
              </w:rPr>
              <w:t>Social isolation/loneliness</w:t>
            </w:r>
          </w:p>
        </w:tc>
      </w:tr>
    </w:tbl>
    <w:p w:rsidR="007C6A5F" w:rsidRDefault="007C6A5F" w:rsidP="007C6A5F">
      <w:pPr>
        <w:pStyle w:val="Source"/>
        <w:rPr>
          <w:lang w:bidi="fa-IR"/>
        </w:rPr>
      </w:pPr>
      <w:r w:rsidRPr="00795281">
        <w:rPr>
          <w:i/>
          <w:lang w:bidi="fa-IR"/>
        </w:rPr>
        <w:t>Source:</w:t>
      </w:r>
      <w:r>
        <w:rPr>
          <w:lang w:bidi="fa-IR"/>
        </w:rPr>
        <w:t xml:space="preserve"> CIE.</w:t>
      </w:r>
    </w:p>
    <w:p w:rsidR="007C6A5F" w:rsidRDefault="007C6A5F" w:rsidP="007C6A5F">
      <w:pPr>
        <w:pStyle w:val="BodyText"/>
        <w:rPr>
          <w:lang w:eastAsia="en-US" w:bidi="fa-IR"/>
        </w:rPr>
      </w:pPr>
      <w:r>
        <w:rPr>
          <w:lang w:eastAsia="en-US" w:bidi="fa-IR"/>
        </w:rPr>
        <w:t xml:space="preserve">In summary, </w:t>
      </w:r>
      <w:r w:rsidRPr="007461B7">
        <w:rPr>
          <w:lang w:eastAsia="en-US" w:bidi="fa-IR"/>
        </w:rPr>
        <w:t>the ‘problem’ that the proposed changes to the NCC is trying to solve</w:t>
      </w:r>
      <w:r>
        <w:rPr>
          <w:lang w:eastAsia="en-US" w:bidi="fa-IR"/>
        </w:rPr>
        <w:t xml:space="preserve"> includes:</w:t>
      </w:r>
    </w:p>
    <w:p w:rsidR="007C6A5F" w:rsidRDefault="007C6A5F" w:rsidP="005A6F87">
      <w:pPr>
        <w:pStyle w:val="ListBullet"/>
        <w:numPr>
          <w:ilvl w:val="0"/>
          <w:numId w:val="17"/>
        </w:numPr>
        <w:rPr>
          <w:lang w:eastAsia="en-US" w:bidi="fa-IR"/>
        </w:rPr>
      </w:pPr>
      <w:r>
        <w:rPr>
          <w:lang w:eastAsia="en-US" w:bidi="fa-IR"/>
        </w:rPr>
        <w:t>safety</w:t>
      </w:r>
      <w:r>
        <w:rPr>
          <w:lang w:eastAsia="en-US" w:bidi="fa-IR"/>
        </w:rPr>
        <w:noBreakHyphen/>
        <w:t>related costs where people with accessibility needs that remain living in housing that does not meet their accessibility needs are at higher risk of falls</w:t>
      </w:r>
    </w:p>
    <w:p w:rsidR="007C6A5F" w:rsidRDefault="007C6A5F" w:rsidP="005A6F87">
      <w:pPr>
        <w:pStyle w:val="ListBullet"/>
        <w:numPr>
          <w:ilvl w:val="0"/>
          <w:numId w:val="17"/>
        </w:numPr>
        <w:rPr>
          <w:lang w:eastAsia="en-US" w:bidi="fa-IR"/>
        </w:rPr>
      </w:pPr>
      <w:r>
        <w:rPr>
          <w:lang w:eastAsia="en-US" w:bidi="fa-IR"/>
        </w:rPr>
        <w:t>costs associated with additional care needs</w:t>
      </w:r>
      <w:r w:rsidR="004872C6">
        <w:rPr>
          <w:lang w:eastAsia="en-US" w:bidi="fa-IR"/>
        </w:rPr>
        <w:t>,</w:t>
      </w:r>
      <w:r>
        <w:rPr>
          <w:lang w:eastAsia="en-US" w:bidi="fa-IR"/>
        </w:rPr>
        <w:t xml:space="preserve"> where people with accessibility needs remain living in housing that does not meet their needs</w:t>
      </w:r>
    </w:p>
    <w:p w:rsidR="007C6A5F" w:rsidRDefault="007C6A5F" w:rsidP="005A6F87">
      <w:pPr>
        <w:pStyle w:val="ListBullet"/>
        <w:numPr>
          <w:ilvl w:val="0"/>
          <w:numId w:val="17"/>
        </w:numPr>
        <w:rPr>
          <w:lang w:eastAsia="en-US" w:bidi="fa-IR"/>
        </w:rPr>
      </w:pPr>
      <w:r>
        <w:rPr>
          <w:lang w:eastAsia="en-US" w:bidi="fa-IR"/>
        </w:rPr>
        <w:t>unnecessarily high costs (i.e. higher than if the initial design of the residence had been consistent with universal design principles) associated with home modifications</w:t>
      </w:r>
    </w:p>
    <w:p w:rsidR="007C6A5F" w:rsidRDefault="007C6A5F" w:rsidP="005A6F87">
      <w:pPr>
        <w:pStyle w:val="ListBullet"/>
        <w:numPr>
          <w:ilvl w:val="0"/>
          <w:numId w:val="17"/>
        </w:numPr>
        <w:rPr>
          <w:lang w:eastAsia="en-US" w:bidi="fa-IR"/>
        </w:rPr>
      </w:pPr>
      <w:r>
        <w:rPr>
          <w:lang w:eastAsia="en-US" w:bidi="fa-IR"/>
        </w:rPr>
        <w:t>costs associated with moving house</w:t>
      </w:r>
    </w:p>
    <w:p w:rsidR="007C6A5F" w:rsidRDefault="007C6A5F" w:rsidP="005A6F87">
      <w:pPr>
        <w:pStyle w:val="ListBullet"/>
        <w:numPr>
          <w:ilvl w:val="0"/>
          <w:numId w:val="17"/>
        </w:numPr>
        <w:rPr>
          <w:lang w:eastAsia="en-US" w:bidi="fa-IR"/>
        </w:rPr>
      </w:pPr>
      <w:r>
        <w:rPr>
          <w:lang w:eastAsia="en-US" w:bidi="fa-IR"/>
        </w:rPr>
        <w:t>costs associated with longer stays in hospital and transition care, where discharge is delayed due to their home lacking accessibility features</w:t>
      </w:r>
    </w:p>
    <w:p w:rsidR="007C6A5F" w:rsidRDefault="007C6A5F" w:rsidP="005A6F87">
      <w:pPr>
        <w:pStyle w:val="ListBullet"/>
        <w:numPr>
          <w:ilvl w:val="0"/>
          <w:numId w:val="17"/>
        </w:numPr>
        <w:rPr>
          <w:lang w:eastAsia="en-US" w:bidi="fa-IR"/>
        </w:rPr>
      </w:pPr>
      <w:r>
        <w:rPr>
          <w:lang w:eastAsia="en-US" w:bidi="fa-IR"/>
        </w:rPr>
        <w:t>costs associated with loneliness, where people with accessibility needs are unable to leave their own house as frequently as they would like or are unable to visit friends and relatives (there may also be costs for people without accessibility needs, where family members and friends with accessibility needs are unable to visit)</w:t>
      </w:r>
    </w:p>
    <w:p w:rsidR="007C6A5F" w:rsidRDefault="007C6A5F" w:rsidP="005A6F87">
      <w:pPr>
        <w:pStyle w:val="ListBullet"/>
        <w:numPr>
          <w:ilvl w:val="0"/>
          <w:numId w:val="17"/>
        </w:numPr>
        <w:rPr>
          <w:lang w:eastAsia="en-US" w:bidi="fa-IR"/>
        </w:rPr>
      </w:pPr>
      <w:r>
        <w:rPr>
          <w:lang w:eastAsia="en-US" w:bidi="fa-IR"/>
        </w:rPr>
        <w:t xml:space="preserve">additional costs associated with inappropriate or premature entry into aged care due to dwellings lacking </w:t>
      </w:r>
      <w:r w:rsidR="00E620E5">
        <w:rPr>
          <w:lang w:eastAsia="en-US" w:bidi="fa-IR"/>
        </w:rPr>
        <w:t xml:space="preserve">relevant </w:t>
      </w:r>
      <w:r>
        <w:rPr>
          <w:lang w:eastAsia="en-US" w:bidi="fa-IR"/>
        </w:rPr>
        <w:t>accessibility features.</w:t>
      </w:r>
    </w:p>
    <w:p w:rsidR="007C6A5F" w:rsidRDefault="007C6A5F" w:rsidP="007C6A5F">
      <w:pPr>
        <w:pStyle w:val="BodyText"/>
        <w:rPr>
          <w:lang w:eastAsia="en-US" w:bidi="fa-IR"/>
        </w:rPr>
      </w:pPr>
      <w:r>
        <w:rPr>
          <w:lang w:eastAsia="en-US" w:bidi="fa-IR"/>
        </w:rPr>
        <w:t>Some stakeholders argued that a lack of accessible housing may also be contributing to poorer employment outcomes for some people with mobility</w:t>
      </w:r>
      <w:r>
        <w:rPr>
          <w:lang w:eastAsia="en-US" w:bidi="fa-IR"/>
        </w:rPr>
        <w:noBreakHyphen/>
        <w:t xml:space="preserve">related disabilities. </w:t>
      </w:r>
      <w:r w:rsidR="00313B07">
        <w:t>There is related literature that provides relevant insights into this issue; however, we were not able to identify any direct quantifiable evidence to support the qualitative evidence.</w:t>
      </w:r>
    </w:p>
    <w:p w:rsidR="007C6A5F" w:rsidRDefault="007C6A5F" w:rsidP="007C6A5F">
      <w:pPr>
        <w:pStyle w:val="BodyText"/>
        <w:rPr>
          <w:lang w:eastAsia="en-US" w:bidi="fa-IR"/>
        </w:rPr>
      </w:pPr>
      <w:r>
        <w:rPr>
          <w:lang w:eastAsia="en-US" w:bidi="fa-IR"/>
        </w:rPr>
        <w:t>To understand the size of the problem, we need to understand:</w:t>
      </w:r>
    </w:p>
    <w:p w:rsidR="007C6A5F" w:rsidRDefault="007C6A5F" w:rsidP="005A6F87">
      <w:pPr>
        <w:pStyle w:val="ListBullet"/>
        <w:numPr>
          <w:ilvl w:val="0"/>
          <w:numId w:val="17"/>
        </w:numPr>
        <w:rPr>
          <w:lang w:eastAsia="en-US" w:bidi="fa-IR"/>
        </w:rPr>
      </w:pPr>
      <w:r>
        <w:rPr>
          <w:lang w:eastAsia="en-US" w:bidi="fa-IR"/>
        </w:rPr>
        <w:t>the number of people affected, and</w:t>
      </w:r>
    </w:p>
    <w:p w:rsidR="007C6A5F" w:rsidRDefault="007C6A5F" w:rsidP="005A6F87">
      <w:pPr>
        <w:pStyle w:val="ListBullet"/>
        <w:numPr>
          <w:ilvl w:val="0"/>
          <w:numId w:val="17"/>
        </w:numPr>
        <w:rPr>
          <w:lang w:eastAsia="en-US" w:bidi="fa-IR"/>
        </w:rPr>
      </w:pPr>
      <w:r>
        <w:rPr>
          <w:lang w:eastAsia="en-US" w:bidi="fa-IR"/>
        </w:rPr>
        <w:t>the costs imposed on those affected as a result of a shortage of accessible housing.</w:t>
      </w:r>
    </w:p>
    <w:p w:rsidR="007C6A5F" w:rsidRDefault="007C6A5F" w:rsidP="007C6A5F">
      <w:pPr>
        <w:pStyle w:val="BodyText"/>
        <w:spacing w:after="240"/>
        <w:rPr>
          <w:lang w:eastAsia="en-US" w:bidi="fa-IR"/>
        </w:rPr>
      </w:pPr>
      <w:r>
        <w:rPr>
          <w:lang w:eastAsia="en-US" w:bidi="fa-IR"/>
        </w:rPr>
        <w:lastRenderedPageBreak/>
        <w:t xml:space="preserve">Below we estimate the approximate size of each of these problems based on the available </w:t>
      </w:r>
      <w:r w:rsidRPr="007461B7">
        <w:rPr>
          <w:lang w:eastAsia="en-US" w:bidi="fa-IR"/>
        </w:rPr>
        <w:t>(albeit limited) information.</w:t>
      </w:r>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Box 2.19"/>
        <w:tblDescription w:val="Questions for stakeholders"/>
      </w:tblPr>
      <w:tblGrid>
        <w:gridCol w:w="7938"/>
      </w:tblGrid>
      <w:tr w:rsidR="007C6A5F" w:rsidRPr="00E05C8C" w:rsidTr="00085F2E">
        <w:trPr>
          <w:tblHeader/>
        </w:trPr>
        <w:tc>
          <w:tcPr>
            <w:tcW w:w="7938" w:type="dxa"/>
            <w:shd w:val="clear" w:color="auto" w:fill="C6BFAB" w:themeFill="accent3"/>
          </w:tcPr>
          <w:bookmarkStart w:id="2749" w:name="_Toc32321810"/>
          <w:bookmarkStart w:id="2750" w:name="_Caption3669"/>
          <w:bookmarkStart w:id="2751" w:name="_Caption2299"/>
          <w:p w:rsidR="007C6A5F" w:rsidRPr="00E05C8C" w:rsidRDefault="007C6A5F" w:rsidP="005A6F87">
            <w:pPr>
              <w:pStyle w:val="Caption"/>
              <w:numPr>
                <w:ilvl w:val="0"/>
                <w:numId w:val="13"/>
              </w:numPr>
              <w:spacing w:before="120" w:after="100"/>
            </w:pPr>
            <w:r w:rsidRPr="00E05C8C">
              <w:fldChar w:fldCharType="begin"/>
            </w:r>
            <w:bookmarkEnd w:id="2749"/>
            <w:bookmarkEnd w:id="2750"/>
            <w:bookmarkEnd w:id="2751"/>
            <w:r w:rsidRPr="00E05C8C">
              <w:instrText xml:space="preserve"> IF 1 = 1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E05C8C">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E05C8C">
              <w:instrText xml:space="preserve">." </w:instrText>
            </w:r>
            <w:r w:rsidRPr="00E05C8C">
              <w:fldChar w:fldCharType="separate"/>
            </w:r>
            <w:r>
              <w:rPr>
                <w:noProof/>
              </w:rPr>
              <w:instrText>2</w:instrText>
            </w:r>
            <w:r w:rsidRPr="00E05C8C">
              <w:rPr>
                <w:noProof/>
              </w:rPr>
              <w:instrText>.</w:instrText>
            </w:r>
            <w:r w:rsidRPr="00E05C8C">
              <w:fldChar w:fldCharType="end"/>
            </w:r>
            <w:r w:rsidRPr="00E05C8C">
              <w:instrText>" "</w:instrText>
            </w:r>
            <w:r w:rsidR="00F56BFF">
              <w:fldChar w:fldCharType="begin"/>
            </w:r>
            <w:r w:rsidR="00F56BFF">
              <w:instrText xml:space="preserve"> STYLEREF "Heading 6" \l \n </w:instrText>
            </w:r>
            <w:r w:rsidR="00F56BFF">
              <w:fldChar w:fldCharType="separate"/>
            </w:r>
            <w:r w:rsidRPr="00E05C8C">
              <w:instrText>B</w:instrText>
            </w:r>
            <w:r w:rsidR="00F56BFF">
              <w:fldChar w:fldCharType="end"/>
            </w:r>
            <w:r w:rsidRPr="00E05C8C">
              <w:instrText xml:space="preserve">." </w:instrText>
            </w:r>
            <w:r w:rsidRPr="00E05C8C">
              <w:fldChar w:fldCharType="separate"/>
            </w:r>
            <w:r w:rsidR="00272AF3">
              <w:rPr>
                <w:noProof/>
              </w:rPr>
              <w:instrText>2</w:instrText>
            </w:r>
            <w:r w:rsidR="00272AF3"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E05C8C">
              <w:instrText xml:space="preserve"> = 0 "" "1" </w:instrText>
            </w:r>
            <w:r w:rsidRPr="00E05C8C">
              <w:fldChar w:fldCharType="separate"/>
            </w:r>
            <w:r w:rsidR="00272AF3" w:rsidRPr="00E05C8C">
              <w:rPr>
                <w:noProof/>
              </w:rPr>
              <w:instrText>1</w:instrText>
            </w:r>
            <w:r w:rsidRPr="00E05C8C">
              <w:fldChar w:fldCharType="end"/>
            </w:r>
            <w:r w:rsidRPr="00E05C8C">
              <w:instrText xml:space="preserve">" "6" </w:instrText>
            </w:r>
            <w:r w:rsidRPr="00E05C8C">
              <w:fldChar w:fldCharType="separate"/>
            </w:r>
            <w:r w:rsidR="00272AF3" w:rsidRPr="00E05C8C">
              <w:rPr>
                <w:noProof/>
              </w:rPr>
              <w:instrText>1</w:instrText>
            </w:r>
            <w:r w:rsidRPr="00E05C8C">
              <w:fldChar w:fldCharType="end"/>
            </w:r>
            <w:r w:rsidRPr="00E05C8C">
              <w:instrText xml:space="preserve"> </w:instrText>
            </w:r>
            <w:r w:rsidRPr="00E05C8C">
              <w:fldChar w:fldCharType="separate"/>
            </w:r>
            <w:r>
              <w:rPr>
                <w:noProof/>
              </w:rPr>
              <w:instrText>19</w:instrText>
            </w:r>
            <w:r w:rsidRPr="00E05C8C">
              <w:fldChar w:fldCharType="end"/>
            </w:r>
            <w:r w:rsidRPr="00E05C8C">
              <w:instrText xml:space="preserve">" "" </w:instrText>
            </w:r>
            <w:r w:rsidRPr="00E05C8C">
              <w:fldChar w:fldCharType="separate"/>
            </w:r>
            <w:bookmarkStart w:id="2752" w:name="_Caption3624"/>
            <w:bookmarkStart w:id="2753" w:name="_Caption0617"/>
            <w:bookmarkStart w:id="2754" w:name="_Caption1843"/>
            <w:bookmarkStart w:id="2755" w:name="_Caption3903"/>
            <w:bookmarkStart w:id="2756" w:name="_Caption5487"/>
            <w:bookmarkStart w:id="2757" w:name="_Caption4580"/>
            <w:bookmarkStart w:id="2758" w:name="_Caption6075"/>
            <w:bookmarkStart w:id="2759" w:name="_Caption0368"/>
            <w:bookmarkStart w:id="2760" w:name="_Caption5494"/>
            <w:bookmarkStart w:id="2761" w:name="_Caption6497"/>
            <w:bookmarkStart w:id="2762" w:name="_Caption0544"/>
            <w:bookmarkStart w:id="2763" w:name="_Caption7786"/>
            <w:bookmarkStart w:id="2764" w:name="_Caption6545"/>
            <w:bookmarkStart w:id="2765" w:name="_Caption2088"/>
            <w:bookmarkStart w:id="2766" w:name="_Caption7806"/>
            <w:bookmarkStart w:id="2767" w:name="_Caption9364"/>
            <w:bookmarkStart w:id="2768" w:name="_Caption3111"/>
            <w:bookmarkStart w:id="2769" w:name="_Caption3614"/>
            <w:bookmarkStart w:id="2770" w:name="_Caption2686"/>
            <w:bookmarkStart w:id="2771" w:name="_Caption4959"/>
            <w:bookmarkStart w:id="2772" w:name="_Caption4745"/>
            <w:bookmarkStart w:id="2773" w:name="_Caption2860"/>
            <w:bookmarkStart w:id="2774" w:name="_Caption8125"/>
            <w:bookmarkStart w:id="2775" w:name="_Caption2007"/>
            <w:bookmarkStart w:id="2776" w:name="_Caption5199"/>
            <w:bookmarkStart w:id="2777" w:name="_Caption9347"/>
            <w:bookmarkStart w:id="2778" w:name="_Caption6703"/>
            <w:bookmarkStart w:id="2779" w:name="_Caption0333"/>
            <w:bookmarkStart w:id="2780" w:name="_Caption4336"/>
            <w:bookmarkStart w:id="2781" w:name="_Caption0558"/>
            <w:bookmarkStart w:id="2782" w:name="_Caption4957"/>
            <w:bookmarkStart w:id="2783" w:name="_Caption2180"/>
            <w:bookmarkStart w:id="2784" w:name="_Caption5078"/>
            <w:bookmarkStart w:id="2785" w:name="_Caption8373"/>
            <w:bookmarkStart w:id="2786" w:name="_Caption9159"/>
            <w:bookmarkStart w:id="2787" w:name="_Caption2746"/>
            <w:bookmarkStart w:id="2788" w:name="_Caption0268"/>
            <w:bookmarkStart w:id="2789" w:name="_Caption1227"/>
            <w:bookmarkStart w:id="2790" w:name="_Caption5263"/>
            <w:bookmarkStart w:id="2791" w:name="_Caption6957"/>
            <w:bookmarkStart w:id="2792" w:name="_Caption4274"/>
            <w:bookmarkStart w:id="2793" w:name="_Caption2316"/>
            <w:bookmarkStart w:id="2794" w:name="_Caption8961"/>
            <w:bookmarkStart w:id="2795" w:name="_Caption4293"/>
            <w:bookmarkStart w:id="2796" w:name="_Caption6642"/>
            <w:bookmarkStart w:id="2797" w:name="_Caption4233"/>
            <w:bookmarkStart w:id="2798" w:name="_Caption4570"/>
            <w:bookmarkStart w:id="2799" w:name="_Caption6950"/>
            <w:bookmarkStart w:id="2800" w:name="_Caption8914"/>
            <w:bookmarkStart w:id="2801" w:name="_Caption1505"/>
            <w:bookmarkStart w:id="2802" w:name="_Caption8919"/>
            <w:bookmarkStart w:id="2803" w:name="_Caption5915"/>
            <w:bookmarkStart w:id="2804" w:name="_Caption4179"/>
            <w:bookmarkStart w:id="2805" w:name="_Caption0413"/>
            <w:bookmarkStart w:id="2806" w:name="_Caption7502"/>
            <w:bookmarkStart w:id="2807" w:name="_Caption7990"/>
            <w:bookmarkStart w:id="2808" w:name="_Caption7995"/>
            <w:bookmarkStart w:id="2809" w:name="_Caption4772"/>
            <w:bookmarkStart w:id="2810" w:name="_Caption0062"/>
            <w:bookmarkStart w:id="2811" w:name="_Caption8387"/>
            <w:bookmarkStart w:id="2812" w:name="_Caption0676"/>
            <w:bookmarkStart w:id="2813" w:name="_Caption7541"/>
            <w:bookmarkStart w:id="2814" w:name="_Caption9785"/>
            <w:bookmarkStart w:id="2815" w:name="_Caption5291"/>
            <w:bookmarkStart w:id="2816" w:name="_Caption0194"/>
            <w:bookmarkStart w:id="2817" w:name="_Caption5563"/>
            <w:bookmarkStart w:id="2818" w:name="_Caption9059"/>
            <w:bookmarkStart w:id="2819" w:name="_Caption3678"/>
            <w:bookmarkStart w:id="2820" w:name="_Caption0666"/>
            <w:bookmarkStart w:id="2821" w:name="_Caption3648"/>
            <w:bookmarkStart w:id="2822" w:name="_Caption4267"/>
            <w:bookmarkStart w:id="2823" w:name="_Caption4607"/>
            <w:bookmarkStart w:id="2824" w:name="_Caption7468"/>
            <w:bookmarkStart w:id="2825" w:name="_Caption5824"/>
            <w:bookmarkStart w:id="2826" w:name="_Toc44598503"/>
            <w:bookmarkStart w:id="2827" w:name="_Toc45654134"/>
            <w:r w:rsidR="00272AF3">
              <w:rPr>
                <w:noProof/>
              </w:rPr>
              <w:t>2</w:t>
            </w:r>
            <w:r w:rsidR="00272AF3" w:rsidRPr="00E05C8C">
              <w:rPr>
                <w:noProof/>
              </w:rPr>
              <w:t>.</w:t>
            </w:r>
            <w:r w:rsidR="00272AF3">
              <w:rPr>
                <w:noProof/>
              </w:rPr>
              <w:t>19</w:t>
            </w:r>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r w:rsidRPr="00E05C8C">
              <w:fldChar w:fldCharType="end"/>
            </w:r>
            <w:r w:rsidRPr="00E05C8C">
              <w:tab/>
            </w:r>
            <w:r>
              <w:t>Questions for stakeholders</w:t>
            </w:r>
            <w:bookmarkEnd w:id="2826"/>
            <w:bookmarkEnd w:id="2827"/>
          </w:p>
        </w:tc>
      </w:tr>
      <w:tr w:rsidR="007C6A5F" w:rsidTr="00B5160B">
        <w:tc>
          <w:tcPr>
            <w:tcW w:w="7938" w:type="dxa"/>
            <w:tcBorders>
              <w:bottom w:val="single" w:sz="4" w:space="0" w:color="9B917E" w:themeColor="accent4"/>
            </w:tcBorders>
            <w:shd w:val="clear" w:color="auto" w:fill="E9E8E5" w:themeFill="background2"/>
          </w:tcPr>
          <w:p w:rsidR="00BF1A13" w:rsidRDefault="00BF1A13" w:rsidP="00BF1A13">
            <w:pPr>
              <w:pStyle w:val="ListBullet"/>
              <w:numPr>
                <w:ilvl w:val="0"/>
                <w:numId w:val="17"/>
              </w:numPr>
            </w:pPr>
            <w:r>
              <w:t xml:space="preserve">Do you agree the problem is adequately established? </w:t>
            </w:r>
          </w:p>
          <w:p w:rsidR="00BF1A13" w:rsidRDefault="00BF1A13" w:rsidP="00BF1A13">
            <w:pPr>
              <w:pStyle w:val="ListBullet2"/>
              <w:numPr>
                <w:ilvl w:val="1"/>
                <w:numId w:val="17"/>
              </w:numPr>
            </w:pPr>
            <w:r>
              <w:t>Does it establish a case for action?</w:t>
            </w:r>
          </w:p>
          <w:p w:rsidR="00BF1A13" w:rsidRDefault="00BF1A13" w:rsidP="00BF1A13">
            <w:pPr>
              <w:pStyle w:val="ListBullet2"/>
              <w:numPr>
                <w:ilvl w:val="1"/>
                <w:numId w:val="17"/>
              </w:numPr>
            </w:pPr>
            <w:r>
              <w:t>A</w:t>
            </w:r>
            <w:r w:rsidRPr="00C12F65">
              <w:t>re other problems not identified under the status quo</w:t>
            </w:r>
            <w:r>
              <w:t>?</w:t>
            </w:r>
          </w:p>
          <w:p w:rsidR="00BF1A13" w:rsidRPr="00107E78" w:rsidRDefault="00BF1A13" w:rsidP="00BF1A13">
            <w:pPr>
              <w:pStyle w:val="ListBullet"/>
              <w:numPr>
                <w:ilvl w:val="0"/>
                <w:numId w:val="17"/>
              </w:numPr>
            </w:pPr>
            <w:r w:rsidRPr="003404BB">
              <w:t>In general, d</w:t>
            </w:r>
            <w:r w:rsidRPr="00076DAA">
              <w:t xml:space="preserve">o you agree </w:t>
            </w:r>
            <w:r w:rsidRPr="003404BB">
              <w:t xml:space="preserve">the RIS adequately describes </w:t>
            </w:r>
            <w:r w:rsidRPr="00076DAA">
              <w:t>the extent of the</w:t>
            </w:r>
            <w:r w:rsidRPr="003404BB">
              <w:t>se</w:t>
            </w:r>
            <w:r w:rsidRPr="00076DAA">
              <w:t xml:space="preserve"> problem</w:t>
            </w:r>
            <w:r w:rsidRPr="003404BB">
              <w:t>s</w:t>
            </w:r>
            <w:r>
              <w:t>, and d</w:t>
            </w:r>
            <w:r w:rsidRPr="00076DAA">
              <w:t xml:space="preserve">o you have </w:t>
            </w:r>
            <w:r>
              <w:t xml:space="preserve">other </w:t>
            </w:r>
            <w:r w:rsidRPr="00076DAA">
              <w:t xml:space="preserve">evidence </w:t>
            </w:r>
            <w:r w:rsidRPr="00D57D2E">
              <w:t>which could assist</w:t>
            </w:r>
            <w:r w:rsidRPr="00076DAA">
              <w:t>?</w:t>
            </w:r>
          </w:p>
          <w:p w:rsidR="00BF1A13" w:rsidRDefault="00BF1A13" w:rsidP="00BF1A13">
            <w:pPr>
              <w:pStyle w:val="ListBullet"/>
              <w:numPr>
                <w:ilvl w:val="0"/>
                <w:numId w:val="17"/>
              </w:numPr>
              <w:spacing w:before="50"/>
            </w:pPr>
            <w:r w:rsidRPr="00BF1A13">
              <w:rPr>
                <w:rStyle w:val="the-question"/>
                <w:lang w:val="en"/>
              </w:rPr>
              <w:t>The impact of a lack of accessible housing on equity, dignity and employment outcomes is difficult to fully measure. How does a lack of accessible housing contribute to these issues?</w:t>
            </w:r>
          </w:p>
          <w:p w:rsidR="00BF1A13" w:rsidRDefault="00BF1A13" w:rsidP="00BF1A13">
            <w:pPr>
              <w:pStyle w:val="ListBullet"/>
              <w:numPr>
                <w:ilvl w:val="0"/>
                <w:numId w:val="17"/>
              </w:numPr>
              <w:spacing w:before="50"/>
            </w:pPr>
            <w:r w:rsidRPr="00107E78">
              <w:t xml:space="preserve">Are the assumptions made to estimate the costs to the community from a lack of accessible housing (set out in Appendices A to H) </w:t>
            </w:r>
            <w:r>
              <w:t xml:space="preserve">appropriate </w:t>
            </w:r>
            <w:r w:rsidRPr="00AC22BB">
              <w:t>and is there other evidence that could be considered?</w:t>
            </w:r>
          </w:p>
          <w:p w:rsidR="00BF1A13" w:rsidRDefault="00BF1A13" w:rsidP="00BF1A13">
            <w:pPr>
              <w:pStyle w:val="ListBullet"/>
              <w:numPr>
                <w:ilvl w:val="0"/>
                <w:numId w:val="17"/>
              </w:numPr>
              <w:spacing w:before="50"/>
            </w:pPr>
            <w:r w:rsidRPr="006E4DDB">
              <w:t xml:space="preserve">What other </w:t>
            </w:r>
            <w:r w:rsidR="00A577E2">
              <w:t>information</w:t>
            </w:r>
            <w:r w:rsidRPr="006E4DDB">
              <w:t xml:space="preserve"> could be used to estimate the costs associated with a lack of accessible housing to make estimates more reliable? </w:t>
            </w:r>
          </w:p>
          <w:p w:rsidR="007C6A5F" w:rsidRPr="00BF2F67" w:rsidRDefault="00BF1A13" w:rsidP="005A05FE">
            <w:pPr>
              <w:pStyle w:val="ListBullet"/>
              <w:numPr>
                <w:ilvl w:val="0"/>
                <w:numId w:val="17"/>
              </w:numPr>
              <w:spacing w:after="120"/>
            </w:pPr>
            <w:r>
              <w:t>For home modifications made to improve the accessibility of a home, do stakeholders have data on the type and cost of those home modifications that actually proceed?</w:t>
            </w:r>
          </w:p>
        </w:tc>
      </w:tr>
    </w:tbl>
    <w:bookmarkEnd w:id="1669"/>
    <w:p w:rsidR="007C6A5F" w:rsidRDefault="007C6A5F" w:rsidP="007C6A5F">
      <w:pPr>
        <w:pStyle w:val="Heading3"/>
        <w:numPr>
          <w:ilvl w:val="2"/>
          <w:numId w:val="5"/>
        </w:numPr>
        <w:spacing w:before="300"/>
        <w:rPr>
          <w:lang w:bidi="fa-IR"/>
        </w:rPr>
      </w:pPr>
      <w:r>
        <w:rPr>
          <w:lang w:bidi="fa-IR"/>
        </w:rPr>
        <w:t>Safety</w:t>
      </w:r>
      <w:r>
        <w:rPr>
          <w:lang w:bidi="fa-IR"/>
        </w:rPr>
        <w:noBreakHyphen/>
        <w:t>related costs</w:t>
      </w:r>
    </w:p>
    <w:p w:rsidR="007C6A5F" w:rsidRDefault="007C6A5F" w:rsidP="007C6A5F">
      <w:pPr>
        <w:pStyle w:val="BodyText"/>
        <w:spacing w:before="80"/>
        <w:rPr>
          <w:lang w:bidi="fa-IR"/>
        </w:rPr>
      </w:pPr>
      <w:r>
        <w:rPr>
          <w:lang w:bidi="fa-IR"/>
        </w:rPr>
        <w:t>Many people with accessibility needs have trouble finding accessible housing that meets their needs.</w:t>
      </w:r>
      <w:r>
        <w:rPr>
          <w:rStyle w:val="FootnoteReference"/>
          <w:lang w:bidi="fa-IR"/>
        </w:rPr>
        <w:footnoteReference w:id="32"/>
      </w:r>
      <w:r>
        <w:rPr>
          <w:lang w:bidi="fa-IR"/>
        </w:rPr>
        <w:t xml:space="preserve"> When accessibility needs are not met, there is an increased risk of falls. In some cases, falls result in serious injury or even death.</w:t>
      </w:r>
    </w:p>
    <w:p w:rsidR="007C6A5F" w:rsidRDefault="007C6A5F" w:rsidP="007C6A5F">
      <w:pPr>
        <w:pStyle w:val="BodyText"/>
        <w:spacing w:before="80"/>
        <w:rPr>
          <w:lang w:bidi="fa-IR"/>
        </w:rPr>
      </w:pPr>
      <w:r>
        <w:rPr>
          <w:lang w:bidi="fa-IR"/>
        </w:rPr>
        <w:t>We estimate that the cost of additional falls as a result of some people with accessibility needs remaining in housing that lacks relevant accessibility features could range between around $42 million and $71 million per year, with a central case estimate of around $57 million (table </w:t>
      </w:r>
      <w:r>
        <w:rPr>
          <w:lang w:bidi="fa-IR"/>
        </w:rPr>
        <w:fldChar w:fldCharType="begin"/>
      </w:r>
      <w:r>
        <w:rPr>
          <w:lang w:bidi="fa-IR"/>
        </w:rPr>
        <w:instrText xml:space="preserve"> REF _Caption3516 </w:instrText>
      </w:r>
      <w:r>
        <w:rPr>
          <w:lang w:bidi="fa-IR"/>
        </w:rPr>
        <w:fldChar w:fldCharType="separate"/>
      </w:r>
      <w:r>
        <w:rPr>
          <w:noProof/>
        </w:rPr>
        <w:t>2</w:t>
      </w:r>
      <w:r w:rsidRPr="00695C93">
        <w:rPr>
          <w:noProof/>
        </w:rPr>
        <w:t>.</w:t>
      </w:r>
      <w:r>
        <w:rPr>
          <w:noProof/>
        </w:rPr>
        <w:t>20</w:t>
      </w:r>
      <w:r>
        <w:rPr>
          <w:lang w:bidi="fa-IR"/>
        </w:rPr>
        <w:fldChar w:fldCharType="end"/>
      </w:r>
      <w:r>
        <w:rPr>
          <w:lang w:bidi="fa-IR"/>
        </w:rPr>
        <w:t>). This includes the costs associated with an increased number of deaths (based on standard economic approaches to valuing the loss of life) and medical costs associated with injuries. However, it does not include morbidity costs associated with fall</w:t>
      </w:r>
      <w:r>
        <w:rPr>
          <w:lang w:bidi="fa-IR"/>
        </w:rPr>
        <w:noBreakHyphen/>
        <w:t>related injuries. Further details on our approach to estimating these costs are set out in appendix A.</w:t>
      </w:r>
    </w:p>
    <w:p w:rsidR="007C6A5F" w:rsidRDefault="007C6A5F" w:rsidP="007C6A5F">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2</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20</w:instrText>
      </w:r>
      <w:r w:rsidRPr="00695C93">
        <w:fldChar w:fldCharType="end"/>
      </w:r>
      <w:r w:rsidRPr="00695C93">
        <w:instrText xml:space="preserve">" "" </w:instrText>
      </w:r>
      <w:r w:rsidRPr="00695C93">
        <w:fldChar w:fldCharType="separate"/>
      </w:r>
      <w:bookmarkStart w:id="2828" w:name="_Caption0648"/>
      <w:bookmarkStart w:id="2829" w:name="_Caption5894"/>
      <w:bookmarkStart w:id="2830" w:name="_Caption2545"/>
      <w:bookmarkStart w:id="2831" w:name="_Caption7560"/>
      <w:bookmarkStart w:id="2832" w:name="_Caption9450"/>
      <w:bookmarkStart w:id="2833" w:name="_Caption4996"/>
      <w:bookmarkStart w:id="2834" w:name="_Caption3324"/>
      <w:bookmarkStart w:id="2835" w:name="_Caption6413"/>
      <w:bookmarkStart w:id="2836" w:name="_Caption5387"/>
      <w:bookmarkStart w:id="2837" w:name="_Caption5362"/>
      <w:bookmarkStart w:id="2838" w:name="_Caption3516"/>
      <w:bookmarkStart w:id="2839" w:name="_Caption2573"/>
      <w:bookmarkStart w:id="2840" w:name="_Caption6048"/>
      <w:bookmarkStart w:id="2841" w:name="_Caption0418"/>
      <w:bookmarkStart w:id="2842" w:name="_Caption3872"/>
      <w:bookmarkStart w:id="2843" w:name="_Toc44598504"/>
      <w:bookmarkStart w:id="2844" w:name="_Toc45654135"/>
      <w:r w:rsidR="00272AF3">
        <w:rPr>
          <w:noProof/>
        </w:rPr>
        <w:t>2</w:t>
      </w:r>
      <w:r w:rsidR="00272AF3" w:rsidRPr="00695C93">
        <w:rPr>
          <w:noProof/>
        </w:rPr>
        <w:t>.</w:t>
      </w:r>
      <w:r w:rsidR="00272AF3">
        <w:rPr>
          <w:noProof/>
        </w:rPr>
        <w:t>20</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r w:rsidRPr="00695C93">
        <w:fldChar w:fldCharType="end"/>
      </w:r>
      <w:r w:rsidRPr="00695C93">
        <w:tab/>
      </w:r>
      <w:r>
        <w:t>Estimated annual safety costs from inaccessible housing</w:t>
      </w:r>
      <w:bookmarkEnd w:id="2843"/>
      <w:bookmarkEnd w:id="2844"/>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2.20"/>
        <w:tblDescription w:val="Estimated annual safety costs from inaccessible housing"/>
      </w:tblPr>
      <w:tblGrid>
        <w:gridCol w:w="2604"/>
        <w:gridCol w:w="1771"/>
        <w:gridCol w:w="1794"/>
        <w:gridCol w:w="1769"/>
      </w:tblGrid>
      <w:tr w:rsidR="007C6A5F" w:rsidTr="00085F2E">
        <w:trPr>
          <w:trHeight w:val="230"/>
          <w:tblHeader/>
        </w:trPr>
        <w:tc>
          <w:tcPr>
            <w:tcW w:w="2604" w:type="dxa"/>
            <w:shd w:val="clear" w:color="auto" w:fill="6F6652" w:themeFill="accent5"/>
          </w:tcPr>
          <w:p w:rsidR="007C6A5F" w:rsidRDefault="007C6A5F" w:rsidP="00C36DA4">
            <w:pPr>
              <w:pStyle w:val="TableDataColumnHeading"/>
              <w:jc w:val="left"/>
              <w:rPr>
                <w:lang w:val="en-GB"/>
              </w:rPr>
            </w:pPr>
            <w:r>
              <w:rPr>
                <w:lang w:val="en-GB"/>
              </w:rPr>
              <w:t>Outcome</w:t>
            </w:r>
          </w:p>
        </w:tc>
        <w:tc>
          <w:tcPr>
            <w:tcW w:w="1771" w:type="dxa"/>
            <w:shd w:val="clear" w:color="auto" w:fill="6F6652" w:themeFill="accent5"/>
          </w:tcPr>
          <w:p w:rsidR="007C6A5F" w:rsidRDefault="007C6A5F" w:rsidP="00C36DA4">
            <w:pPr>
              <w:pStyle w:val="TableDataColumnHeading"/>
              <w:rPr>
                <w:lang w:val="en-GB"/>
              </w:rPr>
            </w:pPr>
            <w:r>
              <w:rPr>
                <w:lang w:val="en-GB"/>
              </w:rPr>
              <w:t>Low estimate</w:t>
            </w:r>
            <w:r w:rsidR="00085F2E">
              <w:rPr>
                <w:lang w:val="en-GB"/>
              </w:rPr>
              <w:br/>
              <w:t>($ million)</w:t>
            </w:r>
          </w:p>
        </w:tc>
        <w:tc>
          <w:tcPr>
            <w:tcW w:w="1794" w:type="dxa"/>
            <w:shd w:val="clear" w:color="auto" w:fill="6F6652" w:themeFill="accent5"/>
          </w:tcPr>
          <w:p w:rsidR="007C6A5F" w:rsidRDefault="007C6A5F" w:rsidP="00C36DA4">
            <w:pPr>
              <w:pStyle w:val="TableDataColumnHeading"/>
              <w:rPr>
                <w:lang w:val="en-GB"/>
              </w:rPr>
            </w:pPr>
            <w:r>
              <w:rPr>
                <w:lang w:val="en-GB"/>
              </w:rPr>
              <w:t>Central case</w:t>
            </w:r>
            <w:r w:rsidR="00085F2E">
              <w:rPr>
                <w:lang w:val="en-GB"/>
              </w:rPr>
              <w:br/>
              <w:t>($ million)</w:t>
            </w:r>
          </w:p>
        </w:tc>
        <w:tc>
          <w:tcPr>
            <w:tcW w:w="1769" w:type="dxa"/>
            <w:shd w:val="clear" w:color="auto" w:fill="6F6652" w:themeFill="accent5"/>
          </w:tcPr>
          <w:p w:rsidR="007C6A5F" w:rsidRDefault="007C6A5F" w:rsidP="00C36DA4">
            <w:pPr>
              <w:pStyle w:val="TableDataColumnHeading"/>
              <w:rPr>
                <w:lang w:val="en-GB"/>
              </w:rPr>
            </w:pPr>
            <w:r>
              <w:rPr>
                <w:lang w:val="en-GB"/>
              </w:rPr>
              <w:t>High estimate</w:t>
            </w:r>
            <w:r w:rsidR="00085F2E">
              <w:rPr>
                <w:lang w:val="en-GB"/>
              </w:rPr>
              <w:br/>
              <w:t>($ million)</w:t>
            </w:r>
          </w:p>
        </w:tc>
      </w:tr>
      <w:tr w:rsidR="007C6A5F" w:rsidTr="005A05FE">
        <w:trPr>
          <w:trHeight w:val="230"/>
        </w:trPr>
        <w:tc>
          <w:tcPr>
            <w:tcW w:w="260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Death</w:t>
            </w:r>
          </w:p>
        </w:tc>
        <w:tc>
          <w:tcPr>
            <w:tcW w:w="1771"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22.56</w:t>
            </w:r>
          </w:p>
        </w:tc>
        <w:tc>
          <w:tcPr>
            <w:tcW w:w="1794" w:type="dxa"/>
            <w:tcBorders>
              <w:top w:val="single" w:sz="8" w:space="0" w:color="FFFFFF" w:themeColor="background1"/>
              <w:bottom w:val="single" w:sz="8" w:space="0" w:color="FFFFFF" w:themeColor="background1"/>
            </w:tcBorders>
            <w:shd w:val="clear" w:color="auto" w:fill="E9E8E5" w:themeFill="background2"/>
          </w:tcPr>
          <w:p w:rsidR="007C6A5F" w:rsidRPr="00FA523A" w:rsidRDefault="007C6A5F" w:rsidP="00C36DA4">
            <w:pPr>
              <w:pStyle w:val="TableDataEntries"/>
            </w:pPr>
            <w:r w:rsidRPr="00F36A14">
              <w:t xml:space="preserve"> 30.92</w:t>
            </w:r>
          </w:p>
        </w:tc>
        <w:tc>
          <w:tcPr>
            <w:tcW w:w="1769"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38.44</w:t>
            </w:r>
          </w:p>
        </w:tc>
      </w:tr>
      <w:tr w:rsidR="007C6A5F" w:rsidTr="005A05FE">
        <w:trPr>
          <w:trHeight w:val="230"/>
        </w:trPr>
        <w:tc>
          <w:tcPr>
            <w:tcW w:w="260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Hospital admissions</w:t>
            </w:r>
          </w:p>
        </w:tc>
        <w:tc>
          <w:tcPr>
            <w:tcW w:w="1771"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15.80</w:t>
            </w:r>
          </w:p>
        </w:tc>
        <w:tc>
          <w:tcPr>
            <w:tcW w:w="1794" w:type="dxa"/>
            <w:tcBorders>
              <w:top w:val="single" w:sz="8" w:space="0" w:color="FFFFFF" w:themeColor="background1"/>
              <w:bottom w:val="single" w:sz="8" w:space="0" w:color="FFFFFF" w:themeColor="background1"/>
            </w:tcBorders>
            <w:shd w:val="clear" w:color="auto" w:fill="E9E8E5" w:themeFill="background2"/>
          </w:tcPr>
          <w:p w:rsidR="007C6A5F" w:rsidRPr="00FA523A" w:rsidRDefault="007C6A5F" w:rsidP="00C36DA4">
            <w:pPr>
              <w:pStyle w:val="TableDataEntries"/>
            </w:pPr>
            <w:r w:rsidRPr="00F36A14">
              <w:t xml:space="preserve"> 21.66</w:t>
            </w:r>
          </w:p>
        </w:tc>
        <w:tc>
          <w:tcPr>
            <w:tcW w:w="1769"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26.92</w:t>
            </w:r>
          </w:p>
        </w:tc>
      </w:tr>
      <w:tr w:rsidR="007C6A5F" w:rsidTr="005A05FE">
        <w:trPr>
          <w:trHeight w:val="230"/>
        </w:trPr>
        <w:tc>
          <w:tcPr>
            <w:tcW w:w="260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Emergency department attendance</w:t>
            </w:r>
          </w:p>
        </w:tc>
        <w:tc>
          <w:tcPr>
            <w:tcW w:w="1771"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1.92</w:t>
            </w:r>
          </w:p>
        </w:tc>
        <w:tc>
          <w:tcPr>
            <w:tcW w:w="1794" w:type="dxa"/>
            <w:tcBorders>
              <w:top w:val="single" w:sz="8" w:space="0" w:color="FFFFFF" w:themeColor="background1"/>
              <w:bottom w:val="single" w:sz="8" w:space="0" w:color="FFFFFF" w:themeColor="background1"/>
            </w:tcBorders>
            <w:shd w:val="clear" w:color="auto" w:fill="E9E8E5" w:themeFill="background2"/>
          </w:tcPr>
          <w:p w:rsidR="007C6A5F" w:rsidRPr="00FA523A" w:rsidRDefault="007C6A5F" w:rsidP="00C36DA4">
            <w:pPr>
              <w:pStyle w:val="TableDataEntries"/>
            </w:pPr>
            <w:r w:rsidRPr="00F36A14">
              <w:t xml:space="preserve"> 2.63</w:t>
            </w:r>
          </w:p>
        </w:tc>
        <w:tc>
          <w:tcPr>
            <w:tcW w:w="1769"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3.27</w:t>
            </w:r>
          </w:p>
        </w:tc>
      </w:tr>
      <w:tr w:rsidR="007C6A5F" w:rsidTr="00B5160B">
        <w:trPr>
          <w:trHeight w:val="230"/>
        </w:trPr>
        <w:tc>
          <w:tcPr>
            <w:tcW w:w="260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Non-hospital treatment</w:t>
            </w:r>
          </w:p>
        </w:tc>
        <w:tc>
          <w:tcPr>
            <w:tcW w:w="1771"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1.57</w:t>
            </w:r>
          </w:p>
        </w:tc>
        <w:tc>
          <w:tcPr>
            <w:tcW w:w="1794" w:type="dxa"/>
            <w:tcBorders>
              <w:top w:val="single" w:sz="8" w:space="0" w:color="FFFFFF" w:themeColor="background1"/>
              <w:bottom w:val="single" w:sz="8" w:space="0" w:color="FFFFFF" w:themeColor="background1"/>
            </w:tcBorders>
            <w:shd w:val="clear" w:color="auto" w:fill="E9E8E5" w:themeFill="background2"/>
          </w:tcPr>
          <w:p w:rsidR="007C6A5F" w:rsidRPr="00FA523A" w:rsidRDefault="007C6A5F" w:rsidP="00C36DA4">
            <w:pPr>
              <w:pStyle w:val="TableDataEntries"/>
            </w:pPr>
            <w:r w:rsidRPr="00F36A14">
              <w:t xml:space="preserve"> 2.15</w:t>
            </w:r>
          </w:p>
        </w:tc>
        <w:tc>
          <w:tcPr>
            <w:tcW w:w="1769"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 xml:space="preserve"> 2.67</w:t>
            </w:r>
          </w:p>
        </w:tc>
      </w:tr>
      <w:tr w:rsidR="007C6A5F" w:rsidRPr="005F4D37" w:rsidTr="00B5160B">
        <w:trPr>
          <w:trHeight w:val="230"/>
        </w:trPr>
        <w:tc>
          <w:tcPr>
            <w:tcW w:w="2604" w:type="dxa"/>
            <w:tcBorders>
              <w:top w:val="single" w:sz="8" w:space="0" w:color="FFFFFF" w:themeColor="background1"/>
              <w:bottom w:val="single" w:sz="4" w:space="0" w:color="6F6652" w:themeColor="accent5"/>
            </w:tcBorders>
            <w:shd w:val="clear" w:color="auto" w:fill="C2DADB" w:themeFill="accent6" w:themeFillTint="99"/>
          </w:tcPr>
          <w:p w:rsidR="007C6A5F" w:rsidRPr="005F4D37" w:rsidRDefault="007C6A5F" w:rsidP="00C36DA4">
            <w:pPr>
              <w:pStyle w:val="TableDataEntries"/>
              <w:jc w:val="left"/>
              <w:rPr>
                <w:rFonts w:ascii="Franklin Gothic Demi" w:hAnsi="Franklin Gothic Demi"/>
                <w:lang w:val="en-GB"/>
              </w:rPr>
            </w:pPr>
            <w:r w:rsidRPr="005F4D37">
              <w:rPr>
                <w:rFonts w:ascii="Franklin Gothic Demi" w:hAnsi="Franklin Gothic Demi"/>
                <w:lang w:val="en-GB"/>
              </w:rPr>
              <w:t>Total</w:t>
            </w:r>
          </w:p>
        </w:tc>
        <w:tc>
          <w:tcPr>
            <w:tcW w:w="1771" w:type="dxa"/>
            <w:tcBorders>
              <w:top w:val="single" w:sz="8" w:space="0" w:color="FFFFFF" w:themeColor="background1"/>
              <w:bottom w:val="single" w:sz="4" w:space="0" w:color="6F6652" w:themeColor="accent5"/>
            </w:tcBorders>
            <w:shd w:val="clear" w:color="auto" w:fill="C2DADB" w:themeFill="accent6" w:themeFillTint="99"/>
          </w:tcPr>
          <w:p w:rsidR="007C6A5F" w:rsidRPr="005F4D37" w:rsidRDefault="007C6A5F" w:rsidP="00C36DA4">
            <w:pPr>
              <w:pStyle w:val="TableDataEntries"/>
              <w:rPr>
                <w:rFonts w:ascii="Franklin Gothic Demi" w:hAnsi="Franklin Gothic Demi"/>
              </w:rPr>
            </w:pPr>
            <w:r w:rsidRPr="005F4D37">
              <w:rPr>
                <w:rFonts w:ascii="Franklin Gothic Demi" w:hAnsi="Franklin Gothic Demi"/>
              </w:rPr>
              <w:t xml:space="preserve"> 41.85</w:t>
            </w:r>
          </w:p>
        </w:tc>
        <w:tc>
          <w:tcPr>
            <w:tcW w:w="1794" w:type="dxa"/>
            <w:tcBorders>
              <w:top w:val="single" w:sz="8" w:space="0" w:color="FFFFFF" w:themeColor="background1"/>
              <w:bottom w:val="single" w:sz="4" w:space="0" w:color="6F6652" w:themeColor="accent5"/>
            </w:tcBorders>
            <w:shd w:val="clear" w:color="auto" w:fill="C2DADB" w:themeFill="accent6" w:themeFillTint="99"/>
          </w:tcPr>
          <w:p w:rsidR="007C6A5F" w:rsidRPr="005F4D37" w:rsidRDefault="007C6A5F" w:rsidP="00C36DA4">
            <w:pPr>
              <w:pStyle w:val="TableDataEntries"/>
              <w:rPr>
                <w:rFonts w:ascii="Franklin Gothic Demi" w:hAnsi="Franklin Gothic Demi"/>
              </w:rPr>
            </w:pPr>
            <w:r w:rsidRPr="005F4D37">
              <w:rPr>
                <w:rFonts w:ascii="Franklin Gothic Demi" w:hAnsi="Franklin Gothic Demi"/>
              </w:rPr>
              <w:t xml:space="preserve"> 57.35</w:t>
            </w:r>
          </w:p>
        </w:tc>
        <w:tc>
          <w:tcPr>
            <w:tcW w:w="1769" w:type="dxa"/>
            <w:tcBorders>
              <w:top w:val="single" w:sz="8" w:space="0" w:color="FFFFFF" w:themeColor="background1"/>
              <w:bottom w:val="single" w:sz="4" w:space="0" w:color="6F6652" w:themeColor="accent5"/>
            </w:tcBorders>
            <w:shd w:val="clear" w:color="auto" w:fill="C2DADB" w:themeFill="accent6" w:themeFillTint="99"/>
          </w:tcPr>
          <w:p w:rsidR="007C6A5F" w:rsidRPr="005F4D37" w:rsidRDefault="007C6A5F" w:rsidP="00C36DA4">
            <w:pPr>
              <w:pStyle w:val="TableDataEntries"/>
              <w:rPr>
                <w:rFonts w:ascii="Franklin Gothic Demi" w:hAnsi="Franklin Gothic Demi"/>
              </w:rPr>
            </w:pPr>
            <w:r w:rsidRPr="005F4D37">
              <w:rPr>
                <w:rFonts w:ascii="Franklin Gothic Demi" w:hAnsi="Franklin Gothic Demi"/>
              </w:rPr>
              <w:t xml:space="preserve"> 71.30</w:t>
            </w:r>
          </w:p>
        </w:tc>
      </w:tr>
    </w:tbl>
    <w:p w:rsidR="007C6A5F" w:rsidRDefault="007C6A5F" w:rsidP="007C6A5F">
      <w:pPr>
        <w:pStyle w:val="Source"/>
        <w:rPr>
          <w:lang w:bidi="fa-IR"/>
        </w:rPr>
      </w:pPr>
      <w:r w:rsidRPr="00620C42">
        <w:rPr>
          <w:i/>
          <w:lang w:bidi="fa-IR"/>
        </w:rPr>
        <w:lastRenderedPageBreak/>
        <w:t>Source:</w:t>
      </w:r>
      <w:r>
        <w:rPr>
          <w:lang w:bidi="fa-IR"/>
        </w:rPr>
        <w:t xml:space="preserve"> CIE estimates (see appendix A for further details).</w:t>
      </w:r>
    </w:p>
    <w:p w:rsidR="007C6A5F" w:rsidRDefault="007C6A5F" w:rsidP="007C6A5F">
      <w:pPr>
        <w:pStyle w:val="Heading3"/>
        <w:numPr>
          <w:ilvl w:val="2"/>
          <w:numId w:val="5"/>
        </w:numPr>
        <w:rPr>
          <w:lang w:eastAsia="en-US" w:bidi="fa-IR"/>
        </w:rPr>
      </w:pPr>
      <w:r>
        <w:rPr>
          <w:lang w:eastAsia="en-US" w:bidi="fa-IR"/>
        </w:rPr>
        <w:t>The cost of additional assistance</w:t>
      </w:r>
    </w:p>
    <w:p w:rsidR="007C6A5F" w:rsidRDefault="007C6A5F" w:rsidP="007C6A5F">
      <w:pPr>
        <w:pStyle w:val="BodyText"/>
        <w:rPr>
          <w:lang w:eastAsia="en-US" w:bidi="fa-IR"/>
        </w:rPr>
      </w:pPr>
      <w:r>
        <w:rPr>
          <w:lang w:eastAsia="en-US" w:bidi="fa-IR"/>
        </w:rPr>
        <w:t>Where people with mobility</w:t>
      </w:r>
      <w:r w:rsidR="00E620E5">
        <w:rPr>
          <w:lang w:eastAsia="en-US" w:bidi="fa-IR"/>
        </w:rPr>
        <w:noBreakHyphen/>
        <w:t xml:space="preserve">related disabilities </w:t>
      </w:r>
      <w:r>
        <w:rPr>
          <w:lang w:eastAsia="en-US" w:bidi="fa-IR"/>
        </w:rPr>
        <w:t>remain in housing that does not meet their accessibility needs, they may also have an increased need for assistance/care, including both formal care and informal care provided by family and friends.</w:t>
      </w:r>
    </w:p>
    <w:p w:rsidR="007C6A5F" w:rsidRDefault="007C6A5F" w:rsidP="007C6A5F">
      <w:pPr>
        <w:pStyle w:val="BodyText"/>
        <w:rPr>
          <w:lang w:eastAsia="en-US" w:bidi="fa-IR"/>
        </w:rPr>
      </w:pPr>
      <w:r w:rsidRPr="00E4099A">
        <w:rPr>
          <w:lang w:bidi="fa-IR"/>
        </w:rPr>
        <w:t xml:space="preserve">We estimate that the additional cost of carers — including both formal and informal carers — that can be attributable to inaccessible housing could </w:t>
      </w:r>
      <w:r>
        <w:rPr>
          <w:lang w:bidi="fa-IR"/>
        </w:rPr>
        <w:t xml:space="preserve">be around $700 million </w:t>
      </w:r>
      <w:r w:rsidRPr="00E4099A">
        <w:rPr>
          <w:lang w:bidi="fa-IR"/>
        </w:rPr>
        <w:t>per year</w:t>
      </w:r>
      <w:r>
        <w:rPr>
          <w:lang w:bidi="fa-IR"/>
        </w:rPr>
        <w:t xml:space="preserve"> (table </w:t>
      </w:r>
      <w:r w:rsidR="008222CC">
        <w:rPr>
          <w:lang w:bidi="fa-IR"/>
        </w:rPr>
        <w:fldChar w:fldCharType="begin"/>
      </w:r>
      <w:r w:rsidR="008222CC">
        <w:rPr>
          <w:lang w:bidi="fa-IR"/>
        </w:rPr>
        <w:instrText xml:space="preserve"> REF _Caption0513 </w:instrText>
      </w:r>
      <w:r w:rsidR="008222CC">
        <w:rPr>
          <w:lang w:bidi="fa-IR"/>
        </w:rPr>
        <w:fldChar w:fldCharType="separate"/>
      </w:r>
      <w:r w:rsidR="008222CC">
        <w:rPr>
          <w:noProof/>
        </w:rPr>
        <w:t>2</w:t>
      </w:r>
      <w:r w:rsidR="008222CC" w:rsidRPr="00695C93">
        <w:rPr>
          <w:noProof/>
        </w:rPr>
        <w:t>.</w:t>
      </w:r>
      <w:r w:rsidR="008222CC">
        <w:rPr>
          <w:noProof/>
        </w:rPr>
        <w:t>21</w:t>
      </w:r>
      <w:r w:rsidR="008222CC">
        <w:rPr>
          <w:lang w:bidi="fa-IR"/>
        </w:rPr>
        <w:fldChar w:fldCharType="end"/>
      </w:r>
      <w:r>
        <w:rPr>
          <w:lang w:bidi="fa-IR"/>
        </w:rPr>
        <w:t>)</w:t>
      </w:r>
      <w:r w:rsidRPr="00E4099A">
        <w:rPr>
          <w:lang w:bidi="fa-IR"/>
        </w:rPr>
        <w:t>.</w:t>
      </w:r>
      <w:r>
        <w:rPr>
          <w:lang w:val="en-GB"/>
        </w:rPr>
        <w:t xml:space="preserve"> </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2</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21</w:instrText>
      </w:r>
      <w:r w:rsidRPr="00695C93">
        <w:fldChar w:fldCharType="end"/>
      </w:r>
      <w:r w:rsidRPr="00695C93">
        <w:instrText xml:space="preserve">" "" </w:instrText>
      </w:r>
      <w:r w:rsidRPr="00695C93">
        <w:fldChar w:fldCharType="separate"/>
      </w:r>
      <w:bookmarkStart w:id="2845" w:name="_Caption6043"/>
      <w:bookmarkStart w:id="2846" w:name="_Caption0513"/>
      <w:bookmarkStart w:id="2847" w:name="_Caption7683"/>
      <w:bookmarkStart w:id="2848" w:name="_Caption7931"/>
      <w:bookmarkStart w:id="2849" w:name="_Toc44598505"/>
      <w:bookmarkStart w:id="2850" w:name="_Toc45654136"/>
      <w:r w:rsidR="00272AF3">
        <w:rPr>
          <w:noProof/>
        </w:rPr>
        <w:t>2</w:t>
      </w:r>
      <w:r w:rsidR="00272AF3" w:rsidRPr="00695C93">
        <w:rPr>
          <w:noProof/>
        </w:rPr>
        <w:t>.</w:t>
      </w:r>
      <w:r w:rsidR="00272AF3">
        <w:rPr>
          <w:noProof/>
        </w:rPr>
        <w:t>21</w:t>
      </w:r>
      <w:bookmarkEnd w:id="2845"/>
      <w:bookmarkEnd w:id="2846"/>
      <w:bookmarkEnd w:id="2847"/>
      <w:bookmarkEnd w:id="2848"/>
      <w:r w:rsidRPr="00695C93">
        <w:fldChar w:fldCharType="end"/>
      </w:r>
      <w:r w:rsidRPr="00695C93">
        <w:tab/>
      </w:r>
      <w:r>
        <w:t>Annual additional care costs due to inaccessible housing</w:t>
      </w:r>
      <w:bookmarkEnd w:id="2849"/>
      <w:bookmarkEnd w:id="2850"/>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2.21"/>
        <w:tblDescription w:val="Annual additional care costs due to inaccessible housing"/>
      </w:tblPr>
      <w:tblGrid>
        <w:gridCol w:w="1560"/>
        <w:gridCol w:w="2126"/>
        <w:gridCol w:w="2126"/>
        <w:gridCol w:w="2126"/>
      </w:tblGrid>
      <w:tr w:rsidR="007C6A5F" w:rsidTr="00387D78">
        <w:trPr>
          <w:trHeight w:val="691"/>
          <w:tblHeader/>
        </w:trPr>
        <w:tc>
          <w:tcPr>
            <w:tcW w:w="1560" w:type="dxa"/>
            <w:shd w:val="clear" w:color="auto" w:fill="6F6652" w:themeFill="accent5"/>
          </w:tcPr>
          <w:p w:rsidR="007C6A5F" w:rsidRDefault="00387D78" w:rsidP="00C36DA4">
            <w:pPr>
              <w:pStyle w:val="TableDataColumnHeading"/>
              <w:jc w:val="left"/>
              <w:rPr>
                <w:lang w:val="en-GB"/>
              </w:rPr>
            </w:pPr>
            <w:r>
              <w:rPr>
                <w:lang w:val="en-GB"/>
              </w:rPr>
              <w:t>Assistance</w:t>
            </w:r>
          </w:p>
        </w:tc>
        <w:tc>
          <w:tcPr>
            <w:tcW w:w="2126" w:type="dxa"/>
            <w:shd w:val="clear" w:color="auto" w:fill="6F6652" w:themeFill="accent5"/>
          </w:tcPr>
          <w:p w:rsidR="007C6A5F" w:rsidRDefault="007C6A5F" w:rsidP="00C36DA4">
            <w:pPr>
              <w:pStyle w:val="TableDataColumnHeading"/>
              <w:rPr>
                <w:lang w:val="en-GB"/>
              </w:rPr>
            </w:pPr>
            <w:r>
              <w:rPr>
                <w:lang w:val="en-GB"/>
              </w:rPr>
              <w:t>Number of people</w:t>
            </w:r>
            <w:r w:rsidRPr="00891416">
              <w:rPr>
                <w:rStyle w:val="NoteLabel"/>
                <w:color w:val="FFFFFF" w:themeColor="background1"/>
              </w:rPr>
              <w:t>a</w:t>
            </w:r>
            <w:r w:rsidR="00387D78">
              <w:rPr>
                <w:rStyle w:val="NoteLabel"/>
                <w:color w:val="FFFFFF" w:themeColor="background1"/>
              </w:rPr>
              <w:br/>
            </w:r>
            <w:r w:rsidR="00387D78">
              <w:rPr>
                <w:lang w:val="en-GB"/>
              </w:rPr>
              <w:t>(‘000)</w:t>
            </w:r>
          </w:p>
        </w:tc>
        <w:tc>
          <w:tcPr>
            <w:tcW w:w="2126" w:type="dxa"/>
            <w:shd w:val="clear" w:color="auto" w:fill="6F6652" w:themeFill="accent5"/>
          </w:tcPr>
          <w:p w:rsidR="007C6A5F" w:rsidRDefault="007C6A5F" w:rsidP="00C36DA4">
            <w:pPr>
              <w:pStyle w:val="TableDataColumnHeading"/>
              <w:rPr>
                <w:lang w:val="en-GB"/>
              </w:rPr>
            </w:pPr>
            <w:r>
              <w:rPr>
                <w:lang w:val="en-GB"/>
              </w:rPr>
              <w:t>Average annual cost of additional assistance</w:t>
            </w:r>
            <w:r w:rsidR="00387D78">
              <w:rPr>
                <w:lang w:val="en-GB"/>
              </w:rPr>
              <w:br/>
              <w:t>($ per year)</w:t>
            </w:r>
          </w:p>
        </w:tc>
        <w:tc>
          <w:tcPr>
            <w:tcW w:w="2126" w:type="dxa"/>
            <w:shd w:val="clear" w:color="auto" w:fill="6F6652" w:themeFill="accent5"/>
          </w:tcPr>
          <w:p w:rsidR="007C6A5F" w:rsidRDefault="007C6A5F" w:rsidP="00C36DA4">
            <w:pPr>
              <w:pStyle w:val="TableDataColumnHeading"/>
              <w:rPr>
                <w:lang w:val="en-GB"/>
              </w:rPr>
            </w:pPr>
            <w:r>
              <w:rPr>
                <w:lang w:val="en-GB"/>
              </w:rPr>
              <w:t>Total additional cost</w:t>
            </w:r>
            <w:r w:rsidR="00387D78">
              <w:rPr>
                <w:lang w:val="en-GB"/>
              </w:rPr>
              <w:br/>
              <w:t>($ million)</w:t>
            </w:r>
          </w:p>
        </w:tc>
      </w:tr>
      <w:tr w:rsidR="007C6A5F" w:rsidTr="00387D78">
        <w:trPr>
          <w:trHeight w:val="230"/>
        </w:trPr>
        <w:tc>
          <w:tcPr>
            <w:tcW w:w="156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Informal assistance</w:t>
            </w:r>
          </w:p>
        </w:tc>
        <w:tc>
          <w:tcPr>
            <w:tcW w:w="212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111.5</w:t>
            </w:r>
          </w:p>
        </w:tc>
        <w:tc>
          <w:tcPr>
            <w:tcW w:w="212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-6 040</w:t>
            </w:r>
          </w:p>
        </w:tc>
        <w:tc>
          <w:tcPr>
            <w:tcW w:w="212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- 673.50</w:t>
            </w:r>
          </w:p>
        </w:tc>
      </w:tr>
      <w:tr w:rsidR="007C6A5F" w:rsidTr="00387D78">
        <w:trPr>
          <w:trHeight w:val="230"/>
        </w:trPr>
        <w:tc>
          <w:tcPr>
            <w:tcW w:w="156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Formal assistance</w:t>
            </w:r>
          </w:p>
        </w:tc>
        <w:tc>
          <w:tcPr>
            <w:tcW w:w="212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21.3</w:t>
            </w:r>
          </w:p>
        </w:tc>
        <w:tc>
          <w:tcPr>
            <w:tcW w:w="212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-1 217</w:t>
            </w:r>
          </w:p>
        </w:tc>
        <w:tc>
          <w:tcPr>
            <w:tcW w:w="212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- 25.92</w:t>
            </w:r>
          </w:p>
        </w:tc>
      </w:tr>
      <w:tr w:rsidR="007C6A5F" w:rsidRPr="005F4D37" w:rsidTr="00387D78">
        <w:trPr>
          <w:trHeight w:val="230"/>
        </w:trPr>
        <w:tc>
          <w:tcPr>
            <w:tcW w:w="1560" w:type="dxa"/>
            <w:tcBorders>
              <w:top w:val="single" w:sz="8" w:space="0" w:color="FFFFFF" w:themeColor="background1"/>
              <w:bottom w:val="single" w:sz="4" w:space="0" w:color="6F6652" w:themeColor="accent5"/>
            </w:tcBorders>
            <w:shd w:val="clear" w:color="auto" w:fill="C2DADB" w:themeFill="accent6" w:themeFillTint="99"/>
          </w:tcPr>
          <w:p w:rsidR="007C6A5F" w:rsidRPr="005F4D37" w:rsidRDefault="007C6A5F" w:rsidP="00C36DA4">
            <w:pPr>
              <w:pStyle w:val="TableDataEntries"/>
              <w:jc w:val="left"/>
              <w:rPr>
                <w:rFonts w:ascii="Franklin Gothic Demi" w:hAnsi="Franklin Gothic Demi"/>
                <w:lang w:val="en-GB"/>
              </w:rPr>
            </w:pPr>
            <w:r w:rsidRPr="005F4D37">
              <w:rPr>
                <w:rFonts w:ascii="Franklin Gothic Demi" w:hAnsi="Franklin Gothic Demi"/>
                <w:lang w:val="en-GB"/>
              </w:rPr>
              <w:t>Total</w:t>
            </w:r>
          </w:p>
        </w:tc>
        <w:tc>
          <w:tcPr>
            <w:tcW w:w="2126" w:type="dxa"/>
            <w:tcBorders>
              <w:top w:val="single" w:sz="8" w:space="0" w:color="FFFFFF" w:themeColor="background1"/>
              <w:bottom w:val="single" w:sz="4" w:space="0" w:color="6F6652" w:themeColor="accent5"/>
            </w:tcBorders>
            <w:shd w:val="clear" w:color="auto" w:fill="C2DADB" w:themeFill="accent6" w:themeFillTint="99"/>
          </w:tcPr>
          <w:p w:rsidR="007C6A5F" w:rsidRPr="005F4D37" w:rsidRDefault="007C6A5F" w:rsidP="00C36DA4">
            <w:pPr>
              <w:pStyle w:val="TableDataEntries"/>
              <w:rPr>
                <w:rFonts w:ascii="Franklin Gothic Demi" w:hAnsi="Franklin Gothic Demi"/>
                <w:lang w:val="en-GB"/>
              </w:rPr>
            </w:pPr>
          </w:p>
        </w:tc>
        <w:tc>
          <w:tcPr>
            <w:tcW w:w="2126" w:type="dxa"/>
            <w:tcBorders>
              <w:top w:val="single" w:sz="8" w:space="0" w:color="FFFFFF" w:themeColor="background1"/>
              <w:bottom w:val="single" w:sz="4" w:space="0" w:color="6F6652" w:themeColor="accent5"/>
            </w:tcBorders>
            <w:shd w:val="clear" w:color="auto" w:fill="C2DADB" w:themeFill="accent6" w:themeFillTint="99"/>
          </w:tcPr>
          <w:p w:rsidR="007C6A5F" w:rsidRPr="005F4D37" w:rsidRDefault="007C6A5F" w:rsidP="00C36DA4">
            <w:pPr>
              <w:pStyle w:val="TableDataEntries"/>
              <w:rPr>
                <w:rFonts w:ascii="Franklin Gothic Demi" w:hAnsi="Franklin Gothic Demi"/>
                <w:lang w:val="en-GB"/>
              </w:rPr>
            </w:pPr>
          </w:p>
        </w:tc>
        <w:tc>
          <w:tcPr>
            <w:tcW w:w="2126" w:type="dxa"/>
            <w:tcBorders>
              <w:top w:val="single" w:sz="8" w:space="0" w:color="FFFFFF" w:themeColor="background1"/>
              <w:bottom w:val="single" w:sz="4" w:space="0" w:color="6F6652" w:themeColor="accent5"/>
            </w:tcBorders>
            <w:shd w:val="clear" w:color="auto" w:fill="C2DADB" w:themeFill="accent6" w:themeFillTint="99"/>
          </w:tcPr>
          <w:p w:rsidR="007C6A5F" w:rsidRPr="005F4D37" w:rsidRDefault="007C6A5F" w:rsidP="00C36DA4">
            <w:pPr>
              <w:pStyle w:val="TableDataEntries"/>
              <w:rPr>
                <w:rFonts w:ascii="Franklin Gothic Demi" w:hAnsi="Franklin Gothic Demi"/>
                <w:lang w:val="en-GB"/>
              </w:rPr>
            </w:pPr>
            <w:r w:rsidRPr="005F4D37">
              <w:rPr>
                <w:rFonts w:ascii="Franklin Gothic Demi" w:hAnsi="Franklin Gothic Demi"/>
                <w:lang w:val="en-GB"/>
              </w:rPr>
              <w:t>- 699.42</w:t>
            </w:r>
          </w:p>
        </w:tc>
      </w:tr>
    </w:tbl>
    <w:p w:rsidR="007C6A5F" w:rsidRPr="00E4232C" w:rsidRDefault="007C6A5F" w:rsidP="007C6A5F">
      <w:pPr>
        <w:pStyle w:val="Note"/>
      </w:pPr>
      <w:r w:rsidRPr="00891416">
        <w:rPr>
          <w:rStyle w:val="NoteLabel"/>
          <w:color w:val="000000" w:themeColor="text1"/>
        </w:rPr>
        <w:t>a</w:t>
      </w:r>
      <w:r>
        <w:t xml:space="preserve"> Based on SDAC 2018, TableBuilder. </w:t>
      </w:r>
    </w:p>
    <w:p w:rsidR="007C6A5F" w:rsidRDefault="007C6A5F" w:rsidP="007C6A5F">
      <w:pPr>
        <w:pStyle w:val="Source"/>
        <w:rPr>
          <w:lang w:bidi="fa-IR"/>
        </w:rPr>
      </w:pPr>
      <w:r w:rsidRPr="00242108">
        <w:rPr>
          <w:i/>
          <w:lang w:bidi="fa-IR"/>
        </w:rPr>
        <w:t>Source:</w:t>
      </w:r>
      <w:r>
        <w:rPr>
          <w:lang w:bidi="fa-IR"/>
        </w:rPr>
        <w:t xml:space="preserve"> See appendix A for details.</w:t>
      </w:r>
    </w:p>
    <w:p w:rsidR="007C6A5F" w:rsidRDefault="007C6A5F" w:rsidP="007C6A5F">
      <w:pPr>
        <w:pStyle w:val="BodyText"/>
        <w:rPr>
          <w:lang w:eastAsia="en-US" w:bidi="fa-IR"/>
        </w:rPr>
      </w:pPr>
      <w:r>
        <w:rPr>
          <w:lang w:eastAsia="en-US" w:bidi="fa-IR"/>
        </w:rPr>
        <w:t>This estimate is based on the following assumptions.</w:t>
      </w:r>
    </w:p>
    <w:p w:rsidR="007C6A5F" w:rsidRDefault="007C6A5F" w:rsidP="005A6F87">
      <w:pPr>
        <w:pStyle w:val="ListBullet"/>
        <w:numPr>
          <w:ilvl w:val="0"/>
          <w:numId w:val="17"/>
        </w:numPr>
        <w:rPr>
          <w:lang w:eastAsia="en-US" w:bidi="fa-IR"/>
        </w:rPr>
      </w:pPr>
      <w:r>
        <w:rPr>
          <w:lang w:eastAsia="en-US" w:bidi="fa-IR"/>
        </w:rPr>
        <w:t>Based on the findings of Carnemolla and Bridge (2019), we assume that an inaccessible home environment:</w:t>
      </w:r>
    </w:p>
    <w:p w:rsidR="007C6A5F" w:rsidRDefault="007C6A5F" w:rsidP="005A6F87">
      <w:pPr>
        <w:pStyle w:val="ListBullet2"/>
        <w:numPr>
          <w:ilvl w:val="1"/>
          <w:numId w:val="17"/>
        </w:numPr>
        <w:ind w:left="568" w:hanging="284"/>
        <w:rPr>
          <w:lang w:eastAsia="en-US" w:bidi="fa-IR"/>
        </w:rPr>
      </w:pPr>
      <w:r>
        <w:rPr>
          <w:lang w:eastAsia="en-US" w:bidi="fa-IR"/>
        </w:rPr>
        <w:t>increases the amount of informal assistance/care received by 5.98 hours per week (310 hours per year) compared to an accessible environment</w:t>
      </w:r>
    </w:p>
    <w:p w:rsidR="007C6A5F" w:rsidRDefault="007C6A5F" w:rsidP="005A6F87">
      <w:pPr>
        <w:pStyle w:val="ListBullet2"/>
        <w:numPr>
          <w:ilvl w:val="1"/>
          <w:numId w:val="17"/>
        </w:numPr>
        <w:ind w:left="568" w:hanging="284"/>
        <w:rPr>
          <w:lang w:eastAsia="en-US" w:bidi="fa-IR"/>
        </w:rPr>
      </w:pPr>
      <w:r>
        <w:rPr>
          <w:lang w:eastAsia="en-US" w:bidi="fa-IR"/>
        </w:rPr>
        <w:t>increases the amount of formal assistance/care received by 0.36 hours per week (18.72 hours per year) compared to an accessible environment.</w:t>
      </w:r>
    </w:p>
    <w:p w:rsidR="007C6A5F" w:rsidRDefault="007C6A5F" w:rsidP="005A6F87">
      <w:pPr>
        <w:pStyle w:val="ListBullet"/>
        <w:numPr>
          <w:ilvl w:val="0"/>
          <w:numId w:val="17"/>
        </w:numPr>
        <w:rPr>
          <w:lang w:eastAsia="en-US" w:bidi="fa-IR"/>
        </w:rPr>
      </w:pPr>
      <w:r w:rsidRPr="006D311C">
        <w:rPr>
          <w:lang w:eastAsia="en-US" w:bidi="fa-IR"/>
        </w:rPr>
        <w:t>The o</w:t>
      </w:r>
      <w:r w:rsidRPr="006A3420">
        <w:rPr>
          <w:lang w:eastAsia="en-US" w:bidi="fa-IR"/>
        </w:rPr>
        <w:t>pportunity</w:t>
      </w:r>
      <w:r>
        <w:rPr>
          <w:lang w:eastAsia="en-US" w:bidi="fa-IR"/>
        </w:rPr>
        <w:t xml:space="preserve"> cost of carer’s time is valued as follows.</w:t>
      </w:r>
    </w:p>
    <w:p w:rsidR="007C6A5F" w:rsidRDefault="007C6A5F" w:rsidP="005A6F87">
      <w:pPr>
        <w:pStyle w:val="ListBullet2"/>
        <w:numPr>
          <w:ilvl w:val="1"/>
          <w:numId w:val="17"/>
        </w:numPr>
        <w:ind w:left="568" w:hanging="284"/>
        <w:rPr>
          <w:lang w:bidi="fa-IR"/>
        </w:rPr>
      </w:pPr>
      <w:r>
        <w:rPr>
          <w:lang w:bidi="fa-IR"/>
        </w:rPr>
        <w:t xml:space="preserve">Informal care is valued at the minimum wage in Australia of $19.49 per hour. </w:t>
      </w:r>
      <w:r>
        <w:t>This is consistent with other studies in the literature.</w:t>
      </w:r>
      <w:r>
        <w:rPr>
          <w:rStyle w:val="FootnoteReference"/>
        </w:rPr>
        <w:footnoteReference w:id="33"/>
      </w:r>
    </w:p>
    <w:p w:rsidR="007C6A5F" w:rsidRPr="006A3420" w:rsidRDefault="007C6A5F" w:rsidP="005A6F87">
      <w:pPr>
        <w:pStyle w:val="ListBullet2"/>
        <w:numPr>
          <w:ilvl w:val="1"/>
          <w:numId w:val="17"/>
        </w:numPr>
        <w:ind w:left="568" w:hanging="284"/>
        <w:rPr>
          <w:lang w:bidi="fa-IR"/>
        </w:rPr>
      </w:pPr>
      <w:r w:rsidRPr="006A3420">
        <w:rPr>
          <w:lang w:bidi="fa-IR"/>
        </w:rPr>
        <w:t>Formal care is valued at $65 per hour, broadly based on NDIS rates.</w:t>
      </w:r>
    </w:p>
    <w:p w:rsidR="007C6A5F" w:rsidRPr="006A3420" w:rsidRDefault="007C6A5F" w:rsidP="005A6F87">
      <w:pPr>
        <w:pStyle w:val="ListBullet"/>
        <w:numPr>
          <w:ilvl w:val="0"/>
          <w:numId w:val="17"/>
        </w:numPr>
        <w:rPr>
          <w:lang w:eastAsia="en-US" w:bidi="fa-IR"/>
        </w:rPr>
      </w:pPr>
      <w:r w:rsidRPr="006A3420">
        <w:rPr>
          <w:lang w:eastAsia="en-US" w:bidi="fa-IR"/>
        </w:rPr>
        <w:t>Our estimate of the number of people that are likely to be receiving additional assistance/care as a result of living in a dwelling that does not meet their accessibility needs</w:t>
      </w:r>
      <w:r>
        <w:rPr>
          <w:lang w:eastAsia="en-US" w:bidi="fa-IR"/>
        </w:rPr>
        <w:t xml:space="preserve"> is based on SDAC 2018 data. </w:t>
      </w:r>
    </w:p>
    <w:p w:rsidR="007C6A5F" w:rsidRDefault="007C6A5F" w:rsidP="007C6A5F">
      <w:pPr>
        <w:pStyle w:val="BodyText"/>
        <w:rPr>
          <w:lang w:eastAsia="en-US" w:bidi="fa-IR"/>
        </w:rPr>
      </w:pPr>
      <w:r>
        <w:rPr>
          <w:lang w:bidi="fa-IR"/>
        </w:rPr>
        <w:t xml:space="preserve">Further details of </w:t>
      </w:r>
      <w:r>
        <w:rPr>
          <w:lang w:eastAsia="en-US" w:bidi="fa-IR"/>
        </w:rPr>
        <w:t>our approach to estimating the additional costs of the assistance provided to people with mobility limitations living in housing that does not meet their accessibility needs is provided in appendix B.</w:t>
      </w:r>
    </w:p>
    <w:p w:rsidR="007C6A5F" w:rsidRDefault="007C6A5F" w:rsidP="007C6A5F">
      <w:pPr>
        <w:pStyle w:val="BodyText"/>
        <w:rPr>
          <w:lang w:eastAsia="en-US" w:bidi="fa-IR"/>
        </w:rPr>
      </w:pPr>
      <w:r>
        <w:rPr>
          <w:lang w:eastAsia="en-US" w:bidi="fa-IR"/>
        </w:rPr>
        <w:lastRenderedPageBreak/>
        <w:t xml:space="preserve">Note that these estimates </w:t>
      </w:r>
      <w:r w:rsidRPr="007461B7">
        <w:rPr>
          <w:lang w:eastAsia="en-US" w:bidi="fa-IR"/>
        </w:rPr>
        <w:t xml:space="preserve">include only the opportunity cost of the carer’s time. </w:t>
      </w:r>
      <w:r>
        <w:rPr>
          <w:lang w:eastAsia="en-US" w:bidi="fa-IR"/>
        </w:rPr>
        <w:t>We have not been able to quantify the</w:t>
      </w:r>
      <w:r w:rsidRPr="007461B7">
        <w:rPr>
          <w:lang w:eastAsia="en-US" w:bidi="fa-IR"/>
        </w:rPr>
        <w:t xml:space="preserve"> following associated costs </w:t>
      </w:r>
      <w:r>
        <w:rPr>
          <w:lang w:eastAsia="en-US" w:bidi="fa-IR"/>
        </w:rPr>
        <w:t>based on available information</w:t>
      </w:r>
      <w:r w:rsidRPr="007461B7">
        <w:rPr>
          <w:lang w:eastAsia="en-US" w:bidi="fa-IR"/>
        </w:rPr>
        <w:t>.</w:t>
      </w:r>
    </w:p>
    <w:p w:rsidR="007C6A5F" w:rsidRDefault="007C6A5F" w:rsidP="005A6F87">
      <w:pPr>
        <w:pStyle w:val="ListBullet"/>
        <w:numPr>
          <w:ilvl w:val="0"/>
          <w:numId w:val="17"/>
        </w:numPr>
        <w:rPr>
          <w:lang w:eastAsia="en-US" w:bidi="fa-IR"/>
        </w:rPr>
      </w:pPr>
      <w:r>
        <w:rPr>
          <w:lang w:eastAsia="en-US" w:bidi="fa-IR"/>
        </w:rPr>
        <w:t>Any costs associated with injuries to carers — the costs associated with injuries to formal carers are at least partly covered as we used the NDIS rates for formal carers as the basis for cost estimates which would include workers’ compensation insurance, reflecting the risk/probability of getting injured during work. Although there is evidence to suggest that carers (particularly informal carers) frequently acquire injuries in providing care to people with a disability, we did not find any empirical studies that explicitly links carer injuries to inaccessible housing that would enable us to quantify these costs.</w:t>
      </w:r>
      <w:r>
        <w:rPr>
          <w:rStyle w:val="FootnoteReference"/>
          <w:lang w:eastAsia="en-US" w:bidi="fa-IR"/>
        </w:rPr>
        <w:footnoteReference w:id="34"/>
      </w:r>
    </w:p>
    <w:p w:rsidR="007C6A5F" w:rsidRDefault="007C6A5F" w:rsidP="005A6F87">
      <w:pPr>
        <w:pStyle w:val="ListBullet"/>
        <w:numPr>
          <w:ilvl w:val="0"/>
          <w:numId w:val="17"/>
        </w:numPr>
        <w:rPr>
          <w:lang w:eastAsia="en-US" w:bidi="fa-IR"/>
        </w:rPr>
      </w:pPr>
      <w:r>
        <w:rPr>
          <w:lang w:eastAsia="en-US" w:bidi="fa-IR"/>
        </w:rPr>
        <w:t>Any loss of dignity associated with a loss of independence and the need to rely on others to carry out household tasks.</w:t>
      </w:r>
    </w:p>
    <w:p w:rsidR="007C6A5F" w:rsidRDefault="007C6A5F" w:rsidP="007C6A5F">
      <w:pPr>
        <w:pStyle w:val="Heading3"/>
        <w:numPr>
          <w:ilvl w:val="2"/>
          <w:numId w:val="5"/>
        </w:numPr>
        <w:spacing w:before="360"/>
        <w:rPr>
          <w:lang w:bidi="fa-IR"/>
        </w:rPr>
      </w:pPr>
      <w:r>
        <w:rPr>
          <w:lang w:bidi="fa-IR"/>
        </w:rPr>
        <w:t>Home modifications</w:t>
      </w:r>
    </w:p>
    <w:p w:rsidR="007C6A5F" w:rsidRDefault="007C6A5F" w:rsidP="007C6A5F">
      <w:pPr>
        <w:pStyle w:val="BodyText"/>
        <w:rPr>
          <w:lang w:bidi="fa-IR"/>
        </w:rPr>
      </w:pPr>
      <w:r>
        <w:rPr>
          <w:lang w:bidi="fa-IR"/>
        </w:rPr>
        <w:t>As noted above, around 16 per cent people with a mobility</w:t>
      </w:r>
      <w:r w:rsidR="00E620E5">
        <w:rPr>
          <w:lang w:bidi="fa-IR"/>
        </w:rPr>
        <w:noBreakHyphen/>
        <w:t xml:space="preserve">related disability </w:t>
      </w:r>
      <w:r>
        <w:rPr>
          <w:lang w:bidi="fa-IR"/>
        </w:rPr>
        <w:t>were residing in dwellings that have been modified as a result of their condition or age, including around 25 per cent of people with a profound or severe mobility</w:t>
      </w:r>
      <w:r w:rsidR="00E620E5">
        <w:rPr>
          <w:lang w:bidi="fa-IR"/>
        </w:rPr>
        <w:noBreakHyphen/>
        <w:t>related disability</w:t>
      </w:r>
      <w:r>
        <w:rPr>
          <w:lang w:bidi="fa-IR"/>
        </w:rPr>
        <w:t>.</w:t>
      </w:r>
    </w:p>
    <w:p w:rsidR="007C6A5F" w:rsidRDefault="007C6A5F" w:rsidP="007C6A5F">
      <w:pPr>
        <w:pStyle w:val="BodyText"/>
        <w:ind w:right="-427"/>
        <w:rPr>
          <w:lang w:bidi="fa-IR"/>
        </w:rPr>
      </w:pPr>
      <w:r>
        <w:rPr>
          <w:lang w:bidi="fa-IR"/>
        </w:rPr>
        <w:t>Although the evidence suggests that home modifications can improve accessibility and lead to better safety outcomes and fewer care needs (see above), it is not always an optimal outcome.</w:t>
      </w:r>
    </w:p>
    <w:p w:rsidR="007C6A5F" w:rsidRPr="00257144" w:rsidRDefault="007C6A5F" w:rsidP="005A6F87">
      <w:pPr>
        <w:pStyle w:val="ListBullet"/>
        <w:numPr>
          <w:ilvl w:val="0"/>
          <w:numId w:val="17"/>
        </w:numPr>
        <w:ind w:right="-427"/>
        <w:rPr>
          <w:lang w:bidi="fa-IR"/>
        </w:rPr>
      </w:pPr>
      <w:r w:rsidRPr="00547531">
        <w:rPr>
          <w:b/>
          <w:bCs/>
          <w:lang w:bidi="fa-IR"/>
        </w:rPr>
        <w:t>The cost of modifications can be high</w:t>
      </w:r>
      <w:r>
        <w:rPr>
          <w:lang w:bidi="fa-IR"/>
        </w:rPr>
        <w:t xml:space="preserve"> — o</w:t>
      </w:r>
      <w:r w:rsidRPr="00257144">
        <w:rPr>
          <w:lang w:bidi="fa-IR"/>
        </w:rPr>
        <w:t xml:space="preserve">f the homes that are modified, the data available to us imply </w:t>
      </w:r>
      <w:r w:rsidRPr="007461B7">
        <w:rPr>
          <w:lang w:bidi="fa-IR"/>
        </w:rPr>
        <w:t>that up to a third require modifications that are relatively substantial</w:t>
      </w:r>
      <w:r w:rsidRPr="00257144">
        <w:rPr>
          <w:lang w:bidi="fa-IR"/>
        </w:rPr>
        <w:t xml:space="preserve"> (including full bathroom renovations and/or structural renovations), while two thirds of homes only require minor modifications like grabrails.</w:t>
      </w:r>
      <w:r w:rsidRPr="00257144">
        <w:rPr>
          <w:rStyle w:val="FootnoteReference"/>
          <w:lang w:bidi="fa-IR"/>
        </w:rPr>
        <w:footnoteReference w:id="35"/>
      </w:r>
      <w:r>
        <w:rPr>
          <w:lang w:bidi="fa-IR"/>
        </w:rPr>
        <w:t xml:space="preserve"> </w:t>
      </w:r>
      <w:r w:rsidRPr="00257144">
        <w:rPr>
          <w:lang w:bidi="fa-IR"/>
        </w:rPr>
        <w:t>Homes that are designed to be consistent with universal design principle</w:t>
      </w:r>
      <w:r>
        <w:rPr>
          <w:lang w:bidi="fa-IR"/>
        </w:rPr>
        <w:t>s</w:t>
      </w:r>
      <w:r w:rsidRPr="00257144">
        <w:rPr>
          <w:lang w:bidi="fa-IR"/>
        </w:rPr>
        <w:t xml:space="preserve">, would already have accessible bathrooms, ramps, wider doorways, etc. This implies that </w:t>
      </w:r>
      <w:r w:rsidR="00E620E5">
        <w:rPr>
          <w:lang w:bidi="fa-IR"/>
        </w:rPr>
        <w:t>only</w:t>
      </w:r>
      <w:r w:rsidRPr="00257144">
        <w:rPr>
          <w:lang w:bidi="fa-IR"/>
        </w:rPr>
        <w:t xml:space="preserve"> minor modifications</w:t>
      </w:r>
      <w:r w:rsidR="00E620E5">
        <w:rPr>
          <w:lang w:bidi="fa-IR"/>
        </w:rPr>
        <w:t xml:space="preserve"> would be required</w:t>
      </w:r>
      <w:r w:rsidRPr="00257144">
        <w:rPr>
          <w:lang w:bidi="fa-IR"/>
        </w:rPr>
        <w:t xml:space="preserve">. </w:t>
      </w:r>
    </w:p>
    <w:p w:rsidR="007C6A5F" w:rsidRDefault="007C6A5F" w:rsidP="005A6F87">
      <w:pPr>
        <w:pStyle w:val="ListBullet"/>
        <w:numPr>
          <w:ilvl w:val="0"/>
          <w:numId w:val="17"/>
        </w:numPr>
        <w:ind w:right="-427"/>
        <w:rPr>
          <w:lang w:bidi="fa-IR"/>
        </w:rPr>
      </w:pPr>
      <w:r w:rsidRPr="00547531">
        <w:rPr>
          <w:b/>
          <w:bCs/>
          <w:lang w:bidi="fa-IR"/>
        </w:rPr>
        <w:t>Some modifications take time</w:t>
      </w:r>
      <w:r>
        <w:rPr>
          <w:lang w:bidi="fa-IR"/>
        </w:rPr>
        <w:t xml:space="preserve"> — f</w:t>
      </w:r>
      <w:r w:rsidRPr="00257144">
        <w:rPr>
          <w:lang w:bidi="fa-IR"/>
        </w:rPr>
        <w:t>or the third of homes that require substantial modifications, these modifications take up to 3 months to complete.</w:t>
      </w:r>
      <w:r w:rsidRPr="00257144">
        <w:rPr>
          <w:rStyle w:val="FootnoteReference"/>
          <w:lang w:bidi="fa-IR"/>
        </w:rPr>
        <w:footnoteReference w:id="36"/>
      </w:r>
      <w:r w:rsidRPr="00257144">
        <w:rPr>
          <w:lang w:bidi="fa-IR"/>
        </w:rPr>
        <w:t xml:space="preserve"> However, if </w:t>
      </w:r>
      <w:r>
        <w:rPr>
          <w:lang w:bidi="fa-IR"/>
        </w:rPr>
        <w:t>the dwelling design incorporated universal design principles,</w:t>
      </w:r>
      <w:r w:rsidRPr="00257144">
        <w:rPr>
          <w:lang w:bidi="fa-IR"/>
        </w:rPr>
        <w:t xml:space="preserve"> this delay in the modifications should </w:t>
      </w:r>
      <w:r>
        <w:rPr>
          <w:lang w:bidi="fa-IR"/>
        </w:rPr>
        <w:t>reduce significantly</w:t>
      </w:r>
      <w:r w:rsidRPr="00257144">
        <w:rPr>
          <w:lang w:bidi="fa-IR"/>
        </w:rPr>
        <w:t xml:space="preserve"> (because only minor modifications are required).</w:t>
      </w:r>
    </w:p>
    <w:p w:rsidR="007C6A5F" w:rsidRDefault="007C6A5F" w:rsidP="007C6A5F">
      <w:pPr>
        <w:pStyle w:val="BodyText"/>
      </w:pPr>
      <w:r>
        <w:lastRenderedPageBreak/>
        <w:t>Furthermore, accessibility needs cannot always be met through home modifications. Related to the high cost of some home modifications, some homes cannot practically be modified to meet accessibility needs within a reasonable budget.</w:t>
      </w:r>
    </w:p>
    <w:p w:rsidR="007C6A5F" w:rsidRPr="00212C18" w:rsidRDefault="007C6A5F" w:rsidP="007C6A5F">
      <w:pPr>
        <w:pStyle w:val="BodyText"/>
        <w:rPr>
          <w:lang w:bidi="fa-IR"/>
        </w:rPr>
      </w:pPr>
      <w:r w:rsidRPr="00212C18">
        <w:rPr>
          <w:lang w:bidi="fa-IR"/>
        </w:rPr>
        <w:t>AHURI has published the results of a survey on whether people though they would be able to afford future modifications to make their home accessible/liveable (table </w:t>
      </w:r>
      <w:r w:rsidRPr="00212C18">
        <w:rPr>
          <w:lang w:bidi="fa-IR"/>
        </w:rPr>
        <w:fldChar w:fldCharType="begin"/>
      </w:r>
      <w:r w:rsidRPr="00212C18">
        <w:rPr>
          <w:lang w:bidi="fa-IR"/>
        </w:rPr>
        <w:instrText xml:space="preserve"> REF _Caption5145 </w:instrText>
      </w:r>
      <w:r>
        <w:rPr>
          <w:lang w:bidi="fa-IR"/>
        </w:rPr>
        <w:instrText xml:space="preserve"> \* MERGEFORMAT </w:instrText>
      </w:r>
      <w:r w:rsidRPr="00212C18">
        <w:rPr>
          <w:lang w:bidi="fa-IR"/>
        </w:rPr>
        <w:fldChar w:fldCharType="separate"/>
      </w:r>
      <w:r>
        <w:rPr>
          <w:noProof/>
        </w:rPr>
        <w:t>2</w:t>
      </w:r>
      <w:r w:rsidRPr="00212C18">
        <w:rPr>
          <w:noProof/>
        </w:rPr>
        <w:t>.</w:t>
      </w:r>
      <w:r>
        <w:rPr>
          <w:noProof/>
        </w:rPr>
        <w:t>22</w:t>
      </w:r>
      <w:r w:rsidRPr="00212C18">
        <w:rPr>
          <w:lang w:bidi="fa-IR"/>
        </w:rPr>
        <w:fldChar w:fldCharType="end"/>
      </w:r>
      <w:r w:rsidRPr="00212C18">
        <w:rPr>
          <w:lang w:bidi="fa-IR"/>
        </w:rPr>
        <w:t xml:space="preserve">). This survey suggested that only 10 per cent expected not to be able to afford future modifications. </w:t>
      </w:r>
      <w:r w:rsidRPr="00D130F6">
        <w:rPr>
          <w:lang w:bidi="fa-IR"/>
        </w:rPr>
        <w:t>That said, around 35 per cent were unsure, suggesting an upper bound of around 45 per cent of homes expect not to be able to afford future home modifications.</w:t>
      </w:r>
    </w:p>
    <w:p w:rsidR="007C6A5F" w:rsidRPr="00212C18" w:rsidRDefault="007C6A5F" w:rsidP="007C6A5F">
      <w:pPr>
        <w:pStyle w:val="BodyText"/>
        <w:rPr>
          <w:lang w:bidi="fa-IR"/>
        </w:rPr>
      </w:pPr>
      <w:r w:rsidRPr="00212C18">
        <w:rPr>
          <w:lang w:bidi="fa-IR"/>
        </w:rPr>
        <w:t xml:space="preserve">In responding to the survey, it is not clear whether respondents were aware of the government assistance available for home modifications. </w:t>
      </w:r>
      <w:r w:rsidRPr="00D130F6">
        <w:rPr>
          <w:lang w:bidi="fa-IR"/>
        </w:rPr>
        <w:t>Furthermore, many respondents may not be aware of what making a home accessible entails and therefore the associated cost.</w:t>
      </w:r>
    </w:p>
    <w:p w:rsidR="007C6A5F" w:rsidRPr="00212C18" w:rsidRDefault="007C6A5F" w:rsidP="007C6A5F">
      <w:pPr>
        <w:pStyle w:val="Caption"/>
        <w:ind w:left="568" w:hanging="568"/>
      </w:pPr>
      <w:r w:rsidRPr="00212C18">
        <w:fldChar w:fldCharType="begin"/>
      </w:r>
      <w:r w:rsidRPr="00212C18">
        <w:instrText xml:space="preserve"> IF 1 = 1 "</w:instrText>
      </w:r>
      <w:r w:rsidRPr="00212C18">
        <w:fldChar w:fldCharType="begin"/>
      </w:r>
      <w:r w:rsidRPr="00212C18">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212C18">
        <w:instrText xml:space="preserve"> = 0 "</w:instrText>
      </w:r>
      <w:r w:rsidRPr="00212C18">
        <w:fldChar w:fldCharType="begin"/>
      </w:r>
      <w:r w:rsidRPr="00212C18">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212C18">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212C18">
        <w:instrText xml:space="preserve">." </w:instrText>
      </w:r>
      <w:r w:rsidRPr="00212C18">
        <w:fldChar w:fldCharType="separate"/>
      </w:r>
      <w:r>
        <w:rPr>
          <w:noProof/>
        </w:rPr>
        <w:instrText>2</w:instrText>
      </w:r>
      <w:r w:rsidRPr="00212C18">
        <w:rPr>
          <w:noProof/>
        </w:rPr>
        <w:instrText>.</w:instrText>
      </w:r>
      <w:r w:rsidRPr="00212C18">
        <w:fldChar w:fldCharType="end"/>
      </w:r>
      <w:r w:rsidRPr="00212C18">
        <w:instrText>" "</w:instrText>
      </w:r>
      <w:r w:rsidR="00F56BFF">
        <w:fldChar w:fldCharType="begin"/>
      </w:r>
      <w:r w:rsidR="00F56BFF">
        <w:instrText xml:space="preserve"> STYLEREF "Heading 6" \</w:instrText>
      </w:r>
      <w:r w:rsidR="00F56BFF">
        <w:instrText xml:space="preserve">l \n </w:instrText>
      </w:r>
      <w:r w:rsidR="00F56BFF">
        <w:fldChar w:fldCharType="separate"/>
      </w:r>
      <w:r w:rsidRPr="00212C18">
        <w:instrText>B</w:instrText>
      </w:r>
      <w:r w:rsidR="00F56BFF">
        <w:fldChar w:fldCharType="end"/>
      </w:r>
      <w:r w:rsidRPr="00212C18">
        <w:instrText xml:space="preserve">." </w:instrText>
      </w:r>
      <w:r w:rsidRPr="00212C18">
        <w:fldChar w:fldCharType="separate"/>
      </w:r>
      <w:r w:rsidR="00272AF3">
        <w:rPr>
          <w:noProof/>
        </w:rPr>
        <w:instrText>2</w:instrText>
      </w:r>
      <w:r w:rsidR="00272AF3" w:rsidRPr="00212C18">
        <w:rPr>
          <w:noProof/>
        </w:rPr>
        <w:instrText>.</w:instrText>
      </w:r>
      <w:r w:rsidRPr="00212C18">
        <w:fldChar w:fldCharType="end"/>
      </w:r>
      <w:r w:rsidRPr="00212C18">
        <w:fldChar w:fldCharType="begin"/>
      </w:r>
      <w:r w:rsidRPr="00212C18">
        <w:instrText xml:space="preserve"> SEQ Item \* ARABIC \s </w:instrText>
      </w:r>
      <w:r w:rsidRPr="00212C18">
        <w:fldChar w:fldCharType="begin"/>
      </w:r>
      <w:r w:rsidRPr="00212C18">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212C18">
        <w:instrText xml:space="preserve"> = 0 "</w:instrText>
      </w:r>
      <w:r w:rsidRPr="00212C18">
        <w:fldChar w:fldCharType="begin"/>
      </w:r>
      <w:r w:rsidRPr="00212C18">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212C18">
        <w:instrText xml:space="preserve"> = 0 "" "1" </w:instrText>
      </w:r>
      <w:r w:rsidRPr="00212C18">
        <w:fldChar w:fldCharType="separate"/>
      </w:r>
      <w:r w:rsidR="00272AF3" w:rsidRPr="00212C18">
        <w:rPr>
          <w:noProof/>
        </w:rPr>
        <w:instrText>1</w:instrText>
      </w:r>
      <w:r w:rsidRPr="00212C18">
        <w:fldChar w:fldCharType="end"/>
      </w:r>
      <w:r w:rsidRPr="00212C18">
        <w:instrText xml:space="preserve">" "6" </w:instrText>
      </w:r>
      <w:r w:rsidRPr="00212C18">
        <w:fldChar w:fldCharType="separate"/>
      </w:r>
      <w:r w:rsidR="00272AF3" w:rsidRPr="00212C18">
        <w:rPr>
          <w:noProof/>
        </w:rPr>
        <w:instrText>1</w:instrText>
      </w:r>
      <w:r w:rsidRPr="00212C18">
        <w:fldChar w:fldCharType="end"/>
      </w:r>
      <w:r w:rsidRPr="00212C18">
        <w:instrText xml:space="preserve"> </w:instrText>
      </w:r>
      <w:r w:rsidRPr="00212C18">
        <w:fldChar w:fldCharType="separate"/>
      </w:r>
      <w:r>
        <w:rPr>
          <w:noProof/>
        </w:rPr>
        <w:instrText>22</w:instrText>
      </w:r>
      <w:r w:rsidRPr="00212C18">
        <w:fldChar w:fldCharType="end"/>
      </w:r>
      <w:r w:rsidRPr="00212C18">
        <w:instrText xml:space="preserve">" "" </w:instrText>
      </w:r>
      <w:r w:rsidRPr="00212C18">
        <w:fldChar w:fldCharType="separate"/>
      </w:r>
      <w:bookmarkStart w:id="2851" w:name="_Caption3616"/>
      <w:bookmarkStart w:id="2852" w:name="_Caption4638"/>
      <w:bookmarkStart w:id="2853" w:name="_Caption0674"/>
      <w:bookmarkStart w:id="2854" w:name="_Caption7654"/>
      <w:bookmarkStart w:id="2855" w:name="_Caption2051"/>
      <w:bookmarkStart w:id="2856" w:name="_Caption1188"/>
      <w:bookmarkStart w:id="2857" w:name="_Caption6645"/>
      <w:bookmarkStart w:id="2858" w:name="_Caption7331"/>
      <w:bookmarkStart w:id="2859" w:name="_Caption8686"/>
      <w:bookmarkStart w:id="2860" w:name="_Caption2857"/>
      <w:bookmarkStart w:id="2861" w:name="_Caption2667"/>
      <w:bookmarkStart w:id="2862" w:name="_Caption2775"/>
      <w:bookmarkStart w:id="2863" w:name="_Caption4448"/>
      <w:bookmarkStart w:id="2864" w:name="_Caption2298"/>
      <w:bookmarkStart w:id="2865" w:name="_Caption7697"/>
      <w:bookmarkStart w:id="2866" w:name="_Caption9394"/>
      <w:bookmarkStart w:id="2867" w:name="_Caption9136"/>
      <w:bookmarkStart w:id="2868" w:name="_Caption6480"/>
      <w:bookmarkStart w:id="2869" w:name="_Caption7878"/>
      <w:bookmarkStart w:id="2870" w:name="_Caption3655"/>
      <w:bookmarkStart w:id="2871" w:name="_Caption9234"/>
      <w:bookmarkStart w:id="2872" w:name="_Caption6801"/>
      <w:bookmarkStart w:id="2873" w:name="_Caption2130"/>
      <w:bookmarkStart w:id="2874" w:name="_Caption3155"/>
      <w:bookmarkStart w:id="2875" w:name="_Caption2077"/>
      <w:bookmarkStart w:id="2876" w:name="_Caption4611"/>
      <w:bookmarkStart w:id="2877" w:name="_Caption0901"/>
      <w:bookmarkStart w:id="2878" w:name="_Caption9668"/>
      <w:bookmarkStart w:id="2879" w:name="_Caption6420"/>
      <w:bookmarkStart w:id="2880" w:name="_Caption7250"/>
      <w:bookmarkStart w:id="2881" w:name="_Caption2921"/>
      <w:bookmarkStart w:id="2882" w:name="_Caption1698"/>
      <w:bookmarkStart w:id="2883" w:name="_Caption8012"/>
      <w:bookmarkStart w:id="2884" w:name="_Caption8910"/>
      <w:bookmarkStart w:id="2885" w:name="_Caption7228"/>
      <w:bookmarkStart w:id="2886" w:name="_Caption2386"/>
      <w:bookmarkStart w:id="2887" w:name="_Caption3946"/>
      <w:bookmarkStart w:id="2888" w:name="_Caption0273"/>
      <w:bookmarkStart w:id="2889" w:name="_Caption4273"/>
      <w:bookmarkStart w:id="2890" w:name="_Caption5770"/>
      <w:bookmarkStart w:id="2891" w:name="_Caption9820"/>
      <w:bookmarkStart w:id="2892" w:name="_Caption7426"/>
      <w:bookmarkStart w:id="2893" w:name="_Caption7661"/>
      <w:bookmarkStart w:id="2894" w:name="_Caption8651"/>
      <w:bookmarkStart w:id="2895" w:name="_Caption5346"/>
      <w:bookmarkStart w:id="2896" w:name="_Caption3528"/>
      <w:bookmarkStart w:id="2897" w:name="_Caption9936"/>
      <w:bookmarkStart w:id="2898" w:name="_Caption4451"/>
      <w:bookmarkStart w:id="2899" w:name="_Caption9388"/>
      <w:bookmarkStart w:id="2900" w:name="_Caption9328"/>
      <w:bookmarkStart w:id="2901" w:name="_Caption5145"/>
      <w:bookmarkStart w:id="2902" w:name="_Caption6151"/>
      <w:bookmarkStart w:id="2903" w:name="_Caption3270"/>
      <w:bookmarkStart w:id="2904" w:name="_Caption3606"/>
      <w:bookmarkStart w:id="2905" w:name="_Caption0545"/>
      <w:bookmarkStart w:id="2906" w:name="_Caption8282"/>
      <w:bookmarkStart w:id="2907" w:name="_Caption2121"/>
      <w:bookmarkStart w:id="2908" w:name="_Caption9825"/>
      <w:bookmarkStart w:id="2909" w:name="_Caption0149"/>
      <w:bookmarkStart w:id="2910" w:name="_Caption8809"/>
      <w:bookmarkStart w:id="2911" w:name="_Caption2265"/>
      <w:bookmarkStart w:id="2912" w:name="_Caption7620"/>
      <w:bookmarkStart w:id="2913" w:name="_Caption2862"/>
      <w:bookmarkStart w:id="2914" w:name="_Caption0506"/>
      <w:bookmarkStart w:id="2915" w:name="_Caption1028"/>
      <w:bookmarkStart w:id="2916" w:name="_Caption6889"/>
      <w:bookmarkStart w:id="2917" w:name="_Caption5355"/>
      <w:bookmarkStart w:id="2918" w:name="_Caption8865"/>
      <w:bookmarkStart w:id="2919" w:name="_Caption5501"/>
      <w:bookmarkStart w:id="2920" w:name="_Caption3638"/>
      <w:bookmarkStart w:id="2921" w:name="_Caption5266"/>
      <w:bookmarkStart w:id="2922" w:name="_Caption2474"/>
      <w:bookmarkStart w:id="2923" w:name="_Caption6543"/>
      <w:bookmarkStart w:id="2924" w:name="_Caption3201"/>
      <w:bookmarkStart w:id="2925" w:name="_Caption5019"/>
      <w:bookmarkStart w:id="2926" w:name="_Caption9677"/>
      <w:bookmarkStart w:id="2927" w:name="_Caption5650"/>
      <w:bookmarkStart w:id="2928" w:name="_Caption6169"/>
      <w:bookmarkStart w:id="2929" w:name="_Caption5205"/>
      <w:bookmarkStart w:id="2930" w:name="_Caption2344"/>
      <w:bookmarkStart w:id="2931" w:name="_Caption5852"/>
      <w:bookmarkStart w:id="2932" w:name="_Caption7974"/>
      <w:bookmarkStart w:id="2933" w:name="_Caption5975"/>
      <w:bookmarkStart w:id="2934" w:name="_Caption8799"/>
      <w:bookmarkStart w:id="2935" w:name="_Caption7027"/>
      <w:bookmarkStart w:id="2936" w:name="_Caption7590"/>
      <w:bookmarkStart w:id="2937" w:name="_Caption9318"/>
      <w:bookmarkStart w:id="2938" w:name="_Caption9582"/>
      <w:bookmarkStart w:id="2939" w:name="_Caption5967"/>
      <w:bookmarkStart w:id="2940" w:name="_Caption4029"/>
      <w:bookmarkStart w:id="2941" w:name="_Caption7840"/>
      <w:bookmarkStart w:id="2942" w:name="_Caption1968"/>
      <w:bookmarkStart w:id="2943" w:name="_Caption5817"/>
      <w:bookmarkStart w:id="2944" w:name="_Caption3768"/>
      <w:bookmarkStart w:id="2945" w:name="_Caption1530"/>
      <w:bookmarkStart w:id="2946" w:name="_Caption5936"/>
      <w:bookmarkStart w:id="2947" w:name="_Caption5347"/>
      <w:bookmarkStart w:id="2948" w:name="_Caption1973"/>
      <w:bookmarkStart w:id="2949" w:name="_Caption4416"/>
      <w:bookmarkStart w:id="2950" w:name="_Caption9398"/>
      <w:bookmarkStart w:id="2951" w:name="_Caption9375"/>
      <w:bookmarkStart w:id="2952" w:name="_Caption1079"/>
      <w:bookmarkStart w:id="2953" w:name="_Caption5646"/>
      <w:bookmarkStart w:id="2954" w:name="_Caption4082"/>
      <w:bookmarkStart w:id="2955" w:name="_Caption9984"/>
      <w:bookmarkStart w:id="2956" w:name="_Caption9249"/>
      <w:bookmarkStart w:id="2957" w:name="_Caption8079"/>
      <w:bookmarkStart w:id="2958" w:name="_Caption9940"/>
      <w:bookmarkStart w:id="2959" w:name="_Caption4681"/>
      <w:bookmarkStart w:id="2960" w:name="_Caption2045"/>
      <w:bookmarkStart w:id="2961" w:name="_Caption9821"/>
      <w:bookmarkStart w:id="2962" w:name="_Caption1239"/>
      <w:bookmarkStart w:id="2963" w:name="_Caption0573"/>
      <w:bookmarkStart w:id="2964" w:name="_Caption9564"/>
      <w:bookmarkStart w:id="2965" w:name="_Caption8418"/>
      <w:bookmarkStart w:id="2966" w:name="_Caption4852"/>
      <w:bookmarkStart w:id="2967" w:name="_Caption7616"/>
      <w:bookmarkStart w:id="2968" w:name="_Caption5933"/>
      <w:bookmarkStart w:id="2969" w:name="_Caption9742"/>
      <w:bookmarkStart w:id="2970" w:name="_Caption7689"/>
      <w:bookmarkStart w:id="2971" w:name="_Caption5425"/>
      <w:bookmarkStart w:id="2972" w:name="_Caption8043"/>
      <w:bookmarkStart w:id="2973" w:name="_Caption3522"/>
      <w:bookmarkStart w:id="2974" w:name="_Caption3338"/>
      <w:bookmarkStart w:id="2975" w:name="_Toc32321812"/>
      <w:bookmarkStart w:id="2976" w:name="_Toc44598506"/>
      <w:bookmarkStart w:id="2977" w:name="_Toc45654137"/>
      <w:r w:rsidR="00272AF3">
        <w:rPr>
          <w:noProof/>
        </w:rPr>
        <w:t>2</w:t>
      </w:r>
      <w:r w:rsidR="00272AF3" w:rsidRPr="00212C18">
        <w:rPr>
          <w:noProof/>
        </w:rPr>
        <w:t>.</w:t>
      </w:r>
      <w:r w:rsidR="00272AF3">
        <w:rPr>
          <w:noProof/>
        </w:rPr>
        <w:t>22</w:t>
      </w:r>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r w:rsidRPr="00212C18">
        <w:fldChar w:fldCharType="end"/>
      </w:r>
      <w:r w:rsidRPr="00212C18">
        <w:tab/>
        <w:t>Expectations of ability to afford future modifications to make home accessible/liveable</w:t>
      </w:r>
      <w:bookmarkEnd w:id="2975"/>
      <w:bookmarkEnd w:id="2976"/>
      <w:bookmarkEnd w:id="2977"/>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2.22"/>
        <w:tblDescription w:val="Expectations of ability to afford future modifications to make home accessible/liveable"/>
      </w:tblPr>
      <w:tblGrid>
        <w:gridCol w:w="3968"/>
        <w:gridCol w:w="3969"/>
      </w:tblGrid>
      <w:tr w:rsidR="007C6A5F" w:rsidRPr="00212C18" w:rsidTr="0061240C">
        <w:trPr>
          <w:tblHeader/>
        </w:trPr>
        <w:tc>
          <w:tcPr>
            <w:tcW w:w="3968" w:type="dxa"/>
            <w:shd w:val="clear" w:color="auto" w:fill="6F6652" w:themeFill="accent5"/>
          </w:tcPr>
          <w:p w:rsidR="007C6A5F" w:rsidRPr="00212C18" w:rsidRDefault="0061240C" w:rsidP="00C36DA4">
            <w:pPr>
              <w:pStyle w:val="TableDataColumnHeading"/>
              <w:jc w:val="left"/>
              <w:rPr>
                <w:lang w:bidi="fa-IR"/>
              </w:rPr>
            </w:pPr>
            <w:r>
              <w:rPr>
                <w:lang w:bidi="fa-IR"/>
              </w:rPr>
              <w:t>Expectation</w:t>
            </w:r>
          </w:p>
        </w:tc>
        <w:tc>
          <w:tcPr>
            <w:tcW w:w="3969" w:type="dxa"/>
            <w:shd w:val="clear" w:color="auto" w:fill="6F6652" w:themeFill="accent5"/>
          </w:tcPr>
          <w:p w:rsidR="007C6A5F" w:rsidRPr="00212C18" w:rsidRDefault="007C6A5F" w:rsidP="00C36DA4">
            <w:pPr>
              <w:pStyle w:val="TableDataColumnHeading"/>
              <w:rPr>
                <w:lang w:bidi="fa-IR"/>
              </w:rPr>
            </w:pPr>
            <w:r w:rsidRPr="00212C18">
              <w:rPr>
                <w:lang w:bidi="fa-IR"/>
              </w:rPr>
              <w:t>Share</w:t>
            </w:r>
            <w:r w:rsidR="0061240C">
              <w:rPr>
                <w:lang w:bidi="fa-IR"/>
              </w:rPr>
              <w:t xml:space="preserve"> (per cent)</w:t>
            </w:r>
          </w:p>
        </w:tc>
      </w:tr>
      <w:tr w:rsidR="007C6A5F" w:rsidRPr="00212C18" w:rsidTr="005A05FE">
        <w:tc>
          <w:tcPr>
            <w:tcW w:w="3968" w:type="dxa"/>
            <w:tcBorders>
              <w:top w:val="single" w:sz="8" w:space="0" w:color="FFFFFF" w:themeColor="background1"/>
              <w:bottom w:val="single" w:sz="8" w:space="0" w:color="FFFFFF" w:themeColor="background1"/>
            </w:tcBorders>
            <w:shd w:val="clear" w:color="auto" w:fill="E9E8E5" w:themeFill="background2"/>
          </w:tcPr>
          <w:p w:rsidR="007C6A5F" w:rsidRPr="00212C18" w:rsidRDefault="007C6A5F" w:rsidP="00C36DA4">
            <w:pPr>
              <w:pStyle w:val="TableDataEntries"/>
              <w:jc w:val="left"/>
              <w:rPr>
                <w:lang w:bidi="fa-IR"/>
              </w:rPr>
            </w:pPr>
            <w:r w:rsidRPr="00212C18">
              <w:rPr>
                <w:lang w:bidi="fa-IR"/>
              </w:rPr>
              <w:t>Expect to be able to afford to fund modifications</w:t>
            </w:r>
          </w:p>
        </w:tc>
        <w:tc>
          <w:tcPr>
            <w:tcW w:w="3969" w:type="dxa"/>
            <w:tcBorders>
              <w:top w:val="single" w:sz="8" w:space="0" w:color="FFFFFF" w:themeColor="background1"/>
              <w:bottom w:val="single" w:sz="8" w:space="0" w:color="FFFFFF" w:themeColor="background1"/>
            </w:tcBorders>
            <w:shd w:val="clear" w:color="auto" w:fill="E9E8E5" w:themeFill="background2"/>
          </w:tcPr>
          <w:p w:rsidR="007C6A5F" w:rsidRPr="00212C18" w:rsidRDefault="007C6A5F" w:rsidP="00C36DA4">
            <w:pPr>
              <w:pStyle w:val="TableDataEntries"/>
              <w:rPr>
                <w:lang w:bidi="fa-IR"/>
              </w:rPr>
            </w:pPr>
            <w:r w:rsidRPr="00212C18">
              <w:rPr>
                <w:lang w:bidi="fa-IR"/>
              </w:rPr>
              <w:t>54.2</w:t>
            </w:r>
          </w:p>
        </w:tc>
      </w:tr>
      <w:tr w:rsidR="007C6A5F" w:rsidRPr="00212C18" w:rsidTr="00B5160B">
        <w:tc>
          <w:tcPr>
            <w:tcW w:w="3968" w:type="dxa"/>
            <w:tcBorders>
              <w:top w:val="single" w:sz="8" w:space="0" w:color="FFFFFF" w:themeColor="background1"/>
              <w:bottom w:val="single" w:sz="8" w:space="0" w:color="FFFFFF" w:themeColor="background1"/>
            </w:tcBorders>
            <w:shd w:val="clear" w:color="auto" w:fill="E9E8E5" w:themeFill="background2"/>
          </w:tcPr>
          <w:p w:rsidR="007C6A5F" w:rsidRPr="00212C18" w:rsidRDefault="007C6A5F" w:rsidP="00C36DA4">
            <w:pPr>
              <w:pStyle w:val="TableDataEntries"/>
              <w:jc w:val="left"/>
              <w:rPr>
                <w:lang w:bidi="fa-IR"/>
              </w:rPr>
            </w:pPr>
            <w:r w:rsidRPr="00212C18">
              <w:rPr>
                <w:lang w:bidi="fa-IR"/>
              </w:rPr>
              <w:t>Unsure</w:t>
            </w:r>
          </w:p>
        </w:tc>
        <w:tc>
          <w:tcPr>
            <w:tcW w:w="3969" w:type="dxa"/>
            <w:tcBorders>
              <w:top w:val="single" w:sz="8" w:space="0" w:color="FFFFFF" w:themeColor="background1"/>
              <w:bottom w:val="single" w:sz="8" w:space="0" w:color="FFFFFF" w:themeColor="background1"/>
            </w:tcBorders>
            <w:shd w:val="clear" w:color="auto" w:fill="E9E8E5" w:themeFill="background2"/>
          </w:tcPr>
          <w:p w:rsidR="007C6A5F" w:rsidRPr="00212C18" w:rsidRDefault="007C6A5F" w:rsidP="00C36DA4">
            <w:pPr>
              <w:pStyle w:val="TableDataEntries"/>
              <w:rPr>
                <w:lang w:bidi="fa-IR"/>
              </w:rPr>
            </w:pPr>
            <w:r w:rsidRPr="00212C18">
              <w:rPr>
                <w:lang w:bidi="fa-IR"/>
              </w:rPr>
              <w:t>35.3</w:t>
            </w:r>
          </w:p>
        </w:tc>
      </w:tr>
      <w:tr w:rsidR="007C6A5F" w:rsidRPr="00212C18" w:rsidTr="00B5160B">
        <w:tc>
          <w:tcPr>
            <w:tcW w:w="3968" w:type="dxa"/>
            <w:tcBorders>
              <w:top w:val="single" w:sz="8" w:space="0" w:color="FFFFFF" w:themeColor="background1"/>
              <w:bottom w:val="single" w:sz="4" w:space="0" w:color="6F6652" w:themeColor="accent5"/>
            </w:tcBorders>
            <w:shd w:val="clear" w:color="auto" w:fill="E9E8E5" w:themeFill="background2"/>
          </w:tcPr>
          <w:p w:rsidR="007C6A5F" w:rsidRPr="00212C18" w:rsidRDefault="007C6A5F" w:rsidP="00C36DA4">
            <w:pPr>
              <w:pStyle w:val="TableDataEntries"/>
              <w:jc w:val="left"/>
              <w:rPr>
                <w:lang w:bidi="fa-IR"/>
              </w:rPr>
            </w:pPr>
            <w:r w:rsidRPr="00212C18">
              <w:rPr>
                <w:lang w:bidi="fa-IR"/>
              </w:rPr>
              <w:t>Expect not to be able to afford modifications</w:t>
            </w:r>
          </w:p>
        </w:tc>
        <w:tc>
          <w:tcPr>
            <w:tcW w:w="3969" w:type="dxa"/>
            <w:tcBorders>
              <w:top w:val="single" w:sz="8" w:space="0" w:color="FFFFFF" w:themeColor="background1"/>
              <w:bottom w:val="single" w:sz="4" w:space="0" w:color="6F6652" w:themeColor="accent5"/>
            </w:tcBorders>
            <w:shd w:val="clear" w:color="auto" w:fill="E9E8E5" w:themeFill="background2"/>
          </w:tcPr>
          <w:p w:rsidR="007C6A5F" w:rsidRPr="00212C18" w:rsidRDefault="007C6A5F" w:rsidP="00C36DA4">
            <w:pPr>
              <w:pStyle w:val="TableDataEntries"/>
              <w:rPr>
                <w:lang w:bidi="fa-IR"/>
              </w:rPr>
            </w:pPr>
            <w:r w:rsidRPr="00212C18">
              <w:rPr>
                <w:lang w:bidi="fa-IR"/>
              </w:rPr>
              <w:t>10.5</w:t>
            </w:r>
          </w:p>
        </w:tc>
      </w:tr>
    </w:tbl>
    <w:p w:rsidR="007C6A5F" w:rsidRDefault="007C6A5F" w:rsidP="007C6A5F">
      <w:pPr>
        <w:pStyle w:val="Source"/>
        <w:rPr>
          <w:lang w:bidi="fa-IR"/>
        </w:rPr>
      </w:pPr>
      <w:r w:rsidRPr="00A47589">
        <w:rPr>
          <w:i/>
          <w:lang w:bidi="fa-IR"/>
        </w:rPr>
        <w:t>Source:</w:t>
      </w:r>
      <w:r w:rsidRPr="00A47589">
        <w:rPr>
          <w:lang w:bidi="fa-IR"/>
        </w:rPr>
        <w:t xml:space="preserve"> Judd </w:t>
      </w:r>
      <w:r w:rsidRPr="008164F4">
        <w:rPr>
          <w:i/>
          <w:iCs/>
          <w:lang w:bidi="fa-IR"/>
        </w:rPr>
        <w:t>et al</w:t>
      </w:r>
      <w:r w:rsidRPr="00A47589">
        <w:rPr>
          <w:lang w:bidi="fa-IR"/>
        </w:rPr>
        <w:t xml:space="preserve"> 2010 (for AHURI), pg 142</w:t>
      </w:r>
      <w:r>
        <w:rPr>
          <w:lang w:bidi="fa-IR"/>
        </w:rPr>
        <w:t>.</w:t>
      </w:r>
    </w:p>
    <w:p w:rsidR="007C6A5F" w:rsidRDefault="007C6A5F" w:rsidP="007C6A5F">
      <w:pPr>
        <w:pStyle w:val="BodyText"/>
        <w:rPr>
          <w:lang w:eastAsia="en-US" w:bidi="fa-IR"/>
        </w:rPr>
      </w:pPr>
      <w:r>
        <w:rPr>
          <w:lang w:eastAsia="en-US" w:bidi="fa-IR"/>
        </w:rPr>
        <w:t>On the other hand, not all home modification costs can be avoided through designing dwellings that are consistent with universal design principles. Modifications such as the installation of grab rails, home automation and telemonitoring systems may still be required for people who acquire a disability while living in a dwelling that complies with LHDG standards.</w:t>
      </w:r>
    </w:p>
    <w:p w:rsidR="007C6A5F" w:rsidRDefault="007C6A5F" w:rsidP="007C6A5F">
      <w:pPr>
        <w:pStyle w:val="BodyText"/>
        <w:rPr>
          <w:lang w:eastAsia="en-US" w:bidi="fa-IR"/>
        </w:rPr>
      </w:pPr>
      <w:r>
        <w:rPr>
          <w:lang w:eastAsia="en-US" w:bidi="fa-IR"/>
        </w:rPr>
        <w:t>We estimate that the weighted</w:t>
      </w:r>
      <w:r>
        <w:rPr>
          <w:lang w:eastAsia="en-US" w:bidi="fa-IR"/>
        </w:rPr>
        <w:noBreakHyphen/>
        <w:t>average cost of modifications that could be avoided if dwelling designs were consistent with universal design principles is around $27 500 per dwelling (table 2.23). This is based on: the estimated cost of retro</w:t>
      </w:r>
      <w:r>
        <w:rPr>
          <w:lang w:eastAsia="en-US" w:bidi="fa-IR"/>
        </w:rPr>
        <w:noBreakHyphen/>
        <w:t>fitting accessible design features to LHDG Silver and Gold standard for both Class 1a (separate houses and townhouses) and Class 2 dwellings (apartments) prepared by quantity surveyors DCWC for ABCB’s Options Paper; and information from the SDAC on the types of modifications that people with disabilities have made to their homes (see appendix C for further information). This estimate is higher than the estimated retrofitting cost of $19 400 as reported in Young People In Nursing Homes National Alliance’s housing policy discussion paper.</w:t>
      </w:r>
      <w:r>
        <w:rPr>
          <w:rStyle w:val="FootnoteReference"/>
          <w:lang w:eastAsia="en-US" w:bidi="fa-IR"/>
        </w:rPr>
        <w:footnoteReference w:id="37"/>
      </w:r>
      <w:r>
        <w:rPr>
          <w:lang w:eastAsia="en-US" w:bidi="fa-IR"/>
        </w:rPr>
        <w:t xml:space="preserve"> </w:t>
      </w:r>
    </w:p>
    <w:p w:rsidR="007C6A5F" w:rsidRDefault="007C6A5F" w:rsidP="007C6A5F">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2</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23</w:instrText>
      </w:r>
      <w:r w:rsidRPr="00695C93">
        <w:fldChar w:fldCharType="end"/>
      </w:r>
      <w:r w:rsidRPr="00695C93">
        <w:instrText xml:space="preserve">" "" </w:instrText>
      </w:r>
      <w:r w:rsidRPr="00695C93">
        <w:fldChar w:fldCharType="separate"/>
      </w:r>
      <w:bookmarkStart w:id="2978" w:name="_Caption5126"/>
      <w:bookmarkStart w:id="2979" w:name="_Caption8833"/>
      <w:bookmarkStart w:id="2980" w:name="_Caption0894"/>
      <w:bookmarkStart w:id="2981" w:name="_Caption3675"/>
      <w:bookmarkStart w:id="2982" w:name="_Caption4163"/>
      <w:bookmarkStart w:id="2983" w:name="_Caption9773"/>
      <w:bookmarkStart w:id="2984" w:name="_Toc44598507"/>
      <w:bookmarkStart w:id="2985" w:name="_Toc45654138"/>
      <w:r w:rsidR="00272AF3">
        <w:rPr>
          <w:noProof/>
        </w:rPr>
        <w:t>2</w:t>
      </w:r>
      <w:r w:rsidR="00272AF3" w:rsidRPr="00695C93">
        <w:rPr>
          <w:noProof/>
        </w:rPr>
        <w:t>.</w:t>
      </w:r>
      <w:r w:rsidR="00272AF3">
        <w:rPr>
          <w:noProof/>
        </w:rPr>
        <w:t>23</w:t>
      </w:r>
      <w:bookmarkEnd w:id="2978"/>
      <w:bookmarkEnd w:id="2979"/>
      <w:bookmarkEnd w:id="2980"/>
      <w:bookmarkEnd w:id="2981"/>
      <w:bookmarkEnd w:id="2982"/>
      <w:bookmarkEnd w:id="2983"/>
      <w:r w:rsidRPr="00695C93">
        <w:fldChar w:fldCharType="end"/>
      </w:r>
      <w:r w:rsidRPr="00695C93">
        <w:tab/>
      </w:r>
      <w:r>
        <w:t>Weighted average cost of modifications per dwelling</w:t>
      </w:r>
      <w:bookmarkEnd w:id="2984"/>
      <w:bookmarkEnd w:id="2985"/>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2.23"/>
        <w:tblDescription w:val="Weighted average cost of modifications per dwelling"/>
      </w:tblPr>
      <w:tblGrid>
        <w:gridCol w:w="3519"/>
        <w:gridCol w:w="2209"/>
        <w:gridCol w:w="2209"/>
      </w:tblGrid>
      <w:tr w:rsidR="007C6A5F" w:rsidTr="006A143B">
        <w:trPr>
          <w:trHeight w:val="230"/>
          <w:tblHeader/>
        </w:trPr>
        <w:tc>
          <w:tcPr>
            <w:tcW w:w="3519" w:type="dxa"/>
            <w:shd w:val="clear" w:color="auto" w:fill="6F6652" w:themeFill="accent5"/>
          </w:tcPr>
          <w:p w:rsidR="007C6A5F" w:rsidRDefault="006A143B" w:rsidP="00C36DA4">
            <w:pPr>
              <w:pStyle w:val="TableDataColumnHeading"/>
              <w:jc w:val="left"/>
              <w:rPr>
                <w:lang w:val="en-GB"/>
              </w:rPr>
            </w:pPr>
            <w:r>
              <w:rPr>
                <w:lang w:val="en-GB"/>
              </w:rPr>
              <w:t>Modification</w:t>
            </w:r>
          </w:p>
        </w:tc>
        <w:tc>
          <w:tcPr>
            <w:tcW w:w="2209" w:type="dxa"/>
            <w:shd w:val="clear" w:color="auto" w:fill="6F6652" w:themeFill="accent5"/>
          </w:tcPr>
          <w:p w:rsidR="007C6A5F" w:rsidRDefault="007C6A5F" w:rsidP="00C36DA4">
            <w:pPr>
              <w:pStyle w:val="TableDataColumnHeading"/>
              <w:rPr>
                <w:lang w:val="en-GB"/>
              </w:rPr>
            </w:pPr>
            <w:r>
              <w:rPr>
                <w:lang w:val="en-GB"/>
              </w:rPr>
              <w:t>Weighting</w:t>
            </w:r>
            <w:r w:rsidR="006A143B">
              <w:rPr>
                <w:lang w:val="en-GB"/>
              </w:rPr>
              <w:br/>
              <w:t>(per cent)</w:t>
            </w:r>
          </w:p>
        </w:tc>
        <w:tc>
          <w:tcPr>
            <w:tcW w:w="2209" w:type="dxa"/>
            <w:shd w:val="clear" w:color="auto" w:fill="6F6652" w:themeFill="accent5"/>
          </w:tcPr>
          <w:p w:rsidR="007C6A5F" w:rsidRDefault="007C6A5F" w:rsidP="00C36DA4">
            <w:pPr>
              <w:pStyle w:val="TableDataColumnHeading"/>
              <w:rPr>
                <w:lang w:val="en-GB"/>
              </w:rPr>
            </w:pPr>
            <w:r>
              <w:rPr>
                <w:lang w:val="en-GB"/>
              </w:rPr>
              <w:t>Cost</w:t>
            </w:r>
            <w:r w:rsidR="006A143B">
              <w:rPr>
                <w:lang w:val="en-GB"/>
              </w:rPr>
              <w:br/>
              <w:t>($)</w:t>
            </w:r>
          </w:p>
        </w:tc>
      </w:tr>
      <w:tr w:rsidR="007C6A5F" w:rsidTr="005A05FE">
        <w:trPr>
          <w:trHeight w:val="230"/>
        </w:trPr>
        <w:tc>
          <w:tcPr>
            <w:tcW w:w="35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Class 1a - Silver level</w:t>
            </w:r>
          </w:p>
        </w:tc>
        <w:tc>
          <w:tcPr>
            <w:tcW w:w="22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83.5</w:t>
            </w:r>
          </w:p>
        </w:tc>
        <w:tc>
          <w:tcPr>
            <w:tcW w:w="22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23 682</w:t>
            </w:r>
          </w:p>
        </w:tc>
      </w:tr>
      <w:tr w:rsidR="007C6A5F" w:rsidTr="005A05FE">
        <w:trPr>
          <w:trHeight w:val="230"/>
        </w:trPr>
        <w:tc>
          <w:tcPr>
            <w:tcW w:w="35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Class 1a - Gold level</w:t>
            </w:r>
          </w:p>
        </w:tc>
        <w:tc>
          <w:tcPr>
            <w:tcW w:w="22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12.6</w:t>
            </w:r>
          </w:p>
        </w:tc>
        <w:tc>
          <w:tcPr>
            <w:tcW w:w="22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47 880</w:t>
            </w:r>
          </w:p>
        </w:tc>
      </w:tr>
      <w:tr w:rsidR="007C6A5F" w:rsidTr="005A05FE">
        <w:trPr>
          <w:trHeight w:val="230"/>
        </w:trPr>
        <w:tc>
          <w:tcPr>
            <w:tcW w:w="35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Class 2 - Silver level</w:t>
            </w:r>
          </w:p>
        </w:tc>
        <w:tc>
          <w:tcPr>
            <w:tcW w:w="22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3.0</w:t>
            </w:r>
          </w:p>
        </w:tc>
        <w:tc>
          <w:tcPr>
            <w:tcW w:w="22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40 397</w:t>
            </w:r>
          </w:p>
        </w:tc>
      </w:tr>
      <w:tr w:rsidR="007C6A5F" w:rsidTr="00B5160B">
        <w:trPr>
          <w:trHeight w:val="230"/>
        </w:trPr>
        <w:tc>
          <w:tcPr>
            <w:tcW w:w="35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Class 2 - Gold level</w:t>
            </w:r>
          </w:p>
        </w:tc>
        <w:tc>
          <w:tcPr>
            <w:tcW w:w="22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0.9</w:t>
            </w:r>
          </w:p>
        </w:tc>
        <w:tc>
          <w:tcPr>
            <w:tcW w:w="22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57 196</w:t>
            </w:r>
          </w:p>
        </w:tc>
      </w:tr>
      <w:tr w:rsidR="007C6A5F" w:rsidRPr="00736B40" w:rsidTr="00B5160B">
        <w:trPr>
          <w:trHeight w:val="230"/>
        </w:trPr>
        <w:tc>
          <w:tcPr>
            <w:tcW w:w="3519" w:type="dxa"/>
            <w:tcBorders>
              <w:top w:val="single" w:sz="8" w:space="0" w:color="FFFFFF" w:themeColor="background1"/>
              <w:bottom w:val="single" w:sz="4" w:space="0" w:color="6F6652" w:themeColor="accent5"/>
            </w:tcBorders>
            <w:shd w:val="clear" w:color="auto" w:fill="C2DADB" w:themeFill="accent6" w:themeFillTint="99"/>
          </w:tcPr>
          <w:p w:rsidR="007C6A5F" w:rsidRPr="00736B40" w:rsidRDefault="007C6A5F" w:rsidP="00C36DA4">
            <w:pPr>
              <w:pStyle w:val="TableDataEntries"/>
              <w:jc w:val="left"/>
              <w:rPr>
                <w:rFonts w:ascii="Franklin Gothic Demi" w:hAnsi="Franklin Gothic Demi"/>
                <w:lang w:val="en-GB"/>
              </w:rPr>
            </w:pPr>
            <w:r w:rsidRPr="00736B40">
              <w:rPr>
                <w:rFonts w:ascii="Franklin Gothic Demi" w:hAnsi="Franklin Gothic Demi"/>
                <w:lang w:val="en-GB"/>
              </w:rPr>
              <w:t>Weighted average</w:t>
            </w:r>
          </w:p>
        </w:tc>
        <w:tc>
          <w:tcPr>
            <w:tcW w:w="2209" w:type="dxa"/>
            <w:tcBorders>
              <w:top w:val="single" w:sz="8" w:space="0" w:color="FFFFFF" w:themeColor="background1"/>
              <w:bottom w:val="single" w:sz="4" w:space="0" w:color="6F6652" w:themeColor="accent5"/>
            </w:tcBorders>
            <w:shd w:val="clear" w:color="auto" w:fill="C2DADB" w:themeFill="accent6" w:themeFillTint="99"/>
          </w:tcPr>
          <w:p w:rsidR="007C6A5F" w:rsidRPr="00736B40" w:rsidRDefault="007C6A5F" w:rsidP="00C36DA4">
            <w:pPr>
              <w:pStyle w:val="TableDataEntries"/>
              <w:rPr>
                <w:rFonts w:ascii="Franklin Gothic Demi" w:hAnsi="Franklin Gothic Demi"/>
                <w:lang w:val="en-GB"/>
              </w:rPr>
            </w:pPr>
          </w:p>
        </w:tc>
        <w:tc>
          <w:tcPr>
            <w:tcW w:w="2209" w:type="dxa"/>
            <w:tcBorders>
              <w:top w:val="single" w:sz="8" w:space="0" w:color="FFFFFF" w:themeColor="background1"/>
              <w:bottom w:val="single" w:sz="4" w:space="0" w:color="6F6652" w:themeColor="accent5"/>
            </w:tcBorders>
            <w:shd w:val="clear" w:color="auto" w:fill="C2DADB" w:themeFill="accent6" w:themeFillTint="99"/>
          </w:tcPr>
          <w:p w:rsidR="007C6A5F" w:rsidRPr="00736B40" w:rsidRDefault="007C6A5F" w:rsidP="00C36DA4">
            <w:pPr>
              <w:pStyle w:val="TableDataEntries"/>
              <w:rPr>
                <w:rFonts w:ascii="Franklin Gothic Demi" w:hAnsi="Franklin Gothic Demi"/>
                <w:lang w:val="en-GB"/>
              </w:rPr>
            </w:pPr>
            <w:r w:rsidRPr="00736B40">
              <w:rPr>
                <w:rFonts w:ascii="Franklin Gothic Demi" w:hAnsi="Franklin Gothic Demi"/>
                <w:lang w:val="en-GB"/>
              </w:rPr>
              <w:t>27 524</w:t>
            </w:r>
          </w:p>
        </w:tc>
      </w:tr>
    </w:tbl>
    <w:p w:rsidR="007C6A5F" w:rsidRDefault="007C6A5F" w:rsidP="007C6A5F">
      <w:pPr>
        <w:pStyle w:val="Source"/>
        <w:rPr>
          <w:lang w:bidi="fa-IR"/>
        </w:rPr>
      </w:pPr>
      <w:r w:rsidRPr="008C20C2">
        <w:rPr>
          <w:i/>
          <w:lang w:bidi="fa-IR"/>
        </w:rPr>
        <w:t>Source:</w:t>
      </w:r>
      <w:r>
        <w:rPr>
          <w:lang w:bidi="fa-IR"/>
        </w:rPr>
        <w:t xml:space="preserve"> CIE based on: unpublished estimates prepared by DCWC for the ABCB Options Paper; and ABS, Survey of Disabilities, Ageing and Carers, 2018, TableBuilder (see Appendix C for details).</w:t>
      </w:r>
    </w:p>
    <w:p w:rsidR="007C6A5F" w:rsidRDefault="007C6A5F" w:rsidP="007C6A5F">
      <w:pPr>
        <w:pStyle w:val="BodyText"/>
        <w:rPr>
          <w:lang w:eastAsia="en-US" w:bidi="fa-IR"/>
        </w:rPr>
      </w:pPr>
      <w:r>
        <w:rPr>
          <w:lang w:eastAsia="en-US" w:bidi="fa-IR"/>
        </w:rPr>
        <w:t>Comparing the number of modified dwellings reported in the 2018 and 2015 SDAC (and adjusting for deaths) suggests that around 22 000 dwellings are modified to meet the needs of people with disabilities per year (see appendix C for further details).</w:t>
      </w:r>
    </w:p>
    <w:p w:rsidR="007C6A5F" w:rsidRPr="00D130F6" w:rsidRDefault="007C6A5F" w:rsidP="007C6A5F">
      <w:pPr>
        <w:pStyle w:val="KeyPoint"/>
        <w:rPr>
          <w:lang w:bidi="fa-IR"/>
        </w:rPr>
      </w:pPr>
      <w:r>
        <w:rPr>
          <w:lang w:bidi="fa-IR"/>
        </w:rPr>
        <w:t xml:space="preserve">Based on the above information, we estimate that the annual cost of home modifications that could be avoided if dwelling designs were consistent with universal design principles could be around </w:t>
      </w:r>
      <w:r w:rsidRPr="00D130F6">
        <w:rPr>
          <w:lang w:bidi="fa-IR"/>
        </w:rPr>
        <w:t>$</w:t>
      </w:r>
      <w:r>
        <w:rPr>
          <w:lang w:bidi="fa-IR"/>
        </w:rPr>
        <w:t>600</w:t>
      </w:r>
      <w:r w:rsidRPr="00E574D9">
        <w:rPr>
          <w:lang w:bidi="fa-IR"/>
        </w:rPr>
        <w:t xml:space="preserve"> </w:t>
      </w:r>
      <w:r w:rsidRPr="00D130F6">
        <w:rPr>
          <w:lang w:bidi="fa-IR"/>
        </w:rPr>
        <w:t xml:space="preserve">million (i.e. around </w:t>
      </w:r>
      <w:r>
        <w:rPr>
          <w:lang w:bidi="fa-IR"/>
        </w:rPr>
        <w:t>2</w:t>
      </w:r>
      <w:r w:rsidRPr="00D130F6">
        <w:rPr>
          <w:lang w:bidi="fa-IR"/>
        </w:rPr>
        <w:t>2 000 additional home modifications at a weighted average cost of around $27 525 per dwelling).</w:t>
      </w:r>
    </w:p>
    <w:p w:rsidR="007C6A5F" w:rsidRDefault="007C6A5F" w:rsidP="007C6A5F">
      <w:pPr>
        <w:pStyle w:val="Heading3"/>
        <w:numPr>
          <w:ilvl w:val="2"/>
          <w:numId w:val="5"/>
        </w:numPr>
      </w:pPr>
      <w:r>
        <w:t>Moving house</w:t>
      </w:r>
    </w:p>
    <w:p w:rsidR="007C6A5F" w:rsidRDefault="007C6A5F" w:rsidP="007C6A5F">
      <w:pPr>
        <w:pStyle w:val="BodyText"/>
        <w:rPr>
          <w:lang w:bidi="fa-IR"/>
        </w:rPr>
      </w:pPr>
      <w:r>
        <w:rPr>
          <w:lang w:bidi="fa-IR"/>
        </w:rPr>
        <w:t>Anecdotal evidence suggests that accessible housing can be difficult to find, due to a lack of availability. Moving house may not be an optimal outcome for many.</w:t>
      </w:r>
    </w:p>
    <w:p w:rsidR="007C6A5F" w:rsidRDefault="007C6A5F" w:rsidP="005A6F87">
      <w:pPr>
        <w:pStyle w:val="ListBullet"/>
        <w:numPr>
          <w:ilvl w:val="0"/>
          <w:numId w:val="17"/>
        </w:numPr>
        <w:rPr>
          <w:lang w:bidi="fa-IR"/>
        </w:rPr>
      </w:pPr>
      <w:r>
        <w:rPr>
          <w:lang w:bidi="fa-IR"/>
        </w:rPr>
        <w:t>Moving house can be costly and stressful, particularly for older people.</w:t>
      </w:r>
    </w:p>
    <w:p w:rsidR="007C6A5F" w:rsidRDefault="007C6A5F" w:rsidP="005A6F87">
      <w:pPr>
        <w:pStyle w:val="ListBullet"/>
        <w:numPr>
          <w:ilvl w:val="0"/>
          <w:numId w:val="17"/>
        </w:numPr>
        <w:rPr>
          <w:lang w:bidi="fa-IR"/>
        </w:rPr>
      </w:pPr>
      <w:r>
        <w:rPr>
          <w:lang w:bidi="fa-IR"/>
        </w:rPr>
        <w:t>Many people may have preferred to stay in their previous residence if it had have met their changing accessibility needs.</w:t>
      </w:r>
    </w:p>
    <w:p w:rsidR="007C6A5F" w:rsidRDefault="007C6A5F" w:rsidP="005A6F87">
      <w:pPr>
        <w:pStyle w:val="ListBullet"/>
        <w:numPr>
          <w:ilvl w:val="0"/>
          <w:numId w:val="17"/>
        </w:numPr>
        <w:rPr>
          <w:lang w:bidi="fa-IR"/>
        </w:rPr>
      </w:pPr>
      <w:r>
        <w:rPr>
          <w:lang w:bidi="fa-IR"/>
        </w:rPr>
        <w:t>A lack of accessible housing may have forced some people with a mobility</w:t>
      </w:r>
      <w:r>
        <w:rPr>
          <w:lang w:bidi="fa-IR"/>
        </w:rPr>
        <w:noBreakHyphen/>
        <w:t>related disability (and in many cases their families) to move to a less</w:t>
      </w:r>
      <w:r>
        <w:rPr>
          <w:lang w:bidi="fa-IR"/>
        </w:rPr>
        <w:noBreakHyphen/>
        <w:t>preferred location, away from family, friends, schools and employment opportunities.</w:t>
      </w:r>
    </w:p>
    <w:p w:rsidR="007C6A5F" w:rsidRDefault="007C6A5F" w:rsidP="007C6A5F">
      <w:pPr>
        <w:pStyle w:val="BodyText"/>
        <w:rPr>
          <w:lang w:bidi="fa-IR"/>
        </w:rPr>
      </w:pPr>
      <w:r>
        <w:rPr>
          <w:lang w:bidi="fa-IR"/>
        </w:rPr>
        <w:t xml:space="preserve">We estimate that the annual cost of additional moves due to a lack of accessible housing could be between </w:t>
      </w:r>
      <w:r w:rsidRPr="00D130F6">
        <w:rPr>
          <w:lang w:bidi="fa-IR"/>
        </w:rPr>
        <w:t>around $14.3 million and $43.2 million per year</w:t>
      </w:r>
      <w:r>
        <w:rPr>
          <w:lang w:bidi="fa-IR"/>
        </w:rPr>
        <w:t xml:space="preserve"> (table </w:t>
      </w:r>
      <w:r>
        <w:rPr>
          <w:lang w:bidi="fa-IR"/>
        </w:rPr>
        <w:fldChar w:fldCharType="begin"/>
      </w:r>
      <w:r>
        <w:rPr>
          <w:lang w:bidi="fa-IR"/>
        </w:rPr>
        <w:instrText xml:space="preserve"> REF _Caption8304 </w:instrText>
      </w:r>
      <w:r>
        <w:rPr>
          <w:lang w:bidi="fa-IR"/>
        </w:rPr>
        <w:fldChar w:fldCharType="separate"/>
      </w:r>
      <w:r>
        <w:rPr>
          <w:noProof/>
        </w:rPr>
        <w:t>2</w:t>
      </w:r>
      <w:r w:rsidRPr="00695C93">
        <w:rPr>
          <w:noProof/>
        </w:rPr>
        <w:t>.</w:t>
      </w:r>
      <w:r>
        <w:rPr>
          <w:noProof/>
        </w:rPr>
        <w:t>24</w:t>
      </w:r>
      <w:r>
        <w:rPr>
          <w:lang w:bidi="fa-IR"/>
        </w:rPr>
        <w:fldChar w:fldCharType="end"/>
      </w:r>
      <w:r>
        <w:rPr>
          <w:lang w:bidi="fa-IR"/>
        </w:rPr>
        <w:t>). This includes only the financial cost of moving. Due to data/information constraints, we were unable to estimate: the cost of additional stress associated with moving; search costs; and any loss of amenity from moving to a less preferred dwelling. We have also excluded stamp duties paid by owner</w:t>
      </w:r>
      <w:r>
        <w:rPr>
          <w:lang w:bidi="fa-IR"/>
        </w:rPr>
        <w:noBreakHyphen/>
        <w:t>occupiers as these are a transfer from the household to the government, rather than a net cost to the community.</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2</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24</w:instrText>
      </w:r>
      <w:r w:rsidRPr="00695C93">
        <w:fldChar w:fldCharType="end"/>
      </w:r>
      <w:r w:rsidRPr="00695C93">
        <w:instrText xml:space="preserve">" "" </w:instrText>
      </w:r>
      <w:r w:rsidRPr="00695C93">
        <w:fldChar w:fldCharType="separate"/>
      </w:r>
      <w:bookmarkStart w:id="2986" w:name="_Caption8319"/>
      <w:bookmarkStart w:id="2987" w:name="_Caption4307"/>
      <w:bookmarkStart w:id="2988" w:name="_Caption0960"/>
      <w:bookmarkStart w:id="2989" w:name="_Caption3857"/>
      <w:bookmarkStart w:id="2990" w:name="_Caption3521"/>
      <w:bookmarkStart w:id="2991" w:name="_Caption4883"/>
      <w:bookmarkStart w:id="2992" w:name="_Caption2546"/>
      <w:bookmarkStart w:id="2993" w:name="_Caption7988"/>
      <w:bookmarkStart w:id="2994" w:name="_Caption8660"/>
      <w:bookmarkStart w:id="2995" w:name="_Caption8382"/>
      <w:bookmarkStart w:id="2996" w:name="_Caption8304"/>
      <w:bookmarkStart w:id="2997" w:name="_Caption2159"/>
      <w:bookmarkStart w:id="2998" w:name="_Caption9011"/>
      <w:bookmarkStart w:id="2999" w:name="_Caption4544"/>
      <w:bookmarkStart w:id="3000" w:name="_Caption4864"/>
      <w:bookmarkStart w:id="3001" w:name="_Caption8369"/>
      <w:bookmarkStart w:id="3002" w:name="_Caption0524"/>
      <w:bookmarkStart w:id="3003" w:name="_Toc44598508"/>
      <w:bookmarkStart w:id="3004" w:name="_Toc45654139"/>
      <w:r w:rsidR="00272AF3">
        <w:rPr>
          <w:noProof/>
        </w:rPr>
        <w:t>2</w:t>
      </w:r>
      <w:r w:rsidR="00272AF3" w:rsidRPr="00695C93">
        <w:rPr>
          <w:noProof/>
        </w:rPr>
        <w:t>.</w:t>
      </w:r>
      <w:r w:rsidR="00272AF3">
        <w:rPr>
          <w:noProof/>
        </w:rPr>
        <w:t>24</w:t>
      </w:r>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r w:rsidRPr="00695C93">
        <w:fldChar w:fldCharType="end"/>
      </w:r>
      <w:r w:rsidRPr="00695C93">
        <w:tab/>
      </w:r>
      <w:r>
        <w:t>Estimated cost of additional moves due to inaccessible housing</w:t>
      </w:r>
      <w:bookmarkEnd w:id="3003"/>
      <w:bookmarkEnd w:id="3004"/>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2.24"/>
        <w:tblDescription w:val="Estimated cost of additional moves due to inaccessible housing"/>
      </w:tblPr>
      <w:tblGrid>
        <w:gridCol w:w="1134"/>
        <w:gridCol w:w="2267"/>
        <w:gridCol w:w="2836"/>
        <w:gridCol w:w="1699"/>
      </w:tblGrid>
      <w:tr w:rsidR="007C6A5F" w:rsidTr="00541CF8">
        <w:trPr>
          <w:trHeight w:val="691"/>
          <w:tblHeader/>
        </w:trPr>
        <w:tc>
          <w:tcPr>
            <w:tcW w:w="1134" w:type="dxa"/>
            <w:shd w:val="clear" w:color="auto" w:fill="6F6652" w:themeFill="accent5"/>
          </w:tcPr>
          <w:p w:rsidR="007C6A5F" w:rsidRDefault="00541CF8" w:rsidP="00C36DA4">
            <w:pPr>
              <w:pStyle w:val="TableDataColumnHeading"/>
              <w:jc w:val="left"/>
              <w:rPr>
                <w:lang w:val="en-GB"/>
              </w:rPr>
            </w:pPr>
            <w:r>
              <w:rPr>
                <w:lang w:val="en-GB"/>
              </w:rPr>
              <w:t>Cost range</w:t>
            </w:r>
          </w:p>
        </w:tc>
        <w:tc>
          <w:tcPr>
            <w:tcW w:w="2267" w:type="dxa"/>
            <w:shd w:val="clear" w:color="auto" w:fill="6F6652" w:themeFill="accent5"/>
          </w:tcPr>
          <w:p w:rsidR="007C6A5F" w:rsidRDefault="007C6A5F" w:rsidP="00C36DA4">
            <w:pPr>
              <w:pStyle w:val="TableDataColumnHeading"/>
              <w:rPr>
                <w:lang w:val="en-GB"/>
              </w:rPr>
            </w:pPr>
            <w:r>
              <w:rPr>
                <w:lang w:val="en-GB"/>
              </w:rPr>
              <w:t>Number of avoidable moves</w:t>
            </w:r>
            <w:r w:rsidR="00541CF8">
              <w:rPr>
                <w:lang w:val="en-GB"/>
              </w:rPr>
              <w:br/>
              <w:t>(‘000)</w:t>
            </w:r>
          </w:p>
        </w:tc>
        <w:tc>
          <w:tcPr>
            <w:tcW w:w="2836" w:type="dxa"/>
            <w:shd w:val="clear" w:color="auto" w:fill="6F6652" w:themeFill="accent5"/>
          </w:tcPr>
          <w:p w:rsidR="007C6A5F" w:rsidRDefault="007C6A5F" w:rsidP="00C36DA4">
            <w:pPr>
              <w:pStyle w:val="TableDataColumnHeading"/>
              <w:rPr>
                <w:lang w:val="en-GB"/>
              </w:rPr>
            </w:pPr>
            <w:r>
              <w:rPr>
                <w:lang w:val="en-GB"/>
              </w:rPr>
              <w:t>Number of avoidable moves per year</w:t>
            </w:r>
            <w:r w:rsidR="00541CF8">
              <w:rPr>
                <w:lang w:val="en-GB"/>
              </w:rPr>
              <w:br/>
              <w:t>(‘000)</w:t>
            </w:r>
          </w:p>
        </w:tc>
        <w:tc>
          <w:tcPr>
            <w:tcW w:w="1699" w:type="dxa"/>
            <w:shd w:val="clear" w:color="auto" w:fill="6F6652" w:themeFill="accent5"/>
          </w:tcPr>
          <w:p w:rsidR="007C6A5F" w:rsidRDefault="007C6A5F" w:rsidP="00C36DA4">
            <w:pPr>
              <w:pStyle w:val="TableDataColumnHeading"/>
              <w:rPr>
                <w:lang w:val="en-GB"/>
              </w:rPr>
            </w:pPr>
            <w:r>
              <w:rPr>
                <w:lang w:val="en-GB"/>
              </w:rPr>
              <w:t>Estimated cost</w:t>
            </w:r>
            <w:r w:rsidR="00541CF8">
              <w:rPr>
                <w:lang w:val="en-GB"/>
              </w:rPr>
              <w:br/>
              <w:t>($ million)</w:t>
            </w:r>
          </w:p>
        </w:tc>
      </w:tr>
      <w:tr w:rsidR="007C6A5F" w:rsidTr="00541CF8">
        <w:trPr>
          <w:trHeight w:val="230"/>
        </w:trPr>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Lower bound</w:t>
            </w:r>
          </w:p>
        </w:tc>
        <w:tc>
          <w:tcPr>
            <w:tcW w:w="226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76.1</w:t>
            </w:r>
          </w:p>
        </w:tc>
        <w:tc>
          <w:tcPr>
            <w:tcW w:w="283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5.7</w:t>
            </w:r>
          </w:p>
        </w:tc>
        <w:tc>
          <w:tcPr>
            <w:tcW w:w="169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14.3</w:t>
            </w:r>
          </w:p>
        </w:tc>
      </w:tr>
      <w:tr w:rsidR="007C6A5F" w:rsidTr="00541CF8">
        <w:trPr>
          <w:trHeight w:val="230"/>
        </w:trPr>
        <w:tc>
          <w:tcPr>
            <w:tcW w:w="1134"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jc w:val="left"/>
              <w:rPr>
                <w:lang w:val="en-GB"/>
              </w:rPr>
            </w:pPr>
            <w:r>
              <w:rPr>
                <w:lang w:val="en-GB"/>
              </w:rPr>
              <w:t>Upper bound</w:t>
            </w:r>
          </w:p>
        </w:tc>
        <w:tc>
          <w:tcPr>
            <w:tcW w:w="2267"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rPr>
                <w:lang w:val="en-GB"/>
              </w:rPr>
              <w:t xml:space="preserve"> 230.3</w:t>
            </w:r>
          </w:p>
        </w:tc>
        <w:tc>
          <w:tcPr>
            <w:tcW w:w="2836"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rPr>
                <w:lang w:val="en-GB"/>
              </w:rPr>
              <w:t xml:space="preserve"> 17.3</w:t>
            </w:r>
          </w:p>
        </w:tc>
        <w:tc>
          <w:tcPr>
            <w:tcW w:w="1699"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rPr>
                <w:lang w:val="en-GB"/>
              </w:rPr>
              <w:t xml:space="preserve"> 43.2</w:t>
            </w:r>
          </w:p>
        </w:tc>
      </w:tr>
    </w:tbl>
    <w:p w:rsidR="007C6A5F" w:rsidRDefault="007C6A5F" w:rsidP="007C6A5F">
      <w:pPr>
        <w:pStyle w:val="Source"/>
        <w:rPr>
          <w:lang w:bidi="fa-IR"/>
        </w:rPr>
      </w:pPr>
      <w:r w:rsidRPr="004448EB">
        <w:rPr>
          <w:i/>
          <w:lang w:bidi="fa-IR"/>
        </w:rPr>
        <w:t>Source:</w:t>
      </w:r>
      <w:r>
        <w:rPr>
          <w:lang w:bidi="fa-IR"/>
        </w:rPr>
        <w:t xml:space="preserve"> CIE estimates (see appendix D for further details).</w:t>
      </w:r>
    </w:p>
    <w:p w:rsidR="007C6A5F" w:rsidRDefault="007C6A5F" w:rsidP="007C6A5F">
      <w:pPr>
        <w:pStyle w:val="BodyText"/>
        <w:rPr>
          <w:lang w:bidi="fa-IR"/>
        </w:rPr>
      </w:pPr>
      <w:r>
        <w:rPr>
          <w:lang w:bidi="fa-IR"/>
        </w:rPr>
        <w:lastRenderedPageBreak/>
        <w:t>This estimate is based on the following assumptions.</w:t>
      </w:r>
    </w:p>
    <w:p w:rsidR="007C6A5F" w:rsidRDefault="007C6A5F" w:rsidP="005A6F87">
      <w:pPr>
        <w:pStyle w:val="ListBullet"/>
        <w:numPr>
          <w:ilvl w:val="0"/>
          <w:numId w:val="17"/>
        </w:numPr>
        <w:rPr>
          <w:lang w:bidi="fa-IR"/>
        </w:rPr>
      </w:pPr>
      <w:r>
        <w:rPr>
          <w:lang w:bidi="fa-IR"/>
        </w:rPr>
        <w:t>The assumptions in relation to the number of avoidable moves are as follows.</w:t>
      </w:r>
    </w:p>
    <w:p w:rsidR="007C6A5F" w:rsidRDefault="007C6A5F" w:rsidP="005A6F87">
      <w:pPr>
        <w:pStyle w:val="ListBullet2"/>
        <w:numPr>
          <w:ilvl w:val="1"/>
          <w:numId w:val="17"/>
        </w:numPr>
        <w:ind w:left="568" w:hanging="284"/>
        <w:rPr>
          <w:lang w:bidi="fa-IR"/>
        </w:rPr>
      </w:pPr>
      <w:r>
        <w:rPr>
          <w:lang w:bidi="fa-IR"/>
        </w:rPr>
        <w:t>The lower bound assumption is based on the number of people with a mobility limitation who reported in the 2018 SDAC that they had moved house as a result of their age or condition for reasons directly related to accessibility of their previous dwelling.</w:t>
      </w:r>
    </w:p>
    <w:p w:rsidR="007C6A5F" w:rsidRDefault="007C6A5F" w:rsidP="005A6F87">
      <w:pPr>
        <w:pStyle w:val="ListBullet2"/>
        <w:numPr>
          <w:ilvl w:val="1"/>
          <w:numId w:val="17"/>
        </w:numPr>
        <w:ind w:left="568" w:hanging="284"/>
        <w:rPr>
          <w:lang w:bidi="fa-IR"/>
        </w:rPr>
      </w:pPr>
      <w:r>
        <w:rPr>
          <w:lang w:bidi="fa-IR"/>
        </w:rPr>
        <w:t>The upper bound assumption is based on the number of people with a mobility limitation who reported in the 2018 SDAC that they had moved house as a result of their age or condition for reasons directly or potentially related to the accessibility of their previous dwelling.</w:t>
      </w:r>
    </w:p>
    <w:p w:rsidR="007C6A5F" w:rsidRDefault="007C6A5F" w:rsidP="005A6F87">
      <w:pPr>
        <w:pStyle w:val="ListBullet"/>
        <w:numPr>
          <w:ilvl w:val="0"/>
          <w:numId w:val="17"/>
        </w:numPr>
        <w:rPr>
          <w:lang w:bidi="fa-IR"/>
        </w:rPr>
      </w:pPr>
      <w:r>
        <w:rPr>
          <w:lang w:bidi="fa-IR"/>
        </w:rPr>
        <w:t>We assume that around 7.5 per cent of the moves as a result of the disability occurred in the past year.</w:t>
      </w:r>
    </w:p>
    <w:p w:rsidR="007C6A5F" w:rsidRDefault="007C6A5F" w:rsidP="005A6F87">
      <w:pPr>
        <w:pStyle w:val="ListBullet"/>
        <w:numPr>
          <w:ilvl w:val="0"/>
          <w:numId w:val="17"/>
        </w:numPr>
        <w:rPr>
          <w:lang w:bidi="fa-IR"/>
        </w:rPr>
      </w:pPr>
      <w:r>
        <w:rPr>
          <w:lang w:bidi="fa-IR"/>
        </w:rPr>
        <w:t>The financial cost of moving can vary significantly, depending on the size of the house, distance and other factors. We assume the average financial cost of moving house is around $2 500.</w:t>
      </w:r>
      <w:r>
        <w:rPr>
          <w:rStyle w:val="FootnoteReference"/>
          <w:lang w:bidi="fa-IR"/>
        </w:rPr>
        <w:footnoteReference w:id="38"/>
      </w:r>
    </w:p>
    <w:p w:rsidR="007C6A5F" w:rsidRDefault="007C6A5F" w:rsidP="007C6A5F">
      <w:pPr>
        <w:pStyle w:val="BodyText"/>
        <w:rPr>
          <w:lang w:bidi="fa-IR"/>
        </w:rPr>
      </w:pPr>
      <w:r>
        <w:rPr>
          <w:lang w:bidi="fa-IR"/>
        </w:rPr>
        <w:t>Further details on the basis for these assumptions is provided in appendix D.</w:t>
      </w:r>
    </w:p>
    <w:p w:rsidR="007C6A5F" w:rsidRDefault="007C6A5F" w:rsidP="007C6A5F">
      <w:pPr>
        <w:pStyle w:val="Heading3"/>
        <w:numPr>
          <w:ilvl w:val="2"/>
          <w:numId w:val="5"/>
        </w:numPr>
        <w:spacing w:before="360"/>
        <w:rPr>
          <w:lang w:bidi="fa-IR"/>
        </w:rPr>
      </w:pPr>
      <w:r>
        <w:rPr>
          <w:lang w:bidi="fa-IR"/>
        </w:rPr>
        <w:t>Longer stays in hospital or transition care</w:t>
      </w:r>
    </w:p>
    <w:p w:rsidR="007C6A5F" w:rsidRDefault="007C6A5F" w:rsidP="007C6A5F">
      <w:pPr>
        <w:pStyle w:val="BodyText"/>
        <w:rPr>
          <w:lang w:bidi="fa-IR"/>
        </w:rPr>
      </w:pPr>
      <w:r>
        <w:rPr>
          <w:lang w:bidi="fa-IR"/>
        </w:rPr>
        <w:t>In addition to potentially increasing hospital admissions (through reduced falls), a large share of the housing stock without accessibility features could increase the length of stays in hospitals or transition care. In some cases, it is not possible to discharge someone from hospital unless they are discharged to a safe environment.</w:t>
      </w:r>
    </w:p>
    <w:p w:rsidR="007C6A5F" w:rsidRDefault="007C6A5F" w:rsidP="007C6A5F">
      <w:pPr>
        <w:pStyle w:val="BodyText"/>
        <w:rPr>
          <w:lang w:bidi="fa-IR"/>
        </w:rPr>
      </w:pPr>
      <w:r>
        <w:rPr>
          <w:lang w:bidi="fa-IR"/>
        </w:rPr>
        <w:t>Several studies note that not having a suitable home to return to can be a key issue causing delays and completing successful rehabilitation and return to independence.</w:t>
      </w:r>
      <w:r>
        <w:rPr>
          <w:rStyle w:val="FootnoteReference"/>
          <w:lang w:bidi="fa-IR"/>
        </w:rPr>
        <w:footnoteReference w:id="39"/>
      </w:r>
      <w:r>
        <w:rPr>
          <w:lang w:bidi="fa-IR"/>
        </w:rPr>
        <w:t xml:space="preserve"> This could apply to anyone with a mobility limitation following a stay in hospital (including temporary or short</w:t>
      </w:r>
      <w:r>
        <w:rPr>
          <w:lang w:bidi="fa-IR"/>
        </w:rPr>
        <w:noBreakHyphen/>
        <w:t>term mobility limitations following hospital treatment), not just those with a longer</w:t>
      </w:r>
      <w:r>
        <w:rPr>
          <w:lang w:bidi="fa-IR"/>
        </w:rPr>
        <w:noBreakHyphen/>
        <w:t>term disability.</w:t>
      </w:r>
    </w:p>
    <w:p w:rsidR="007C6A5F" w:rsidRDefault="007C6A5F" w:rsidP="007C6A5F">
      <w:pPr>
        <w:pStyle w:val="BodyText"/>
        <w:rPr>
          <w:lang w:bidi="fa-IR"/>
        </w:rPr>
      </w:pPr>
      <w:r w:rsidRPr="00552E0B">
        <w:rPr>
          <w:lang w:bidi="fa-IR"/>
        </w:rPr>
        <w:t>We estimate that the annual cost of delayed discharge from hospitals and transition care as a result of a lack of accessible housing could be around $234.6 million (table </w:t>
      </w:r>
      <w:r>
        <w:rPr>
          <w:lang w:bidi="fa-IR"/>
        </w:rPr>
        <w:fldChar w:fldCharType="begin"/>
      </w:r>
      <w:r>
        <w:rPr>
          <w:lang w:bidi="fa-IR"/>
        </w:rPr>
        <w:instrText xml:space="preserve"> REF _Caption8700 </w:instrText>
      </w:r>
      <w:r>
        <w:rPr>
          <w:lang w:bidi="fa-IR"/>
        </w:rPr>
        <w:fldChar w:fldCharType="separate"/>
      </w:r>
      <w:r>
        <w:rPr>
          <w:noProof/>
        </w:rPr>
        <w:t>2</w:t>
      </w:r>
      <w:r w:rsidRPr="00695C93">
        <w:rPr>
          <w:noProof/>
        </w:rPr>
        <w:t>.</w:t>
      </w:r>
      <w:r>
        <w:rPr>
          <w:noProof/>
        </w:rPr>
        <w:t>25</w:t>
      </w:r>
      <w:r>
        <w:rPr>
          <w:lang w:bidi="fa-IR"/>
        </w:rPr>
        <w:fldChar w:fldCharType="end"/>
      </w:r>
      <w:r w:rsidRPr="00552E0B">
        <w:rPr>
          <w:lang w:bidi="fa-IR"/>
        </w:rPr>
        <w:t>).</w:t>
      </w:r>
      <w:r>
        <w:rPr>
          <w:lang w:bidi="fa-IR"/>
        </w:rPr>
        <w:t xml:space="preserve"> This is based on:</w:t>
      </w:r>
    </w:p>
    <w:p w:rsidR="007C6A5F" w:rsidRDefault="007C6A5F" w:rsidP="005A6F87">
      <w:pPr>
        <w:pStyle w:val="ListBullet"/>
        <w:numPr>
          <w:ilvl w:val="0"/>
          <w:numId w:val="17"/>
        </w:numPr>
        <w:rPr>
          <w:lang w:bidi="fa-IR"/>
        </w:rPr>
      </w:pPr>
      <w:r w:rsidRPr="00D130F6">
        <w:rPr>
          <w:lang w:bidi="fa-IR"/>
        </w:rPr>
        <w:t>inferences drawn from a small number</w:t>
      </w:r>
      <w:r>
        <w:rPr>
          <w:lang w:bidi="fa-IR"/>
        </w:rPr>
        <w:t xml:space="preserve"> of Australian studies on the extent and cause of delayed discharge from different types of hospital care</w:t>
      </w:r>
    </w:p>
    <w:p w:rsidR="007C6A5F" w:rsidRDefault="007C6A5F" w:rsidP="005A6F87">
      <w:pPr>
        <w:pStyle w:val="ListBullet"/>
        <w:numPr>
          <w:ilvl w:val="0"/>
          <w:numId w:val="17"/>
        </w:numPr>
        <w:rPr>
          <w:lang w:bidi="fa-IR"/>
        </w:rPr>
      </w:pPr>
      <w:r>
        <w:rPr>
          <w:lang w:bidi="fa-IR"/>
        </w:rPr>
        <w:t>estimates of the cost per day of different types of care.</w:t>
      </w:r>
    </w:p>
    <w:p w:rsidR="007C6A5F" w:rsidRDefault="007C6A5F" w:rsidP="007C6A5F">
      <w:pPr>
        <w:pStyle w:val="BodyText"/>
        <w:rPr>
          <w:lang w:bidi="fa-IR"/>
        </w:rPr>
      </w:pPr>
      <w:r>
        <w:rPr>
          <w:lang w:bidi="fa-IR"/>
        </w:rPr>
        <w:t>Further details of the approach are provided in appendix E.</w:t>
      </w:r>
    </w:p>
    <w:p w:rsidR="007C6A5F" w:rsidRDefault="007C6A5F" w:rsidP="007C6A5F">
      <w:pPr>
        <w:pStyle w:val="Caption"/>
        <w:spacing w:before="240"/>
      </w:pPr>
      <w:r w:rsidRPr="00695C93">
        <w:lastRenderedPageBreak/>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2</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25</w:instrText>
      </w:r>
      <w:r w:rsidRPr="00695C93">
        <w:fldChar w:fldCharType="end"/>
      </w:r>
      <w:r w:rsidRPr="00695C93">
        <w:instrText xml:space="preserve">" "" </w:instrText>
      </w:r>
      <w:r w:rsidRPr="00695C93">
        <w:fldChar w:fldCharType="separate"/>
      </w:r>
      <w:bookmarkStart w:id="3005" w:name="_Caption1084"/>
      <w:bookmarkStart w:id="3006" w:name="_Caption4133"/>
      <w:bookmarkStart w:id="3007" w:name="_Caption3281"/>
      <w:bookmarkStart w:id="3008" w:name="_Caption9879"/>
      <w:bookmarkStart w:id="3009" w:name="_Caption4733"/>
      <w:bookmarkStart w:id="3010" w:name="_Caption3575"/>
      <w:bookmarkStart w:id="3011" w:name="_Caption6299"/>
      <w:bookmarkStart w:id="3012" w:name="_Caption8798"/>
      <w:bookmarkStart w:id="3013" w:name="_Caption7096"/>
      <w:bookmarkStart w:id="3014" w:name="_Caption1134"/>
      <w:bookmarkStart w:id="3015" w:name="_Caption3183"/>
      <w:bookmarkStart w:id="3016" w:name="_Caption7475"/>
      <w:bookmarkStart w:id="3017" w:name="_Caption0282"/>
      <w:bookmarkStart w:id="3018" w:name="_Caption3348"/>
      <w:bookmarkStart w:id="3019" w:name="_Caption0688"/>
      <w:bookmarkStart w:id="3020" w:name="_Caption2212"/>
      <w:bookmarkStart w:id="3021" w:name="_Caption2727"/>
      <w:bookmarkStart w:id="3022" w:name="_Caption9565"/>
      <w:bookmarkStart w:id="3023" w:name="_Caption2257"/>
      <w:bookmarkStart w:id="3024" w:name="_Caption8167"/>
      <w:bookmarkStart w:id="3025" w:name="_Caption0902"/>
      <w:bookmarkStart w:id="3026" w:name="_Caption3825"/>
      <w:bookmarkStart w:id="3027" w:name="_Caption4292"/>
      <w:bookmarkStart w:id="3028" w:name="_Caption1206"/>
      <w:bookmarkStart w:id="3029" w:name="_Caption4574"/>
      <w:bookmarkStart w:id="3030" w:name="_Caption7749"/>
      <w:bookmarkStart w:id="3031" w:name="_Caption4863"/>
      <w:bookmarkStart w:id="3032" w:name="_Caption2338"/>
      <w:bookmarkStart w:id="3033" w:name="_Caption8236"/>
      <w:bookmarkStart w:id="3034" w:name="_Caption1364"/>
      <w:bookmarkStart w:id="3035" w:name="_Caption7647"/>
      <w:bookmarkStart w:id="3036" w:name="_Caption8700"/>
      <w:bookmarkStart w:id="3037" w:name="_Caption2483"/>
      <w:bookmarkStart w:id="3038" w:name="_Caption8923"/>
      <w:bookmarkStart w:id="3039" w:name="_Caption1127"/>
      <w:bookmarkStart w:id="3040" w:name="_Caption2618"/>
      <w:bookmarkStart w:id="3041" w:name="_Caption8331"/>
      <w:bookmarkStart w:id="3042" w:name="_Caption7298"/>
      <w:bookmarkStart w:id="3043" w:name="_Caption9127"/>
      <w:bookmarkStart w:id="3044" w:name="_Caption9187"/>
      <w:bookmarkStart w:id="3045" w:name="_Caption6079"/>
      <w:bookmarkStart w:id="3046" w:name="_Caption0993"/>
      <w:bookmarkStart w:id="3047" w:name="_Caption6638"/>
      <w:bookmarkStart w:id="3048" w:name="_Caption2495"/>
      <w:bookmarkStart w:id="3049" w:name="_Caption6409"/>
      <w:bookmarkStart w:id="3050" w:name="_Caption7239"/>
      <w:bookmarkStart w:id="3051" w:name="_Caption8201"/>
      <w:bookmarkStart w:id="3052" w:name="_Caption6463"/>
      <w:bookmarkStart w:id="3053" w:name="_Caption7868"/>
      <w:bookmarkStart w:id="3054" w:name="_Caption9598"/>
      <w:bookmarkStart w:id="3055" w:name="_Caption1437"/>
      <w:bookmarkStart w:id="3056" w:name="_Caption0185"/>
      <w:bookmarkStart w:id="3057" w:name="_Caption9296"/>
      <w:bookmarkStart w:id="3058" w:name="_Caption7934"/>
      <w:bookmarkStart w:id="3059" w:name="_Caption9044"/>
      <w:bookmarkStart w:id="3060" w:name="_Caption8980"/>
      <w:bookmarkStart w:id="3061" w:name="_Caption5853"/>
      <w:bookmarkStart w:id="3062" w:name="_Caption1906"/>
      <w:bookmarkStart w:id="3063" w:name="_Caption3032"/>
      <w:bookmarkStart w:id="3064" w:name="_Caption8474"/>
      <w:bookmarkStart w:id="3065" w:name="_Caption7139"/>
      <w:bookmarkStart w:id="3066" w:name="_Caption1641"/>
      <w:bookmarkStart w:id="3067" w:name="_Caption4685"/>
      <w:bookmarkStart w:id="3068" w:name="_Caption8048"/>
      <w:bookmarkStart w:id="3069" w:name="_Caption2014"/>
      <w:bookmarkStart w:id="3070" w:name="_Caption4529"/>
      <w:bookmarkStart w:id="3071" w:name="_Caption4236"/>
      <w:bookmarkStart w:id="3072" w:name="_Caption7158"/>
      <w:bookmarkStart w:id="3073" w:name="_Caption5641"/>
      <w:bookmarkStart w:id="3074" w:name="_Caption5875"/>
      <w:bookmarkStart w:id="3075" w:name="_Caption0725"/>
      <w:bookmarkStart w:id="3076" w:name="_Caption4898"/>
      <w:bookmarkStart w:id="3077" w:name="_Caption6816"/>
      <w:bookmarkStart w:id="3078" w:name="_Caption7370"/>
      <w:bookmarkStart w:id="3079" w:name="_Caption6537"/>
      <w:bookmarkStart w:id="3080" w:name="_Caption6702"/>
      <w:bookmarkStart w:id="3081" w:name="_Caption5585"/>
      <w:bookmarkStart w:id="3082" w:name="_Caption0878"/>
      <w:bookmarkStart w:id="3083" w:name="_Caption8523"/>
      <w:bookmarkStart w:id="3084" w:name="_Caption5978"/>
      <w:bookmarkStart w:id="3085" w:name="_Caption4068"/>
      <w:bookmarkStart w:id="3086" w:name="_Caption7457"/>
      <w:bookmarkStart w:id="3087" w:name="_Caption3454"/>
      <w:bookmarkStart w:id="3088" w:name="_Caption9878"/>
      <w:bookmarkStart w:id="3089" w:name="_Caption8208"/>
      <w:bookmarkStart w:id="3090" w:name="_Caption2300"/>
      <w:bookmarkStart w:id="3091" w:name="_Caption7687"/>
      <w:bookmarkStart w:id="3092" w:name="_Caption2040"/>
      <w:bookmarkStart w:id="3093" w:name="_Caption3175"/>
      <w:bookmarkStart w:id="3094" w:name="_Caption2805"/>
      <w:bookmarkStart w:id="3095" w:name="_Caption2347"/>
      <w:bookmarkStart w:id="3096" w:name="_Caption0495"/>
      <w:bookmarkStart w:id="3097" w:name="_Caption7639"/>
      <w:bookmarkStart w:id="3098" w:name="_Caption2692"/>
      <w:bookmarkStart w:id="3099" w:name="_Caption2579"/>
      <w:bookmarkStart w:id="3100" w:name="_Caption1891"/>
      <w:bookmarkStart w:id="3101" w:name="_Caption1536"/>
      <w:bookmarkStart w:id="3102" w:name="_Caption2308"/>
      <w:bookmarkStart w:id="3103" w:name="_Caption1873"/>
      <w:bookmarkStart w:id="3104" w:name="_Caption2864"/>
      <w:bookmarkStart w:id="3105" w:name="_Caption8605"/>
      <w:bookmarkStart w:id="3106" w:name="_Caption4432"/>
      <w:bookmarkStart w:id="3107" w:name="_Caption5766"/>
      <w:bookmarkStart w:id="3108" w:name="_Caption9194"/>
      <w:bookmarkStart w:id="3109" w:name="_Caption7940"/>
      <w:bookmarkStart w:id="3110" w:name="_Caption7035"/>
      <w:bookmarkStart w:id="3111" w:name="_Caption3950"/>
      <w:bookmarkStart w:id="3112" w:name="_Caption8874"/>
      <w:bookmarkStart w:id="3113" w:name="_Caption0925"/>
      <w:bookmarkStart w:id="3114" w:name="_Toc32321813"/>
      <w:bookmarkStart w:id="3115" w:name="_Toc44598509"/>
      <w:bookmarkStart w:id="3116" w:name="_Toc45654140"/>
      <w:r w:rsidR="00272AF3">
        <w:rPr>
          <w:noProof/>
        </w:rPr>
        <w:t>2</w:t>
      </w:r>
      <w:r w:rsidR="00272AF3" w:rsidRPr="00695C93">
        <w:rPr>
          <w:noProof/>
        </w:rPr>
        <w:t>.</w:t>
      </w:r>
      <w:r w:rsidR="00272AF3">
        <w:rPr>
          <w:noProof/>
        </w:rPr>
        <w:t>25</w:t>
      </w:r>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r w:rsidRPr="00695C93">
        <w:fldChar w:fldCharType="end"/>
      </w:r>
      <w:r w:rsidRPr="00695C93">
        <w:tab/>
      </w:r>
      <w:r>
        <w:t>Estimated cost of delayed discharge from hospital or transition care</w:t>
      </w:r>
      <w:bookmarkEnd w:id="3114"/>
      <w:bookmarkEnd w:id="3115"/>
      <w:bookmarkEnd w:id="3116"/>
    </w:p>
    <w:tbl>
      <w:tblPr>
        <w:tblStyle w:val="TableGridLight"/>
        <w:tblW w:w="7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2.25"/>
        <w:tblDescription w:val="Estimated cost of delayed discharge from hospital or transition care"/>
      </w:tblPr>
      <w:tblGrid>
        <w:gridCol w:w="2268"/>
        <w:gridCol w:w="1134"/>
        <w:gridCol w:w="851"/>
        <w:gridCol w:w="850"/>
        <w:gridCol w:w="851"/>
        <w:gridCol w:w="992"/>
        <w:gridCol w:w="990"/>
      </w:tblGrid>
      <w:tr w:rsidR="007C6A5F" w:rsidTr="006E0952">
        <w:trPr>
          <w:trHeight w:val="1152"/>
          <w:tblHeader/>
        </w:trPr>
        <w:tc>
          <w:tcPr>
            <w:tcW w:w="2268" w:type="dxa"/>
            <w:shd w:val="clear" w:color="auto" w:fill="6F6652" w:themeFill="accent5"/>
          </w:tcPr>
          <w:p w:rsidR="007C6A5F" w:rsidRDefault="006E0952" w:rsidP="00C36DA4">
            <w:pPr>
              <w:pStyle w:val="TableDataColumnHeading"/>
              <w:jc w:val="left"/>
              <w:rPr>
                <w:lang w:val="en-GB"/>
              </w:rPr>
            </w:pPr>
            <w:r>
              <w:rPr>
                <w:lang w:val="en-GB"/>
              </w:rPr>
              <w:t>Type of care</w:t>
            </w:r>
          </w:p>
        </w:tc>
        <w:tc>
          <w:tcPr>
            <w:tcW w:w="1134" w:type="dxa"/>
            <w:shd w:val="clear" w:color="auto" w:fill="6F6652" w:themeFill="accent5"/>
          </w:tcPr>
          <w:p w:rsidR="007C6A5F" w:rsidRDefault="007C6A5F" w:rsidP="00C36DA4">
            <w:pPr>
              <w:pStyle w:val="TableDataColumnHeading"/>
              <w:rPr>
                <w:lang w:val="en-GB"/>
              </w:rPr>
            </w:pPr>
            <w:r>
              <w:rPr>
                <w:lang w:val="en-GB"/>
              </w:rPr>
              <w:t>Admissions</w:t>
            </w:r>
            <w:r w:rsidR="006E0952">
              <w:rPr>
                <w:lang w:val="en-GB"/>
              </w:rPr>
              <w:br/>
              <w:t>(No.)</w:t>
            </w:r>
          </w:p>
        </w:tc>
        <w:tc>
          <w:tcPr>
            <w:tcW w:w="851" w:type="dxa"/>
            <w:shd w:val="clear" w:color="auto" w:fill="6F6652" w:themeFill="accent5"/>
          </w:tcPr>
          <w:p w:rsidR="007C6A5F" w:rsidRDefault="007C6A5F" w:rsidP="00C36DA4">
            <w:pPr>
              <w:pStyle w:val="TableDataColumnHeading"/>
              <w:rPr>
                <w:lang w:val="en-GB"/>
              </w:rPr>
            </w:pPr>
            <w:r>
              <w:rPr>
                <w:lang w:val="en-GB"/>
              </w:rPr>
              <w:t>Patient days</w:t>
            </w:r>
            <w:r w:rsidR="006E0952">
              <w:rPr>
                <w:lang w:val="en-GB"/>
              </w:rPr>
              <w:br/>
              <w:t>(No.)</w:t>
            </w:r>
          </w:p>
        </w:tc>
        <w:tc>
          <w:tcPr>
            <w:tcW w:w="850" w:type="dxa"/>
            <w:shd w:val="clear" w:color="auto" w:fill="6F6652" w:themeFill="accent5"/>
          </w:tcPr>
          <w:p w:rsidR="007C6A5F" w:rsidRDefault="007C6A5F" w:rsidP="00C36DA4">
            <w:pPr>
              <w:pStyle w:val="TableDataColumnHeading"/>
              <w:rPr>
                <w:lang w:val="en-GB"/>
              </w:rPr>
            </w:pPr>
            <w:r>
              <w:rPr>
                <w:lang w:val="en-GB"/>
              </w:rPr>
              <w:t>Cost per day</w:t>
            </w:r>
            <w:r w:rsidR="006E0952">
              <w:rPr>
                <w:lang w:val="en-GB"/>
              </w:rPr>
              <w:br/>
              <w:t>($)</w:t>
            </w:r>
          </w:p>
        </w:tc>
        <w:tc>
          <w:tcPr>
            <w:tcW w:w="851" w:type="dxa"/>
            <w:shd w:val="clear" w:color="auto" w:fill="6F6652" w:themeFill="accent5"/>
          </w:tcPr>
          <w:p w:rsidR="007C6A5F" w:rsidRDefault="007C6A5F" w:rsidP="00C36DA4">
            <w:pPr>
              <w:pStyle w:val="TableDataColumnHeading"/>
              <w:rPr>
                <w:lang w:val="en-GB"/>
              </w:rPr>
            </w:pPr>
            <w:r>
              <w:rPr>
                <w:lang w:val="en-GB"/>
              </w:rPr>
              <w:t>Total cost</w:t>
            </w:r>
            <w:r w:rsidR="006E0952">
              <w:rPr>
                <w:lang w:val="en-GB"/>
              </w:rPr>
              <w:br/>
              <w:t>($ million)</w:t>
            </w:r>
          </w:p>
        </w:tc>
        <w:tc>
          <w:tcPr>
            <w:tcW w:w="992" w:type="dxa"/>
            <w:shd w:val="clear" w:color="auto" w:fill="6F6652" w:themeFill="accent5"/>
          </w:tcPr>
          <w:p w:rsidR="007C6A5F" w:rsidRDefault="007C6A5F" w:rsidP="00C36DA4">
            <w:pPr>
              <w:pStyle w:val="TableDataColumnHeading"/>
              <w:rPr>
                <w:lang w:val="en-GB"/>
              </w:rPr>
            </w:pPr>
            <w:r>
              <w:rPr>
                <w:lang w:val="en-GB"/>
              </w:rPr>
              <w:t>Share due to lack of accessible housing</w:t>
            </w:r>
            <w:r w:rsidR="006E0952">
              <w:rPr>
                <w:lang w:val="en-GB"/>
              </w:rPr>
              <w:br/>
              <w:t>(per cent)</w:t>
            </w:r>
          </w:p>
        </w:tc>
        <w:tc>
          <w:tcPr>
            <w:tcW w:w="990" w:type="dxa"/>
            <w:shd w:val="clear" w:color="auto" w:fill="6F6652" w:themeFill="accent5"/>
          </w:tcPr>
          <w:p w:rsidR="007C6A5F" w:rsidRDefault="007C6A5F" w:rsidP="00C36DA4">
            <w:pPr>
              <w:pStyle w:val="TableDataColumnHeading"/>
              <w:rPr>
                <w:lang w:val="en-GB"/>
              </w:rPr>
            </w:pPr>
            <w:r>
              <w:rPr>
                <w:lang w:val="en-GB"/>
              </w:rPr>
              <w:t>Estimated cost due to lack of accessible housing</w:t>
            </w:r>
            <w:r w:rsidR="006E0952">
              <w:rPr>
                <w:lang w:val="en-GB"/>
              </w:rPr>
              <w:br/>
              <w:t>($ million)</w:t>
            </w:r>
          </w:p>
        </w:tc>
      </w:tr>
      <w:tr w:rsidR="005A05FE" w:rsidTr="005A05FE">
        <w:trPr>
          <w:trHeight w:val="230"/>
        </w:trPr>
        <w:tc>
          <w:tcPr>
            <w:tcW w:w="22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jc w:val="left"/>
              <w:rPr>
                <w:lang w:val="en-GB"/>
              </w:rPr>
            </w:pPr>
            <w:r>
              <w:rPr>
                <w:lang w:val="en-GB"/>
              </w:rPr>
              <w:t>Rehabilitation care</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rPr>
                <w:lang w:val="en-GB"/>
              </w:rPr>
            </w:pPr>
            <w:r>
              <w:rPr>
                <w:lang w:val="en-GB"/>
              </w:rPr>
              <w:t xml:space="preserve"> 93 751 </w:t>
            </w:r>
            <w:r w:rsidRPr="00891416">
              <w:rPr>
                <w:rStyle w:val="NoteLabel"/>
                <w:color w:val="000000" w:themeColor="text1"/>
              </w:rPr>
              <w:t>a</w:t>
            </w:r>
          </w:p>
        </w:tc>
        <w:tc>
          <w:tcPr>
            <w:tcW w:w="851" w:type="dxa"/>
            <w:tcBorders>
              <w:top w:val="single" w:sz="8" w:space="0" w:color="FFFFFF" w:themeColor="background1"/>
              <w:bottom w:val="single" w:sz="8" w:space="0" w:color="FFFFFF" w:themeColor="background1"/>
            </w:tcBorders>
            <w:shd w:val="clear" w:color="auto" w:fill="E9E8E5" w:themeFill="background2"/>
          </w:tcPr>
          <w:p w:rsidR="007C6A5F" w:rsidRPr="00013F7D" w:rsidRDefault="007C6A5F" w:rsidP="005A05FE">
            <w:pPr>
              <w:pStyle w:val="TableDataEntries"/>
              <w:ind w:left="-57"/>
            </w:pPr>
            <w:r w:rsidRPr="00013F7D">
              <w:t xml:space="preserve"> 2 754</w:t>
            </w:r>
            <w:r>
              <w:t xml:space="preserve"> </w:t>
            </w:r>
            <w:r w:rsidRPr="00891416">
              <w:rPr>
                <w:rStyle w:val="NoteLabel"/>
                <w:color w:val="000000" w:themeColor="text1"/>
              </w:rPr>
              <w:t>b</w:t>
            </w:r>
          </w:p>
        </w:tc>
        <w:tc>
          <w:tcPr>
            <w:tcW w:w="85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rPr>
                <w:lang w:val="en-GB"/>
              </w:rPr>
            </w:pPr>
            <w:r>
              <w:rPr>
                <w:lang w:val="en-GB"/>
              </w:rPr>
              <w:t xml:space="preserve">  890 </w:t>
            </w:r>
            <w:r w:rsidRPr="00891416">
              <w:rPr>
                <w:rStyle w:val="NoteLabel"/>
                <w:color w:val="000000" w:themeColor="text1"/>
              </w:rPr>
              <w:t>c</w:t>
            </w:r>
          </w:p>
        </w:tc>
        <w:tc>
          <w:tcPr>
            <w:tcW w:w="85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rPr>
                <w:lang w:val="en-GB"/>
              </w:rPr>
            </w:pPr>
            <w:r>
              <w:rPr>
                <w:lang w:val="en-GB"/>
              </w:rPr>
              <w:t>2 451.7</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rPr>
                <w:lang w:val="en-GB"/>
              </w:rPr>
            </w:pPr>
            <w:r>
              <w:rPr>
                <w:lang w:val="en-GB"/>
              </w:rPr>
              <w:t xml:space="preserve"> 6.7 </w:t>
            </w:r>
            <w:r w:rsidRPr="00891416">
              <w:rPr>
                <w:rStyle w:val="NoteLabel"/>
                <w:color w:val="000000" w:themeColor="text1"/>
              </w:rPr>
              <w:t>f</w:t>
            </w:r>
          </w:p>
        </w:tc>
        <w:tc>
          <w:tcPr>
            <w:tcW w:w="99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rPr>
                <w:lang w:val="en-GB"/>
              </w:rPr>
            </w:pPr>
            <w:r>
              <w:rPr>
                <w:lang w:val="en-GB"/>
              </w:rPr>
              <w:t xml:space="preserve"> 163.2</w:t>
            </w:r>
          </w:p>
        </w:tc>
      </w:tr>
      <w:tr w:rsidR="005A05FE" w:rsidTr="005A05FE">
        <w:trPr>
          <w:trHeight w:val="230"/>
        </w:trPr>
        <w:tc>
          <w:tcPr>
            <w:tcW w:w="22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jc w:val="left"/>
              <w:rPr>
                <w:lang w:val="en-GB"/>
              </w:rPr>
            </w:pPr>
            <w:r>
              <w:rPr>
                <w:lang w:val="en-GB"/>
              </w:rPr>
              <w:t>Geriatric evaluation and management</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rPr>
                <w:lang w:val="en-GB"/>
              </w:rPr>
            </w:pPr>
            <w:r>
              <w:rPr>
                <w:lang w:val="en-GB"/>
              </w:rPr>
              <w:t xml:space="preserve"> 36 676 </w:t>
            </w:r>
            <w:r w:rsidRPr="00891416">
              <w:rPr>
                <w:rStyle w:val="NoteLabel"/>
                <w:color w:val="000000" w:themeColor="text1"/>
              </w:rPr>
              <w:t>a</w:t>
            </w:r>
          </w:p>
        </w:tc>
        <w:tc>
          <w:tcPr>
            <w:tcW w:w="851" w:type="dxa"/>
            <w:tcBorders>
              <w:top w:val="single" w:sz="8" w:space="0" w:color="FFFFFF" w:themeColor="background1"/>
              <w:bottom w:val="single" w:sz="8" w:space="0" w:color="FFFFFF" w:themeColor="background1"/>
            </w:tcBorders>
            <w:shd w:val="clear" w:color="auto" w:fill="E9E8E5" w:themeFill="background2"/>
          </w:tcPr>
          <w:p w:rsidR="007C6A5F" w:rsidRPr="00013F7D" w:rsidRDefault="007C6A5F" w:rsidP="005A05FE">
            <w:pPr>
              <w:pStyle w:val="TableDataEntries"/>
              <w:ind w:left="-57"/>
            </w:pPr>
            <w:r w:rsidRPr="00013F7D">
              <w:t xml:space="preserve">  643</w:t>
            </w:r>
            <w:r>
              <w:t xml:space="preserve"> </w:t>
            </w:r>
            <w:r w:rsidRPr="00891416">
              <w:rPr>
                <w:rStyle w:val="NoteLabel"/>
                <w:color w:val="000000" w:themeColor="text1"/>
              </w:rPr>
              <w:t>b</w:t>
            </w:r>
          </w:p>
        </w:tc>
        <w:tc>
          <w:tcPr>
            <w:tcW w:w="85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rPr>
                <w:lang w:val="en-GB"/>
              </w:rPr>
            </w:pPr>
            <w:r>
              <w:rPr>
                <w:lang w:val="en-GB"/>
              </w:rPr>
              <w:t xml:space="preserve">  878 </w:t>
            </w:r>
            <w:r w:rsidRPr="00891416">
              <w:rPr>
                <w:rStyle w:val="NoteLabel"/>
                <w:color w:val="000000" w:themeColor="text1"/>
              </w:rPr>
              <w:t>c</w:t>
            </w:r>
          </w:p>
        </w:tc>
        <w:tc>
          <w:tcPr>
            <w:tcW w:w="85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rPr>
                <w:lang w:val="en-GB"/>
              </w:rPr>
            </w:pPr>
            <w:r>
              <w:rPr>
                <w:lang w:val="en-GB"/>
              </w:rPr>
              <w:t xml:space="preserve"> 565.0</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rPr>
                <w:lang w:val="en-GB"/>
              </w:rPr>
            </w:pPr>
            <w:r>
              <w:rPr>
                <w:lang w:val="en-GB"/>
              </w:rPr>
              <w:t xml:space="preserve"> 6.7 </w:t>
            </w:r>
            <w:r w:rsidRPr="00891416">
              <w:rPr>
                <w:rStyle w:val="NoteLabel"/>
                <w:color w:val="000000" w:themeColor="text1"/>
              </w:rPr>
              <w:t>f</w:t>
            </w:r>
          </w:p>
        </w:tc>
        <w:tc>
          <w:tcPr>
            <w:tcW w:w="99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rPr>
                <w:lang w:val="en-GB"/>
              </w:rPr>
            </w:pPr>
            <w:r>
              <w:rPr>
                <w:lang w:val="en-GB"/>
              </w:rPr>
              <w:t xml:space="preserve"> 37.6</w:t>
            </w:r>
          </w:p>
        </w:tc>
      </w:tr>
      <w:tr w:rsidR="005A05FE" w:rsidTr="005A05FE">
        <w:trPr>
          <w:trHeight w:val="230"/>
        </w:trPr>
        <w:tc>
          <w:tcPr>
            <w:tcW w:w="22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jc w:val="left"/>
              <w:rPr>
                <w:lang w:val="en-GB"/>
              </w:rPr>
            </w:pPr>
            <w:r>
              <w:rPr>
                <w:lang w:val="en-GB"/>
              </w:rPr>
              <w:t>Psychogeriatric care</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Pr="00F10190" w:rsidRDefault="007C6A5F" w:rsidP="005A05FE">
            <w:pPr>
              <w:pStyle w:val="TableDataEntries"/>
              <w:ind w:left="-57"/>
            </w:pPr>
            <w:r w:rsidRPr="00F10190">
              <w:t xml:space="preserve"> 1 332</w:t>
            </w:r>
          </w:p>
        </w:tc>
        <w:tc>
          <w:tcPr>
            <w:tcW w:w="851" w:type="dxa"/>
            <w:tcBorders>
              <w:top w:val="single" w:sz="8" w:space="0" w:color="FFFFFF" w:themeColor="background1"/>
              <w:bottom w:val="single" w:sz="8" w:space="0" w:color="FFFFFF" w:themeColor="background1"/>
            </w:tcBorders>
            <w:shd w:val="clear" w:color="auto" w:fill="E9E8E5" w:themeFill="background2"/>
          </w:tcPr>
          <w:p w:rsidR="007C6A5F" w:rsidRPr="00F10190" w:rsidRDefault="007C6A5F" w:rsidP="005A05FE">
            <w:pPr>
              <w:pStyle w:val="TableDataEntries"/>
              <w:ind w:left="-57"/>
            </w:pPr>
            <w:r w:rsidRPr="00F10190">
              <w:t xml:space="preserve">  84</w:t>
            </w:r>
          </w:p>
        </w:tc>
        <w:tc>
          <w:tcPr>
            <w:tcW w:w="850" w:type="dxa"/>
            <w:tcBorders>
              <w:top w:val="single" w:sz="8" w:space="0" w:color="FFFFFF" w:themeColor="background1"/>
              <w:bottom w:val="single" w:sz="8" w:space="0" w:color="FFFFFF" w:themeColor="background1"/>
            </w:tcBorders>
            <w:shd w:val="clear" w:color="auto" w:fill="E9E8E5" w:themeFill="background2"/>
          </w:tcPr>
          <w:p w:rsidR="007C6A5F" w:rsidRPr="00F10190" w:rsidRDefault="007C6A5F" w:rsidP="005A05FE">
            <w:pPr>
              <w:pStyle w:val="TableDataEntries"/>
              <w:ind w:left="-57"/>
            </w:pPr>
            <w:r w:rsidRPr="00F10190">
              <w:t xml:space="preserve">  983</w:t>
            </w:r>
          </w:p>
        </w:tc>
        <w:tc>
          <w:tcPr>
            <w:tcW w:w="851" w:type="dxa"/>
            <w:tcBorders>
              <w:top w:val="single" w:sz="8" w:space="0" w:color="FFFFFF" w:themeColor="background1"/>
              <w:bottom w:val="single" w:sz="8" w:space="0" w:color="FFFFFF" w:themeColor="background1"/>
            </w:tcBorders>
            <w:shd w:val="clear" w:color="auto" w:fill="E9E8E5" w:themeFill="background2"/>
          </w:tcPr>
          <w:p w:rsidR="007C6A5F" w:rsidRPr="00F10190" w:rsidRDefault="007C6A5F" w:rsidP="005A05FE">
            <w:pPr>
              <w:pStyle w:val="TableDataEntries"/>
              <w:ind w:left="-57"/>
            </w:pPr>
            <w:r w:rsidRPr="00F10190">
              <w:t xml:space="preserve"> 82.8</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F10190" w:rsidRDefault="007C6A5F" w:rsidP="005A05FE">
            <w:pPr>
              <w:pStyle w:val="TableDataEntries"/>
              <w:ind w:left="-57"/>
            </w:pPr>
            <w:r w:rsidRPr="00F10190">
              <w:t xml:space="preserve"> 6.7</w:t>
            </w:r>
          </w:p>
        </w:tc>
        <w:tc>
          <w:tcPr>
            <w:tcW w:w="990" w:type="dxa"/>
            <w:tcBorders>
              <w:top w:val="single" w:sz="8" w:space="0" w:color="FFFFFF" w:themeColor="background1"/>
              <w:bottom w:val="single" w:sz="8" w:space="0" w:color="FFFFFF" w:themeColor="background1"/>
            </w:tcBorders>
            <w:shd w:val="clear" w:color="auto" w:fill="E9E8E5" w:themeFill="background2"/>
          </w:tcPr>
          <w:p w:rsidR="007C6A5F" w:rsidRPr="00F10190" w:rsidRDefault="007C6A5F" w:rsidP="005A05FE">
            <w:pPr>
              <w:pStyle w:val="TableDataEntries"/>
              <w:ind w:left="-57"/>
            </w:pPr>
            <w:r w:rsidRPr="00F10190">
              <w:t xml:space="preserve"> 5.5</w:t>
            </w:r>
          </w:p>
        </w:tc>
      </w:tr>
      <w:tr w:rsidR="005A05FE" w:rsidTr="005A05FE">
        <w:trPr>
          <w:trHeight w:val="230"/>
        </w:trPr>
        <w:tc>
          <w:tcPr>
            <w:tcW w:w="22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jc w:val="left"/>
              <w:rPr>
                <w:lang w:val="en-GB"/>
              </w:rPr>
            </w:pPr>
            <w:r>
              <w:rPr>
                <w:lang w:val="en-GB"/>
              </w:rPr>
              <w:t>Maintenance care</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rPr>
                <w:lang w:val="en-GB"/>
              </w:rPr>
            </w:pPr>
            <w:r>
              <w:rPr>
                <w:lang w:val="en-GB"/>
              </w:rPr>
              <w:t xml:space="preserve"> 28 108 </w:t>
            </w:r>
            <w:r w:rsidRPr="00891416">
              <w:rPr>
                <w:rStyle w:val="NoteLabel"/>
                <w:color w:val="000000" w:themeColor="text1"/>
              </w:rPr>
              <w:t>a</w:t>
            </w:r>
          </w:p>
        </w:tc>
        <w:tc>
          <w:tcPr>
            <w:tcW w:w="851" w:type="dxa"/>
            <w:tcBorders>
              <w:top w:val="single" w:sz="8" w:space="0" w:color="FFFFFF" w:themeColor="background1"/>
              <w:bottom w:val="single" w:sz="8" w:space="0" w:color="FFFFFF" w:themeColor="background1"/>
            </w:tcBorders>
            <w:shd w:val="clear" w:color="auto" w:fill="E9E8E5" w:themeFill="background2"/>
          </w:tcPr>
          <w:p w:rsidR="007C6A5F" w:rsidRPr="00013F7D" w:rsidRDefault="007C6A5F" w:rsidP="005A05FE">
            <w:pPr>
              <w:pStyle w:val="TableDataEntries"/>
              <w:ind w:left="-57"/>
            </w:pPr>
            <w:r w:rsidRPr="00013F7D">
              <w:t xml:space="preserve">  553</w:t>
            </w:r>
            <w:r>
              <w:t xml:space="preserve"> </w:t>
            </w:r>
            <w:r w:rsidRPr="00891416">
              <w:rPr>
                <w:rStyle w:val="NoteLabel"/>
                <w:color w:val="000000" w:themeColor="text1"/>
              </w:rPr>
              <w:t>b</w:t>
            </w:r>
          </w:p>
        </w:tc>
        <w:tc>
          <w:tcPr>
            <w:tcW w:w="85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rPr>
                <w:lang w:val="en-GB"/>
              </w:rPr>
            </w:pPr>
            <w:r>
              <w:rPr>
                <w:lang w:val="en-GB"/>
              </w:rPr>
              <w:t xml:space="preserve"> 1 055 </w:t>
            </w:r>
            <w:r w:rsidRPr="00891416">
              <w:rPr>
                <w:rStyle w:val="NoteLabel"/>
                <w:color w:val="000000" w:themeColor="text1"/>
              </w:rPr>
              <w:t>c</w:t>
            </w:r>
          </w:p>
        </w:tc>
        <w:tc>
          <w:tcPr>
            <w:tcW w:w="85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rPr>
                <w:lang w:val="en-GB"/>
              </w:rPr>
            </w:pPr>
            <w:r>
              <w:rPr>
                <w:lang w:val="en-GB"/>
              </w:rPr>
              <w:t xml:space="preserve"> 583.2</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rPr>
                <w:lang w:val="en-GB"/>
              </w:rPr>
            </w:pPr>
            <w:r>
              <w:rPr>
                <w:lang w:val="en-GB"/>
              </w:rPr>
              <w:t xml:space="preserve"> 1.8 </w:t>
            </w:r>
            <w:r w:rsidRPr="00891416">
              <w:rPr>
                <w:rStyle w:val="NoteLabel"/>
                <w:color w:val="000000" w:themeColor="text1"/>
              </w:rPr>
              <w:t>g</w:t>
            </w:r>
          </w:p>
        </w:tc>
        <w:tc>
          <w:tcPr>
            <w:tcW w:w="99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rPr>
                <w:lang w:val="en-GB"/>
              </w:rPr>
            </w:pPr>
            <w:r>
              <w:rPr>
                <w:lang w:val="en-GB"/>
              </w:rPr>
              <w:t xml:space="preserve"> 10.5</w:t>
            </w:r>
          </w:p>
        </w:tc>
      </w:tr>
      <w:tr w:rsidR="005A05FE" w:rsidTr="00B5160B">
        <w:trPr>
          <w:trHeight w:val="230"/>
        </w:trPr>
        <w:tc>
          <w:tcPr>
            <w:tcW w:w="22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jc w:val="left"/>
              <w:rPr>
                <w:lang w:val="en-GB"/>
              </w:rPr>
            </w:pPr>
            <w:r>
              <w:rPr>
                <w:lang w:val="en-GB"/>
              </w:rPr>
              <w:t>Transition care</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rPr>
                <w:lang w:val="en-GB"/>
              </w:rPr>
            </w:pPr>
            <w:r>
              <w:rPr>
                <w:lang w:val="en-GB"/>
              </w:rPr>
              <w:t xml:space="preserve"> 24 028 </w:t>
            </w:r>
            <w:r w:rsidRPr="00891416">
              <w:rPr>
                <w:rStyle w:val="NoteLabel"/>
                <w:color w:val="000000" w:themeColor="text1"/>
              </w:rPr>
              <w:t>d</w:t>
            </w:r>
          </w:p>
        </w:tc>
        <w:tc>
          <w:tcPr>
            <w:tcW w:w="851" w:type="dxa"/>
            <w:tcBorders>
              <w:top w:val="single" w:sz="8" w:space="0" w:color="FFFFFF" w:themeColor="background1"/>
              <w:bottom w:val="single" w:sz="8" w:space="0" w:color="FFFFFF" w:themeColor="background1"/>
            </w:tcBorders>
            <w:shd w:val="clear" w:color="auto" w:fill="E9E8E5" w:themeFill="background2"/>
          </w:tcPr>
          <w:p w:rsidR="007C6A5F" w:rsidRPr="00013F7D" w:rsidRDefault="007C6A5F" w:rsidP="005A05FE">
            <w:pPr>
              <w:pStyle w:val="TableDataEntries"/>
              <w:ind w:left="-57"/>
            </w:pPr>
            <w:r w:rsidRPr="00013F7D">
              <w:t xml:space="preserve"> 1 302</w:t>
            </w:r>
            <w:r>
              <w:t xml:space="preserve"> </w:t>
            </w:r>
            <w:r w:rsidRPr="00891416">
              <w:rPr>
                <w:rStyle w:val="NoteLabel"/>
                <w:color w:val="000000" w:themeColor="text1"/>
              </w:rPr>
              <w:t>d</w:t>
            </w:r>
          </w:p>
        </w:tc>
        <w:tc>
          <w:tcPr>
            <w:tcW w:w="85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rPr>
                <w:lang w:val="en-GB"/>
              </w:rPr>
            </w:pPr>
            <w:r>
              <w:rPr>
                <w:lang w:val="en-GB"/>
              </w:rPr>
              <w:t xml:space="preserve">  205 </w:t>
            </w:r>
            <w:r w:rsidRPr="00891416">
              <w:rPr>
                <w:rStyle w:val="NoteLabel"/>
                <w:color w:val="000000" w:themeColor="text1"/>
              </w:rPr>
              <w:t>e</w:t>
            </w:r>
          </w:p>
        </w:tc>
        <w:tc>
          <w:tcPr>
            <w:tcW w:w="85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rPr>
                <w:lang w:val="en-GB"/>
              </w:rPr>
            </w:pPr>
            <w:r>
              <w:rPr>
                <w:lang w:val="en-GB"/>
              </w:rPr>
              <w:t xml:space="preserve"> 266.7</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rPr>
                <w:lang w:val="en-GB"/>
              </w:rPr>
            </w:pPr>
            <w:r>
              <w:rPr>
                <w:lang w:val="en-GB"/>
              </w:rPr>
              <w:t xml:space="preserve"> 6.7 </w:t>
            </w:r>
            <w:r w:rsidRPr="00891416">
              <w:rPr>
                <w:rStyle w:val="NoteLabel"/>
                <w:color w:val="000000" w:themeColor="text1"/>
              </w:rPr>
              <w:t>f</w:t>
            </w:r>
          </w:p>
        </w:tc>
        <w:tc>
          <w:tcPr>
            <w:tcW w:w="99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5A05FE">
            <w:pPr>
              <w:pStyle w:val="TableDataEntries"/>
              <w:ind w:left="-57"/>
              <w:rPr>
                <w:lang w:val="en-GB"/>
              </w:rPr>
            </w:pPr>
            <w:r>
              <w:rPr>
                <w:lang w:val="en-GB"/>
              </w:rPr>
              <w:t>17.8</w:t>
            </w:r>
          </w:p>
        </w:tc>
      </w:tr>
      <w:tr w:rsidR="005A05FE" w:rsidRPr="00AA15C1" w:rsidTr="00B5160B">
        <w:trPr>
          <w:trHeight w:val="230"/>
        </w:trPr>
        <w:tc>
          <w:tcPr>
            <w:tcW w:w="2268" w:type="dxa"/>
            <w:tcBorders>
              <w:top w:val="single" w:sz="8" w:space="0" w:color="FFFFFF" w:themeColor="background1"/>
              <w:bottom w:val="single" w:sz="4" w:space="0" w:color="6F6652" w:themeColor="accent5"/>
            </w:tcBorders>
            <w:shd w:val="clear" w:color="auto" w:fill="C2DADB" w:themeFill="accent6" w:themeFillTint="99"/>
          </w:tcPr>
          <w:p w:rsidR="007C6A5F" w:rsidRPr="00AA15C1" w:rsidRDefault="007C6A5F" w:rsidP="005A05FE">
            <w:pPr>
              <w:pStyle w:val="TableDataEntries"/>
              <w:ind w:left="-57"/>
              <w:jc w:val="left"/>
              <w:rPr>
                <w:rFonts w:ascii="Franklin Gothic Demi" w:hAnsi="Franklin Gothic Demi"/>
                <w:lang w:val="en-GB"/>
              </w:rPr>
            </w:pPr>
            <w:r w:rsidRPr="00AA15C1">
              <w:rPr>
                <w:rFonts w:ascii="Franklin Gothic Demi" w:hAnsi="Franklin Gothic Demi"/>
                <w:lang w:val="en-GB"/>
              </w:rPr>
              <w:t>Total</w:t>
            </w:r>
          </w:p>
        </w:tc>
        <w:tc>
          <w:tcPr>
            <w:tcW w:w="1134" w:type="dxa"/>
            <w:tcBorders>
              <w:top w:val="single" w:sz="8" w:space="0" w:color="FFFFFF" w:themeColor="background1"/>
              <w:bottom w:val="single" w:sz="4" w:space="0" w:color="6F6652" w:themeColor="accent5"/>
            </w:tcBorders>
            <w:shd w:val="clear" w:color="auto" w:fill="C2DADB" w:themeFill="accent6" w:themeFillTint="99"/>
          </w:tcPr>
          <w:p w:rsidR="007C6A5F" w:rsidRPr="00AA15C1" w:rsidRDefault="007C6A5F" w:rsidP="005A05FE">
            <w:pPr>
              <w:pStyle w:val="TableDataEntries"/>
              <w:ind w:left="-57"/>
              <w:rPr>
                <w:rFonts w:ascii="Franklin Gothic Demi" w:hAnsi="Franklin Gothic Demi"/>
                <w:lang w:val="en-GB"/>
              </w:rPr>
            </w:pPr>
            <w:r w:rsidRPr="00AA15C1">
              <w:rPr>
                <w:rFonts w:ascii="Franklin Gothic Demi" w:hAnsi="Franklin Gothic Demi"/>
                <w:lang w:val="en-GB"/>
              </w:rPr>
              <w:t xml:space="preserve"> 159 867</w:t>
            </w:r>
          </w:p>
        </w:tc>
        <w:tc>
          <w:tcPr>
            <w:tcW w:w="851" w:type="dxa"/>
            <w:tcBorders>
              <w:top w:val="single" w:sz="8" w:space="0" w:color="FFFFFF" w:themeColor="background1"/>
              <w:bottom w:val="single" w:sz="4" w:space="0" w:color="6F6652" w:themeColor="accent5"/>
            </w:tcBorders>
            <w:shd w:val="clear" w:color="auto" w:fill="C2DADB" w:themeFill="accent6" w:themeFillTint="99"/>
          </w:tcPr>
          <w:p w:rsidR="007C6A5F" w:rsidRPr="00AA15C1" w:rsidRDefault="007C6A5F" w:rsidP="005A05FE">
            <w:pPr>
              <w:pStyle w:val="TableDataEntries"/>
              <w:ind w:left="-57"/>
              <w:rPr>
                <w:rFonts w:ascii="Franklin Gothic Demi" w:hAnsi="Franklin Gothic Demi"/>
              </w:rPr>
            </w:pPr>
            <w:r w:rsidRPr="00AA15C1">
              <w:rPr>
                <w:rFonts w:ascii="Franklin Gothic Demi" w:hAnsi="Franklin Gothic Demi"/>
              </w:rPr>
              <w:t>5 337</w:t>
            </w:r>
          </w:p>
        </w:tc>
        <w:tc>
          <w:tcPr>
            <w:tcW w:w="850" w:type="dxa"/>
            <w:tcBorders>
              <w:top w:val="single" w:sz="8" w:space="0" w:color="FFFFFF" w:themeColor="background1"/>
              <w:bottom w:val="single" w:sz="4" w:space="0" w:color="6F6652" w:themeColor="accent5"/>
            </w:tcBorders>
            <w:shd w:val="clear" w:color="auto" w:fill="C2DADB" w:themeFill="accent6" w:themeFillTint="99"/>
          </w:tcPr>
          <w:p w:rsidR="007C6A5F" w:rsidRPr="00AA15C1" w:rsidRDefault="007C6A5F" w:rsidP="005A05FE">
            <w:pPr>
              <w:pStyle w:val="TableDataEntries"/>
              <w:ind w:left="-57"/>
              <w:rPr>
                <w:rFonts w:ascii="Franklin Gothic Demi" w:hAnsi="Franklin Gothic Demi"/>
                <w:lang w:val="en-GB"/>
              </w:rPr>
            </w:pPr>
          </w:p>
        </w:tc>
        <w:tc>
          <w:tcPr>
            <w:tcW w:w="851" w:type="dxa"/>
            <w:tcBorders>
              <w:top w:val="single" w:sz="8" w:space="0" w:color="FFFFFF" w:themeColor="background1"/>
              <w:bottom w:val="single" w:sz="4" w:space="0" w:color="6F6652" w:themeColor="accent5"/>
            </w:tcBorders>
            <w:shd w:val="clear" w:color="auto" w:fill="C2DADB" w:themeFill="accent6" w:themeFillTint="99"/>
          </w:tcPr>
          <w:p w:rsidR="007C6A5F" w:rsidRPr="00AA15C1" w:rsidRDefault="007C6A5F" w:rsidP="005A05FE">
            <w:pPr>
              <w:pStyle w:val="TableDataEntries"/>
              <w:ind w:left="-57"/>
              <w:rPr>
                <w:rFonts w:ascii="Franklin Gothic Demi" w:hAnsi="Franklin Gothic Demi"/>
                <w:lang w:val="en-GB"/>
              </w:rPr>
            </w:pPr>
            <w:r w:rsidRPr="00AA15C1">
              <w:rPr>
                <w:rFonts w:ascii="Franklin Gothic Demi" w:hAnsi="Franklin Gothic Demi"/>
                <w:lang w:val="en-GB"/>
              </w:rPr>
              <w:t>3 949.5</w:t>
            </w:r>
          </w:p>
        </w:tc>
        <w:tc>
          <w:tcPr>
            <w:tcW w:w="992" w:type="dxa"/>
            <w:tcBorders>
              <w:top w:val="single" w:sz="8" w:space="0" w:color="FFFFFF" w:themeColor="background1"/>
              <w:bottom w:val="single" w:sz="4" w:space="0" w:color="6F6652" w:themeColor="accent5"/>
            </w:tcBorders>
            <w:shd w:val="clear" w:color="auto" w:fill="C2DADB" w:themeFill="accent6" w:themeFillTint="99"/>
          </w:tcPr>
          <w:p w:rsidR="007C6A5F" w:rsidRPr="00AA15C1" w:rsidRDefault="007C6A5F" w:rsidP="005A05FE">
            <w:pPr>
              <w:pStyle w:val="TableDataEntries"/>
              <w:ind w:left="-57"/>
              <w:rPr>
                <w:rFonts w:ascii="Franklin Gothic Demi" w:hAnsi="Franklin Gothic Demi"/>
                <w:lang w:val="en-GB"/>
              </w:rPr>
            </w:pPr>
          </w:p>
        </w:tc>
        <w:tc>
          <w:tcPr>
            <w:tcW w:w="990" w:type="dxa"/>
            <w:tcBorders>
              <w:top w:val="single" w:sz="8" w:space="0" w:color="FFFFFF" w:themeColor="background1"/>
              <w:bottom w:val="single" w:sz="4" w:space="0" w:color="6F6652" w:themeColor="accent5"/>
            </w:tcBorders>
            <w:shd w:val="clear" w:color="auto" w:fill="C2DADB" w:themeFill="accent6" w:themeFillTint="99"/>
          </w:tcPr>
          <w:p w:rsidR="007C6A5F" w:rsidRPr="00AA15C1" w:rsidRDefault="007C6A5F" w:rsidP="005A05FE">
            <w:pPr>
              <w:pStyle w:val="TableDataEntries"/>
              <w:ind w:left="-57"/>
              <w:rPr>
                <w:rFonts w:ascii="Franklin Gothic Demi" w:hAnsi="Franklin Gothic Demi"/>
                <w:lang w:val="en-GB"/>
              </w:rPr>
            </w:pPr>
            <w:r w:rsidRPr="00AA15C1">
              <w:rPr>
                <w:rFonts w:ascii="Franklin Gothic Demi" w:hAnsi="Franklin Gothic Demi"/>
                <w:lang w:val="en-GB"/>
              </w:rPr>
              <w:t>234.6</w:t>
            </w:r>
          </w:p>
        </w:tc>
      </w:tr>
    </w:tbl>
    <w:p w:rsidR="007C6A5F" w:rsidRDefault="007C6A5F" w:rsidP="007C6A5F">
      <w:pPr>
        <w:pStyle w:val="Note"/>
      </w:pPr>
      <w:r w:rsidRPr="00891416">
        <w:rPr>
          <w:rStyle w:val="NoteLabel"/>
          <w:color w:val="000000" w:themeColor="text1"/>
        </w:rPr>
        <w:t>a</w:t>
      </w:r>
      <w:r>
        <w:t xml:space="preserve"> AIHW, Australian Hospital Statistics, 2017</w:t>
      </w:r>
      <w:r>
        <w:noBreakHyphen/>
        <w:t xml:space="preserve">18, Table 4.5. </w:t>
      </w:r>
      <w:r w:rsidRPr="00891416">
        <w:rPr>
          <w:rStyle w:val="NoteLabel"/>
          <w:color w:val="000000" w:themeColor="text1"/>
        </w:rPr>
        <w:t>b</w:t>
      </w:r>
      <w:r>
        <w:t xml:space="preserve"> AIHW, Australian Hospital Statistics, 2018</w:t>
      </w:r>
      <w:r>
        <w:noBreakHyphen/>
        <w:t xml:space="preserve">18, Table S4.3. </w:t>
      </w:r>
      <w:r w:rsidRPr="00891416">
        <w:rPr>
          <w:rStyle w:val="NoteLabel"/>
          <w:color w:val="000000" w:themeColor="text1"/>
        </w:rPr>
        <w:t>c</w:t>
      </w:r>
      <w:r>
        <w:t xml:space="preserve"> Centre for Health Service Development, Development of the National Subacute and Non-acute Patient Classification Version 4, Final Report, April </w:t>
      </w:r>
    </w:p>
    <w:p w:rsidR="007C6A5F" w:rsidRPr="00E4232C" w:rsidRDefault="007C6A5F" w:rsidP="007C6A5F">
      <w:pPr>
        <w:pStyle w:val="Note"/>
      </w:pPr>
      <w:r>
        <w:t>2015, pp. 39</w:t>
      </w:r>
      <w:r>
        <w:noBreakHyphen/>
        <w:t xml:space="preserve">49. Data was inflated to 2019 dollars using the national CPI. </w:t>
      </w:r>
      <w:r w:rsidRPr="00891416">
        <w:rPr>
          <w:rStyle w:val="NoteLabel"/>
          <w:color w:val="000000" w:themeColor="text1"/>
        </w:rPr>
        <w:t>d</w:t>
      </w:r>
      <w:r>
        <w:t xml:space="preserve"> AIHW Aged Care Data Snapshot. </w:t>
      </w:r>
      <w:r w:rsidRPr="00891416">
        <w:rPr>
          <w:rStyle w:val="NoteLabel"/>
          <w:color w:val="000000" w:themeColor="text1"/>
        </w:rPr>
        <w:t>e</w:t>
      </w:r>
      <w:r>
        <w:t xml:space="preserve"> Calculated as the total expenditure on Transition Care divided by the number of patient days. </w:t>
      </w:r>
      <w:r w:rsidRPr="00891416">
        <w:rPr>
          <w:rStyle w:val="NoteLabel"/>
          <w:color w:val="000000" w:themeColor="text1"/>
        </w:rPr>
        <w:t>f</w:t>
      </w:r>
      <w:r>
        <w:t xml:space="preserve"> Based on New et. al. (2013). </w:t>
      </w:r>
      <w:r w:rsidRPr="00891416">
        <w:rPr>
          <w:rStyle w:val="NoteLabel"/>
          <w:color w:val="000000" w:themeColor="text1"/>
        </w:rPr>
        <w:t>g</w:t>
      </w:r>
      <w:r>
        <w:t xml:space="preserve"> Based on Salonga</w:t>
      </w:r>
      <w:r>
        <w:noBreakHyphen/>
        <w:t>Reyes and Scott (2017).</w:t>
      </w:r>
    </w:p>
    <w:p w:rsidR="007C6A5F" w:rsidRDefault="007C6A5F" w:rsidP="007C6A5F">
      <w:pPr>
        <w:pStyle w:val="Source"/>
        <w:rPr>
          <w:lang w:bidi="fa-IR"/>
        </w:rPr>
      </w:pPr>
      <w:r w:rsidRPr="005F6C3B">
        <w:rPr>
          <w:i/>
          <w:lang w:bidi="fa-IR"/>
        </w:rPr>
        <w:t>Source:</w:t>
      </w:r>
      <w:r>
        <w:rPr>
          <w:lang w:bidi="fa-IR"/>
        </w:rPr>
        <w:t xml:space="preserve"> Australian Institute of Health and Welfare, </w:t>
      </w:r>
      <w:r>
        <w:t>Australian Hospital Statistics, 2017</w:t>
      </w:r>
      <w:r>
        <w:noBreakHyphen/>
        <w:t>18; Australian Institute of Health and Welfare, Aged Care Data Snapshot 2018</w:t>
      </w:r>
      <w:r>
        <w:noBreakHyphen/>
        <w:t xml:space="preserve">19; Centre for Health Service Development, Development of the National Subacute and Non-acute Patient Classification Version 4, Final Report, April 2015; </w:t>
      </w:r>
      <w:r>
        <w:rPr>
          <w:lang w:bidi="fa-IR"/>
        </w:rPr>
        <w:t xml:space="preserve">New, P.W. Jolley, D.J. Cameron, P.A. Olver, J.H. and Stoelwinder, J.U. </w:t>
      </w:r>
      <w:r>
        <w:rPr>
          <w:lang w:val="en-US"/>
        </w:rPr>
        <w:t xml:space="preserve">2013, A prospective multicenter study to discharge from inpatient rehabilitations, </w:t>
      </w:r>
      <w:r w:rsidRPr="00BB5DEA">
        <w:rPr>
          <w:i/>
          <w:iCs/>
          <w:lang w:val="en-US"/>
        </w:rPr>
        <w:t>Medical Journal of Australia</w:t>
      </w:r>
      <w:r>
        <w:rPr>
          <w:lang w:val="en-US"/>
        </w:rPr>
        <w:t>, 198 (2), pp. 104</w:t>
      </w:r>
      <w:r>
        <w:rPr>
          <w:lang w:val="en-US"/>
        </w:rPr>
        <w:noBreakHyphen/>
        <w:t>108; Salonga</w:t>
      </w:r>
      <w:r>
        <w:rPr>
          <w:lang w:val="en-US"/>
        </w:rPr>
        <w:noBreakHyphen/>
        <w:t>Reyes, A. Scott, I.A. 2017, Stranded: causes and effects of discharge delays involving non</w:t>
      </w:r>
      <w:r>
        <w:rPr>
          <w:lang w:val="en-US"/>
        </w:rPr>
        <w:noBreakHyphen/>
        <w:t>acute in</w:t>
      </w:r>
      <w:r>
        <w:rPr>
          <w:lang w:val="en-US"/>
        </w:rPr>
        <w:noBreakHyphen/>
        <w:t>patients requiring maintenance care in a tertiary hospital general medicine service, Australian Health Review, 41, CSIRO Publishing, pp. 54</w:t>
      </w:r>
      <w:r>
        <w:rPr>
          <w:lang w:val="en-US"/>
        </w:rPr>
        <w:noBreakHyphen/>
        <w:t>62; CIE.</w:t>
      </w:r>
    </w:p>
    <w:p w:rsidR="007C6A5F" w:rsidRDefault="007C6A5F" w:rsidP="007C6A5F">
      <w:pPr>
        <w:pStyle w:val="Heading3"/>
        <w:numPr>
          <w:ilvl w:val="2"/>
          <w:numId w:val="5"/>
        </w:numPr>
        <w:rPr>
          <w:lang w:bidi="fa-IR"/>
        </w:rPr>
      </w:pPr>
      <w:r>
        <w:rPr>
          <w:lang w:bidi="fa-IR"/>
        </w:rPr>
        <w:t>Social isolation and loneliness</w:t>
      </w:r>
    </w:p>
    <w:p w:rsidR="007C6A5F" w:rsidRDefault="007C6A5F" w:rsidP="007C6A5F">
      <w:pPr>
        <w:pStyle w:val="BodyText"/>
        <w:rPr>
          <w:lang w:bidi="fa-IR"/>
        </w:rPr>
      </w:pPr>
      <w:r>
        <w:rPr>
          <w:lang w:bidi="fa-IR"/>
        </w:rPr>
        <w:t>During targeted stakeholder consultations, various stakeholders noted that a lack of accessible housing can lead to social isolation. According to the Australian Institute for Health and Welfare, social isolation is where an individual has minimal contact with others. This is distinguished from loneliness, which is a subjective state of negative feelings about having a lower level of social contact than desired.</w:t>
      </w:r>
      <w:r>
        <w:rPr>
          <w:rStyle w:val="FootnoteReference"/>
          <w:lang w:bidi="fa-IR"/>
        </w:rPr>
        <w:footnoteReference w:id="40"/>
      </w:r>
    </w:p>
    <w:p w:rsidR="007C6A5F" w:rsidRDefault="007C6A5F" w:rsidP="007C6A5F">
      <w:pPr>
        <w:pStyle w:val="BodyText"/>
        <w:rPr>
          <w:lang w:bidi="fa-IR"/>
        </w:rPr>
      </w:pPr>
      <w:r>
        <w:rPr>
          <w:lang w:bidi="fa-IR"/>
        </w:rPr>
        <w:t>According to a 2018 survey by the Australian Psychological Society and Swinburne University of Technology, around 25 per cent of Australians are lonely.</w:t>
      </w:r>
      <w:r>
        <w:rPr>
          <w:rStyle w:val="FootnoteReference"/>
          <w:lang w:bidi="fa-IR"/>
        </w:rPr>
        <w:footnoteReference w:id="41"/>
      </w:r>
      <w:r>
        <w:rPr>
          <w:lang w:bidi="fa-IR"/>
        </w:rPr>
        <w:t xml:space="preserve"> Loneliness is a growing concern globally, because of its reported impact on health and wellbeing. Various international studies have estimated that loneliness can impose significant health</w:t>
      </w:r>
      <w:r>
        <w:rPr>
          <w:lang w:bidi="fa-IR"/>
        </w:rPr>
        <w:noBreakHyphen/>
        <w:t>related costs on the community. Although social isolation can lead to loneliness, the AIHW notes that the two concepts do not necessarily co</w:t>
      </w:r>
      <w:r>
        <w:rPr>
          <w:lang w:bidi="fa-IR"/>
        </w:rPr>
        <w:noBreakHyphen/>
        <w:t>exist.</w:t>
      </w:r>
      <w:r>
        <w:rPr>
          <w:rStyle w:val="FootnoteReference"/>
          <w:lang w:bidi="fa-IR"/>
        </w:rPr>
        <w:footnoteReference w:id="42"/>
      </w:r>
    </w:p>
    <w:p w:rsidR="007C6A5F" w:rsidRDefault="007C6A5F" w:rsidP="007C6A5F">
      <w:pPr>
        <w:pStyle w:val="BodyText"/>
        <w:rPr>
          <w:lang w:bidi="fa-IR"/>
        </w:rPr>
      </w:pPr>
      <w:r>
        <w:rPr>
          <w:lang w:bidi="fa-IR"/>
        </w:rPr>
        <w:t>A lack of accessible housing may be contributing to social isolation in various ways, including the following.</w:t>
      </w:r>
    </w:p>
    <w:p w:rsidR="007C6A5F" w:rsidRDefault="007C6A5F" w:rsidP="005A6F87">
      <w:pPr>
        <w:pStyle w:val="ListBullet"/>
        <w:numPr>
          <w:ilvl w:val="0"/>
          <w:numId w:val="17"/>
        </w:numPr>
        <w:rPr>
          <w:lang w:bidi="fa-IR"/>
        </w:rPr>
      </w:pPr>
      <w:r>
        <w:rPr>
          <w:lang w:bidi="fa-IR"/>
        </w:rPr>
        <w:lastRenderedPageBreak/>
        <w:t>Some individuals with a mobility</w:t>
      </w:r>
      <w:r w:rsidR="0011629F">
        <w:rPr>
          <w:lang w:bidi="fa-IR"/>
        </w:rPr>
        <w:noBreakHyphen/>
        <w:t xml:space="preserve">related disability </w:t>
      </w:r>
      <w:r>
        <w:rPr>
          <w:lang w:bidi="fa-IR"/>
        </w:rPr>
        <w:t>are unable to easily leave or re</w:t>
      </w:r>
      <w:r>
        <w:rPr>
          <w:lang w:bidi="fa-IR"/>
        </w:rPr>
        <w:noBreakHyphen/>
        <w:t>enter their own dwelling. This means that they do not leave the dwelling at all or not as frequently as they would like. This may prevent them from participating in the community, including seeing friends and family and contribute to feelings of loneliness.</w:t>
      </w:r>
    </w:p>
    <w:p w:rsidR="007C6A5F" w:rsidRDefault="007C6A5F" w:rsidP="005A6F87">
      <w:pPr>
        <w:pStyle w:val="ListBullet"/>
        <w:numPr>
          <w:ilvl w:val="0"/>
          <w:numId w:val="17"/>
        </w:numPr>
        <w:rPr>
          <w:lang w:bidi="fa-IR"/>
        </w:rPr>
      </w:pPr>
      <w:r>
        <w:rPr>
          <w:lang w:bidi="fa-IR"/>
        </w:rPr>
        <w:t xml:space="preserve">Other people with </w:t>
      </w:r>
      <w:r w:rsidR="0011629F">
        <w:rPr>
          <w:lang w:bidi="fa-IR"/>
        </w:rPr>
        <w:t xml:space="preserve">a </w:t>
      </w:r>
      <w:r>
        <w:rPr>
          <w:lang w:bidi="fa-IR"/>
        </w:rPr>
        <w:t>mobility</w:t>
      </w:r>
      <w:r w:rsidR="0011629F">
        <w:rPr>
          <w:lang w:bidi="fa-IR"/>
        </w:rPr>
        <w:noBreakHyphen/>
        <w:t xml:space="preserve">related disability </w:t>
      </w:r>
      <w:r>
        <w:rPr>
          <w:lang w:bidi="fa-IR"/>
        </w:rPr>
        <w:t xml:space="preserve">are unable to access the home of friends or relatives (including </w:t>
      </w:r>
      <w:r w:rsidR="0011629F">
        <w:rPr>
          <w:lang w:bidi="fa-IR"/>
        </w:rPr>
        <w:t xml:space="preserve">the </w:t>
      </w:r>
      <w:r>
        <w:rPr>
          <w:lang w:bidi="fa-IR"/>
        </w:rPr>
        <w:t>ability to use the toilet with dignity), which prevents them from participating in family gatherings or other social occasions.</w:t>
      </w:r>
    </w:p>
    <w:p w:rsidR="007C6A5F" w:rsidRDefault="007C6A5F" w:rsidP="007C6A5F">
      <w:pPr>
        <w:pStyle w:val="BodyText"/>
        <w:rPr>
          <w:lang w:bidi="fa-IR"/>
        </w:rPr>
      </w:pPr>
      <w:r>
        <w:rPr>
          <w:lang w:bidi="fa-IR"/>
        </w:rPr>
        <w:t xml:space="preserve">Based on the </w:t>
      </w:r>
      <w:r w:rsidRPr="00D130F6">
        <w:rPr>
          <w:lang w:bidi="fa-IR"/>
        </w:rPr>
        <w:t>(albeit limited)</w:t>
      </w:r>
      <w:r>
        <w:rPr>
          <w:lang w:bidi="fa-IR"/>
        </w:rPr>
        <w:t xml:space="preserve"> information available, we estimate that the contribution a lack of accessible housing makes to loneliness could be around $303 million per year (table </w:t>
      </w:r>
      <w:r>
        <w:rPr>
          <w:lang w:bidi="fa-IR"/>
        </w:rPr>
        <w:fldChar w:fldCharType="begin"/>
      </w:r>
      <w:r>
        <w:rPr>
          <w:lang w:bidi="fa-IR"/>
        </w:rPr>
        <w:instrText xml:space="preserve"> REF _Caption8135 </w:instrText>
      </w:r>
      <w:r>
        <w:rPr>
          <w:lang w:bidi="fa-IR"/>
        </w:rPr>
        <w:fldChar w:fldCharType="separate"/>
      </w:r>
      <w:r>
        <w:rPr>
          <w:noProof/>
        </w:rPr>
        <w:t>2</w:t>
      </w:r>
      <w:r w:rsidRPr="00695C93">
        <w:rPr>
          <w:noProof/>
        </w:rPr>
        <w:t>.</w:t>
      </w:r>
      <w:r>
        <w:rPr>
          <w:noProof/>
        </w:rPr>
        <w:t>26</w:t>
      </w:r>
      <w:r>
        <w:rPr>
          <w:lang w:bidi="fa-IR"/>
        </w:rPr>
        <w:fldChar w:fldCharType="end"/>
      </w:r>
      <w:r>
        <w:rPr>
          <w:lang w:bidi="fa-IR"/>
        </w:rPr>
        <w:t>). Details on our approach to estimating these costs are outlined in appendix F.</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2</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26</w:instrText>
      </w:r>
      <w:r w:rsidRPr="00695C93">
        <w:fldChar w:fldCharType="end"/>
      </w:r>
      <w:r w:rsidRPr="00695C93">
        <w:instrText xml:space="preserve">" "" </w:instrText>
      </w:r>
      <w:r w:rsidRPr="00695C93">
        <w:fldChar w:fldCharType="separate"/>
      </w:r>
      <w:bookmarkStart w:id="3117" w:name="_Caption9145"/>
      <w:bookmarkStart w:id="3118" w:name="_Caption4087"/>
      <w:bookmarkStart w:id="3119" w:name="_Caption9615"/>
      <w:bookmarkStart w:id="3120" w:name="_Caption0373"/>
      <w:bookmarkStart w:id="3121" w:name="_Caption3572"/>
      <w:bookmarkStart w:id="3122" w:name="_Caption2493"/>
      <w:bookmarkStart w:id="3123" w:name="_Caption2918"/>
      <w:bookmarkStart w:id="3124" w:name="_Caption4722"/>
      <w:bookmarkStart w:id="3125" w:name="_Caption2157"/>
      <w:bookmarkStart w:id="3126" w:name="_Caption2956"/>
      <w:bookmarkStart w:id="3127" w:name="_Caption2724"/>
      <w:bookmarkStart w:id="3128" w:name="_Caption6683"/>
      <w:bookmarkStart w:id="3129" w:name="_Caption5369"/>
      <w:bookmarkStart w:id="3130" w:name="_Caption0011"/>
      <w:bookmarkStart w:id="3131" w:name="_Caption2784"/>
      <w:bookmarkStart w:id="3132" w:name="_Caption1291"/>
      <w:bookmarkStart w:id="3133" w:name="_Caption6720"/>
      <w:bookmarkStart w:id="3134" w:name="_Caption1060"/>
      <w:bookmarkStart w:id="3135" w:name="_Caption7086"/>
      <w:bookmarkStart w:id="3136" w:name="_Caption7349"/>
      <w:bookmarkStart w:id="3137" w:name="_Caption7704"/>
      <w:bookmarkStart w:id="3138" w:name="_Caption6591"/>
      <w:bookmarkStart w:id="3139" w:name="_Caption0461"/>
      <w:bookmarkStart w:id="3140" w:name="_Caption9084"/>
      <w:bookmarkStart w:id="3141" w:name="_Caption1771"/>
      <w:bookmarkStart w:id="3142" w:name="_Caption7855"/>
      <w:bookmarkStart w:id="3143" w:name="_Caption2487"/>
      <w:bookmarkStart w:id="3144" w:name="_Caption9639"/>
      <w:bookmarkStart w:id="3145" w:name="_Caption9131"/>
      <w:bookmarkStart w:id="3146" w:name="_Caption7294"/>
      <w:bookmarkStart w:id="3147" w:name="_Caption0900"/>
      <w:bookmarkStart w:id="3148" w:name="_Caption5463"/>
      <w:bookmarkStart w:id="3149" w:name="_Caption7024"/>
      <w:bookmarkStart w:id="3150" w:name="_Caption4168"/>
      <w:bookmarkStart w:id="3151" w:name="_Caption9190"/>
      <w:bookmarkStart w:id="3152" w:name="_Caption3767"/>
      <w:bookmarkStart w:id="3153" w:name="_Caption2267"/>
      <w:bookmarkStart w:id="3154" w:name="_Caption7416"/>
      <w:bookmarkStart w:id="3155" w:name="_Caption4895"/>
      <w:bookmarkStart w:id="3156" w:name="_Caption5917"/>
      <w:bookmarkStart w:id="3157" w:name="_Caption3888"/>
      <w:bookmarkStart w:id="3158" w:name="_Caption1125"/>
      <w:bookmarkStart w:id="3159" w:name="_Caption5983"/>
      <w:bookmarkStart w:id="3160" w:name="_Caption5099"/>
      <w:bookmarkStart w:id="3161" w:name="_Caption8053"/>
      <w:bookmarkStart w:id="3162" w:name="_Caption5395"/>
      <w:bookmarkStart w:id="3163" w:name="_Caption7484"/>
      <w:bookmarkStart w:id="3164" w:name="_Caption4137"/>
      <w:bookmarkStart w:id="3165" w:name="_Caption9478"/>
      <w:bookmarkStart w:id="3166" w:name="_Caption5832"/>
      <w:bookmarkStart w:id="3167" w:name="_Caption8509"/>
      <w:bookmarkStart w:id="3168" w:name="_Caption6364"/>
      <w:bookmarkStart w:id="3169" w:name="_Caption3937"/>
      <w:bookmarkStart w:id="3170" w:name="_Caption9029"/>
      <w:bookmarkStart w:id="3171" w:name="_Caption8187"/>
      <w:bookmarkStart w:id="3172" w:name="_Caption8135"/>
      <w:bookmarkStart w:id="3173" w:name="_Caption3367"/>
      <w:bookmarkStart w:id="3174" w:name="_Caption5952"/>
      <w:bookmarkStart w:id="3175" w:name="_Caption6228"/>
      <w:bookmarkStart w:id="3176" w:name="_Caption9288"/>
      <w:bookmarkStart w:id="3177" w:name="_Caption8817"/>
      <w:bookmarkStart w:id="3178" w:name="_Caption6125"/>
      <w:bookmarkStart w:id="3179" w:name="_Caption8713"/>
      <w:bookmarkStart w:id="3180" w:name="_Caption1547"/>
      <w:bookmarkStart w:id="3181" w:name="_Caption6979"/>
      <w:bookmarkStart w:id="3182" w:name="_Caption7675"/>
      <w:bookmarkStart w:id="3183" w:name="_Caption7389"/>
      <w:bookmarkStart w:id="3184" w:name="_Caption8303"/>
      <w:bookmarkStart w:id="3185" w:name="_Caption7978"/>
      <w:bookmarkStart w:id="3186" w:name="_Caption7182"/>
      <w:bookmarkStart w:id="3187" w:name="_Caption0252"/>
      <w:bookmarkStart w:id="3188" w:name="_Caption7771"/>
      <w:bookmarkStart w:id="3189" w:name="_Caption1667"/>
      <w:bookmarkStart w:id="3190" w:name="_Caption9226"/>
      <w:bookmarkStart w:id="3191" w:name="_Caption6168"/>
      <w:bookmarkStart w:id="3192" w:name="_Caption9806"/>
      <w:bookmarkStart w:id="3193" w:name="_Caption8486"/>
      <w:bookmarkStart w:id="3194" w:name="_Caption2932"/>
      <w:bookmarkStart w:id="3195" w:name="_Caption4855"/>
      <w:bookmarkStart w:id="3196" w:name="_Caption7664"/>
      <w:bookmarkStart w:id="3197" w:name="_Caption5028"/>
      <w:bookmarkStart w:id="3198" w:name="_Caption2978"/>
      <w:bookmarkStart w:id="3199" w:name="_Caption3407"/>
      <w:bookmarkStart w:id="3200" w:name="_Caption8041"/>
      <w:bookmarkStart w:id="3201" w:name="_Caption5784"/>
      <w:bookmarkStart w:id="3202" w:name="_Caption8343"/>
      <w:bookmarkStart w:id="3203" w:name="_Caption1750"/>
      <w:bookmarkStart w:id="3204" w:name="_Caption5746"/>
      <w:bookmarkStart w:id="3205" w:name="_Caption2768"/>
      <w:bookmarkStart w:id="3206" w:name="_Caption2827"/>
      <w:bookmarkStart w:id="3207" w:name="_Caption3556"/>
      <w:bookmarkStart w:id="3208" w:name="_Caption9784"/>
      <w:bookmarkStart w:id="3209" w:name="_Caption6658"/>
      <w:bookmarkStart w:id="3210" w:name="_Caption0193"/>
      <w:bookmarkStart w:id="3211" w:name="_Caption7726"/>
      <w:bookmarkStart w:id="3212" w:name="_Caption5757"/>
      <w:bookmarkStart w:id="3213" w:name="_Caption4816"/>
      <w:bookmarkStart w:id="3214" w:name="_Caption6498"/>
      <w:bookmarkStart w:id="3215" w:name="_Caption0457"/>
      <w:bookmarkStart w:id="3216" w:name="_Toc32321814"/>
      <w:bookmarkStart w:id="3217" w:name="_Toc44598510"/>
      <w:bookmarkStart w:id="3218" w:name="_Toc45654141"/>
      <w:r w:rsidR="00272AF3">
        <w:rPr>
          <w:noProof/>
        </w:rPr>
        <w:t>2</w:t>
      </w:r>
      <w:r w:rsidR="00272AF3" w:rsidRPr="00695C93">
        <w:rPr>
          <w:noProof/>
        </w:rPr>
        <w:t>.</w:t>
      </w:r>
      <w:r w:rsidR="00272AF3">
        <w:rPr>
          <w:noProof/>
        </w:rPr>
        <w:t>26</w:t>
      </w:r>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r w:rsidRPr="00695C93">
        <w:fldChar w:fldCharType="end"/>
      </w:r>
      <w:r w:rsidRPr="00695C93">
        <w:tab/>
      </w:r>
      <w:r>
        <w:t>Estimated cost of loneliness due to a lack of accessible housing</w:t>
      </w:r>
      <w:bookmarkEnd w:id="3216"/>
      <w:bookmarkEnd w:id="3217"/>
      <w:bookmarkEnd w:id="3218"/>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2.26"/>
        <w:tblDescription w:val="Estimated cost of loneliness due to a lack of accessible housing"/>
      </w:tblPr>
      <w:tblGrid>
        <w:gridCol w:w="2835"/>
        <w:gridCol w:w="993"/>
        <w:gridCol w:w="1134"/>
        <w:gridCol w:w="1134"/>
        <w:gridCol w:w="992"/>
        <w:gridCol w:w="850"/>
      </w:tblGrid>
      <w:tr w:rsidR="007C6A5F" w:rsidRPr="00736B40" w:rsidTr="00A30396">
        <w:trPr>
          <w:trHeight w:val="922"/>
          <w:tblHeader/>
        </w:trPr>
        <w:tc>
          <w:tcPr>
            <w:tcW w:w="2835" w:type="dxa"/>
            <w:shd w:val="clear" w:color="auto" w:fill="6F6652" w:themeFill="accent5"/>
          </w:tcPr>
          <w:p w:rsidR="007C6A5F" w:rsidRPr="00736B40" w:rsidRDefault="00A30396" w:rsidP="00C36DA4">
            <w:pPr>
              <w:pStyle w:val="TableDataColumnHeading"/>
              <w:jc w:val="left"/>
              <w:rPr>
                <w:lang w:val="en-GB"/>
              </w:rPr>
            </w:pPr>
            <w:r>
              <w:rPr>
                <w:lang w:val="en-GB"/>
              </w:rPr>
              <w:t>Cost estimate</w:t>
            </w:r>
          </w:p>
        </w:tc>
        <w:tc>
          <w:tcPr>
            <w:tcW w:w="993" w:type="dxa"/>
            <w:shd w:val="clear" w:color="auto" w:fill="6F6652" w:themeFill="accent5"/>
          </w:tcPr>
          <w:p w:rsidR="007C6A5F" w:rsidRPr="00736B40" w:rsidRDefault="007C6A5F" w:rsidP="00C36DA4">
            <w:pPr>
              <w:pStyle w:val="TableDataColumnHeading"/>
              <w:rPr>
                <w:lang w:val="en-GB"/>
              </w:rPr>
            </w:pPr>
            <w:r w:rsidRPr="00736B40">
              <w:rPr>
                <w:lang w:val="en-GB"/>
              </w:rPr>
              <w:t xml:space="preserve"> Identified population </w:t>
            </w:r>
            <w:r w:rsidRPr="00891416">
              <w:rPr>
                <w:rStyle w:val="NoteLabel"/>
                <w:color w:val="FFFFFF" w:themeColor="background1"/>
              </w:rPr>
              <w:t>a</w:t>
            </w:r>
            <w:r w:rsidRPr="00736B40">
              <w:rPr>
                <w:lang w:val="en-GB"/>
              </w:rPr>
              <w:t xml:space="preserve"> </w:t>
            </w:r>
            <w:r w:rsidR="00A30396">
              <w:rPr>
                <w:lang w:val="en-GB"/>
              </w:rPr>
              <w:br/>
              <w:t>(‘000)</w:t>
            </w:r>
          </w:p>
        </w:tc>
        <w:tc>
          <w:tcPr>
            <w:tcW w:w="1134" w:type="dxa"/>
            <w:shd w:val="clear" w:color="auto" w:fill="6F6652" w:themeFill="accent5"/>
          </w:tcPr>
          <w:p w:rsidR="007C6A5F" w:rsidRPr="00736B40" w:rsidRDefault="007C6A5F" w:rsidP="00C36DA4">
            <w:pPr>
              <w:pStyle w:val="TableDataColumnHeading"/>
              <w:rPr>
                <w:lang w:val="en-GB"/>
              </w:rPr>
            </w:pPr>
            <w:r w:rsidRPr="00736B40">
              <w:rPr>
                <w:lang w:val="en-GB"/>
              </w:rPr>
              <w:t xml:space="preserve"> Share that want more contact with family/friends </w:t>
            </w:r>
            <w:r w:rsidR="00A30396">
              <w:rPr>
                <w:lang w:val="en-GB"/>
              </w:rPr>
              <w:br/>
              <w:t>(per cent)</w:t>
            </w:r>
          </w:p>
        </w:tc>
        <w:tc>
          <w:tcPr>
            <w:tcW w:w="1134" w:type="dxa"/>
            <w:shd w:val="clear" w:color="auto" w:fill="6F6652" w:themeFill="accent5"/>
          </w:tcPr>
          <w:p w:rsidR="007C6A5F" w:rsidRPr="00736B40" w:rsidRDefault="007C6A5F" w:rsidP="00C36DA4">
            <w:pPr>
              <w:pStyle w:val="TableDataColumnHeading"/>
              <w:rPr>
                <w:lang w:val="en-GB"/>
              </w:rPr>
            </w:pPr>
            <w:r w:rsidRPr="00736B40">
              <w:rPr>
                <w:lang w:val="en-GB"/>
              </w:rPr>
              <w:t xml:space="preserve"> People that want more contact with family/friends </w:t>
            </w:r>
            <w:r w:rsidR="00A30396">
              <w:rPr>
                <w:lang w:val="en-GB"/>
              </w:rPr>
              <w:br/>
              <w:t>(‘000)</w:t>
            </w:r>
          </w:p>
        </w:tc>
        <w:tc>
          <w:tcPr>
            <w:tcW w:w="992" w:type="dxa"/>
            <w:shd w:val="clear" w:color="auto" w:fill="6F6652" w:themeFill="accent5"/>
          </w:tcPr>
          <w:p w:rsidR="007C6A5F" w:rsidRPr="00736B40" w:rsidRDefault="007C6A5F" w:rsidP="00C36DA4">
            <w:pPr>
              <w:pStyle w:val="TableDataColumnHeading"/>
              <w:rPr>
                <w:lang w:val="en-GB"/>
              </w:rPr>
            </w:pPr>
            <w:r w:rsidRPr="00736B40">
              <w:rPr>
                <w:lang w:val="en-GB"/>
              </w:rPr>
              <w:t xml:space="preserve"> Unit cost of loneliness</w:t>
            </w:r>
            <w:r w:rsidRPr="00891416">
              <w:rPr>
                <w:rStyle w:val="NoteLabel"/>
                <w:color w:val="FFFFFF" w:themeColor="background1"/>
              </w:rPr>
              <w:t>d</w:t>
            </w:r>
            <w:r w:rsidRPr="00736B40">
              <w:rPr>
                <w:lang w:val="en-GB"/>
              </w:rPr>
              <w:t xml:space="preserve"> </w:t>
            </w:r>
            <w:r w:rsidR="00A30396">
              <w:rPr>
                <w:lang w:val="en-GB"/>
              </w:rPr>
              <w:t xml:space="preserve"> ($ per person)</w:t>
            </w:r>
          </w:p>
        </w:tc>
        <w:tc>
          <w:tcPr>
            <w:tcW w:w="850" w:type="dxa"/>
            <w:shd w:val="clear" w:color="auto" w:fill="6F6652" w:themeFill="accent5"/>
          </w:tcPr>
          <w:p w:rsidR="007C6A5F" w:rsidRPr="00736B40" w:rsidRDefault="007C6A5F" w:rsidP="00C36DA4">
            <w:pPr>
              <w:pStyle w:val="TableDataColumnHeading"/>
              <w:rPr>
                <w:lang w:val="en-GB"/>
              </w:rPr>
            </w:pPr>
            <w:r w:rsidRPr="00736B40">
              <w:rPr>
                <w:lang w:val="en-GB"/>
              </w:rPr>
              <w:t xml:space="preserve"> Cost of loneliness </w:t>
            </w:r>
            <w:r w:rsidR="00A30396">
              <w:rPr>
                <w:lang w:val="en-GB"/>
              </w:rPr>
              <w:br/>
              <w:t>($ million)</w:t>
            </w:r>
          </w:p>
        </w:tc>
      </w:tr>
      <w:tr w:rsidR="007C6A5F" w:rsidTr="005A05FE">
        <w:trPr>
          <w:trHeight w:val="230"/>
        </w:trPr>
        <w:tc>
          <w:tcPr>
            <w:tcW w:w="28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Actual estimates</w:t>
            </w:r>
          </w:p>
        </w:tc>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788.6</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51.1 </w:t>
            </w:r>
            <w:r w:rsidRPr="00891416">
              <w:rPr>
                <w:rStyle w:val="NoteLabel"/>
                <w:color w:val="000000" w:themeColor="text1"/>
              </w:rPr>
              <w:t>b</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403.0</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787DDE" w:rsidRDefault="007C6A5F" w:rsidP="00C36DA4">
            <w:pPr>
              <w:pStyle w:val="TableDataEntries"/>
            </w:pPr>
            <w:r w:rsidRPr="00787DDE">
              <w:t>1 471</w:t>
            </w:r>
          </w:p>
        </w:tc>
        <w:tc>
          <w:tcPr>
            <w:tcW w:w="850" w:type="dxa"/>
            <w:tcBorders>
              <w:top w:val="single" w:sz="8" w:space="0" w:color="FFFFFF" w:themeColor="background1"/>
              <w:bottom w:val="single" w:sz="8" w:space="0" w:color="FFFFFF" w:themeColor="background1"/>
            </w:tcBorders>
            <w:shd w:val="clear" w:color="auto" w:fill="E9E8E5" w:themeFill="background2"/>
          </w:tcPr>
          <w:p w:rsidR="007C6A5F" w:rsidRPr="00787DDE" w:rsidRDefault="007C6A5F" w:rsidP="00C36DA4">
            <w:pPr>
              <w:pStyle w:val="TableDataEntries"/>
            </w:pPr>
            <w:r w:rsidRPr="00787DDE">
              <w:t xml:space="preserve"> 592.7</w:t>
            </w:r>
          </w:p>
        </w:tc>
      </w:tr>
      <w:tr w:rsidR="007C6A5F" w:rsidTr="00B5160B">
        <w:trPr>
          <w:trHeight w:val="230"/>
        </w:trPr>
        <w:tc>
          <w:tcPr>
            <w:tcW w:w="28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Implied baseline</w:t>
            </w:r>
          </w:p>
        </w:tc>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788.6</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25.0</w:t>
            </w:r>
            <w:r w:rsidRPr="00787DDE">
              <w:rPr>
                <w:rStyle w:val="NoteLabel"/>
              </w:rPr>
              <w:t xml:space="preserve"> </w:t>
            </w:r>
            <w:r w:rsidRPr="00891416">
              <w:rPr>
                <w:rStyle w:val="NoteLabel"/>
                <w:color w:val="000000" w:themeColor="text1"/>
              </w:rPr>
              <w:t>c</w:t>
            </w:r>
            <w:r>
              <w:rPr>
                <w:lang w:val="en-GB"/>
              </w:rPr>
              <w:t xml:space="preserve"> </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197.2</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787DDE" w:rsidRDefault="007C6A5F" w:rsidP="00C36DA4">
            <w:pPr>
              <w:pStyle w:val="TableDataEntries"/>
            </w:pPr>
            <w:r w:rsidRPr="00787DDE">
              <w:t>1 471</w:t>
            </w:r>
          </w:p>
        </w:tc>
        <w:tc>
          <w:tcPr>
            <w:tcW w:w="850" w:type="dxa"/>
            <w:tcBorders>
              <w:top w:val="single" w:sz="8" w:space="0" w:color="FFFFFF" w:themeColor="background1"/>
              <w:bottom w:val="single" w:sz="8" w:space="0" w:color="FFFFFF" w:themeColor="background1"/>
            </w:tcBorders>
            <w:shd w:val="clear" w:color="auto" w:fill="E9E8E5" w:themeFill="background2"/>
          </w:tcPr>
          <w:p w:rsidR="007C6A5F" w:rsidRPr="00787DDE" w:rsidRDefault="007C6A5F" w:rsidP="00C36DA4">
            <w:pPr>
              <w:pStyle w:val="TableDataEntries"/>
            </w:pPr>
            <w:r w:rsidRPr="00787DDE">
              <w:t xml:space="preserve"> 290.0</w:t>
            </w:r>
          </w:p>
        </w:tc>
      </w:tr>
      <w:tr w:rsidR="007C6A5F" w:rsidRPr="00AA15C1" w:rsidTr="00B5160B">
        <w:trPr>
          <w:trHeight w:val="40"/>
        </w:trPr>
        <w:tc>
          <w:tcPr>
            <w:tcW w:w="2835" w:type="dxa"/>
            <w:tcBorders>
              <w:top w:val="single" w:sz="8" w:space="0" w:color="FFFFFF" w:themeColor="background1"/>
              <w:bottom w:val="single" w:sz="4" w:space="0" w:color="6F6652" w:themeColor="accent5"/>
            </w:tcBorders>
            <w:shd w:val="clear" w:color="auto" w:fill="C2DADB" w:themeFill="accent6" w:themeFillTint="99"/>
          </w:tcPr>
          <w:p w:rsidR="007C6A5F" w:rsidRPr="00AA15C1" w:rsidRDefault="007C6A5F" w:rsidP="00C36DA4">
            <w:pPr>
              <w:pStyle w:val="TableDataEntries"/>
              <w:jc w:val="left"/>
              <w:rPr>
                <w:rFonts w:ascii="Franklin Gothic Demi" w:hAnsi="Franklin Gothic Demi"/>
                <w:lang w:val="en-GB"/>
              </w:rPr>
            </w:pPr>
            <w:r w:rsidRPr="00AA15C1">
              <w:rPr>
                <w:rFonts w:ascii="Franklin Gothic Demi" w:hAnsi="Franklin Gothic Demi"/>
                <w:lang w:val="en-GB"/>
              </w:rPr>
              <w:t>Cost due to lack of accessible housing</w:t>
            </w:r>
          </w:p>
        </w:tc>
        <w:tc>
          <w:tcPr>
            <w:tcW w:w="993" w:type="dxa"/>
            <w:tcBorders>
              <w:top w:val="single" w:sz="8" w:space="0" w:color="FFFFFF" w:themeColor="background1"/>
              <w:bottom w:val="single" w:sz="4" w:space="0" w:color="6F6652" w:themeColor="accent5"/>
            </w:tcBorders>
            <w:shd w:val="clear" w:color="auto" w:fill="C2DADB" w:themeFill="accent6" w:themeFillTint="99"/>
          </w:tcPr>
          <w:p w:rsidR="007C6A5F" w:rsidRPr="00AA15C1" w:rsidRDefault="007C6A5F" w:rsidP="00C36DA4">
            <w:pPr>
              <w:pStyle w:val="TableDataEntries"/>
              <w:rPr>
                <w:rFonts w:ascii="Franklin Gothic Demi" w:hAnsi="Franklin Gothic Demi"/>
                <w:lang w:val="en-GB"/>
              </w:rPr>
            </w:pPr>
          </w:p>
        </w:tc>
        <w:tc>
          <w:tcPr>
            <w:tcW w:w="1134" w:type="dxa"/>
            <w:tcBorders>
              <w:top w:val="single" w:sz="8" w:space="0" w:color="FFFFFF" w:themeColor="background1"/>
              <w:bottom w:val="single" w:sz="4" w:space="0" w:color="6F6652" w:themeColor="accent5"/>
            </w:tcBorders>
            <w:shd w:val="clear" w:color="auto" w:fill="C2DADB" w:themeFill="accent6" w:themeFillTint="99"/>
          </w:tcPr>
          <w:p w:rsidR="007C6A5F" w:rsidRPr="00AA15C1" w:rsidRDefault="007C6A5F" w:rsidP="00C36DA4">
            <w:pPr>
              <w:pStyle w:val="TableDataEntries"/>
              <w:rPr>
                <w:rFonts w:ascii="Franklin Gothic Demi" w:hAnsi="Franklin Gothic Demi"/>
                <w:lang w:val="en-GB"/>
              </w:rPr>
            </w:pPr>
          </w:p>
        </w:tc>
        <w:tc>
          <w:tcPr>
            <w:tcW w:w="1134" w:type="dxa"/>
            <w:tcBorders>
              <w:top w:val="single" w:sz="8" w:space="0" w:color="FFFFFF" w:themeColor="background1"/>
              <w:bottom w:val="single" w:sz="4" w:space="0" w:color="6F6652" w:themeColor="accent5"/>
            </w:tcBorders>
            <w:shd w:val="clear" w:color="auto" w:fill="C2DADB" w:themeFill="accent6" w:themeFillTint="99"/>
          </w:tcPr>
          <w:p w:rsidR="007C6A5F" w:rsidRPr="00AA15C1" w:rsidRDefault="007C6A5F" w:rsidP="00C36DA4">
            <w:pPr>
              <w:pStyle w:val="TableDataEntries"/>
              <w:rPr>
                <w:rFonts w:ascii="Franklin Gothic Demi" w:hAnsi="Franklin Gothic Demi"/>
                <w:lang w:val="en-GB"/>
              </w:rPr>
            </w:pPr>
            <w:r w:rsidRPr="00AA15C1">
              <w:rPr>
                <w:rFonts w:ascii="Franklin Gothic Demi" w:hAnsi="Franklin Gothic Demi"/>
                <w:lang w:val="en-GB"/>
              </w:rPr>
              <w:t xml:space="preserve"> 205.9</w:t>
            </w:r>
          </w:p>
        </w:tc>
        <w:tc>
          <w:tcPr>
            <w:tcW w:w="992" w:type="dxa"/>
            <w:tcBorders>
              <w:top w:val="single" w:sz="8" w:space="0" w:color="FFFFFF" w:themeColor="background1"/>
              <w:bottom w:val="single" w:sz="4" w:space="0" w:color="6F6652" w:themeColor="accent5"/>
            </w:tcBorders>
            <w:shd w:val="clear" w:color="auto" w:fill="C2DADB" w:themeFill="accent6" w:themeFillTint="99"/>
          </w:tcPr>
          <w:p w:rsidR="007C6A5F" w:rsidRPr="00AA15C1" w:rsidRDefault="007C6A5F" w:rsidP="00C36DA4">
            <w:pPr>
              <w:pStyle w:val="TableDataEntries"/>
              <w:rPr>
                <w:rFonts w:ascii="Franklin Gothic Demi" w:hAnsi="Franklin Gothic Demi"/>
                <w:lang w:val="en-GB"/>
              </w:rPr>
            </w:pPr>
            <w:r w:rsidRPr="00AA15C1">
              <w:rPr>
                <w:rFonts w:ascii="Franklin Gothic Demi" w:hAnsi="Franklin Gothic Demi"/>
                <w:lang w:val="en-GB"/>
              </w:rPr>
              <w:t>1 471</w:t>
            </w:r>
          </w:p>
        </w:tc>
        <w:tc>
          <w:tcPr>
            <w:tcW w:w="850" w:type="dxa"/>
            <w:tcBorders>
              <w:top w:val="single" w:sz="8" w:space="0" w:color="FFFFFF" w:themeColor="background1"/>
              <w:bottom w:val="single" w:sz="4" w:space="0" w:color="6F6652" w:themeColor="accent5"/>
            </w:tcBorders>
            <w:shd w:val="clear" w:color="auto" w:fill="C2DADB" w:themeFill="accent6" w:themeFillTint="99"/>
          </w:tcPr>
          <w:p w:rsidR="007C6A5F" w:rsidRPr="00AA15C1" w:rsidRDefault="007C6A5F" w:rsidP="00C36DA4">
            <w:pPr>
              <w:pStyle w:val="TableDataEntries"/>
              <w:rPr>
                <w:rFonts w:ascii="Franklin Gothic Demi" w:hAnsi="Franklin Gothic Demi"/>
                <w:lang w:val="en-GB"/>
              </w:rPr>
            </w:pPr>
            <w:r w:rsidRPr="00AA15C1">
              <w:rPr>
                <w:rFonts w:ascii="Franklin Gothic Demi" w:hAnsi="Franklin Gothic Demi"/>
                <w:lang w:val="en-GB"/>
              </w:rPr>
              <w:t xml:space="preserve"> 302.8</w:t>
            </w:r>
          </w:p>
        </w:tc>
      </w:tr>
    </w:tbl>
    <w:p w:rsidR="007C6A5F" w:rsidRPr="00E4232C" w:rsidRDefault="007C6A5F" w:rsidP="007C6A5F">
      <w:pPr>
        <w:pStyle w:val="Note"/>
      </w:pPr>
      <w:r w:rsidRPr="00B46BCC">
        <w:rPr>
          <w:rStyle w:val="NoteLabel"/>
          <w:color w:val="000000" w:themeColor="text1"/>
        </w:rPr>
        <w:t>a</w:t>
      </w:r>
      <w:r>
        <w:t xml:space="preserve"> The identified population is based on 2018 SDAC data using TableBuilder. The identified population includes: people with a mobility limitation; and indicated they did not leave the house as often as they would like due to their own condition or age; or indicated they had difficult accessing another person’s house over the past year; or had avoided visiting people due to their condition. </w:t>
      </w:r>
      <w:r w:rsidRPr="00B46BCC">
        <w:rPr>
          <w:rStyle w:val="NoteLabel"/>
          <w:color w:val="000000" w:themeColor="text1"/>
        </w:rPr>
        <w:t>b</w:t>
      </w:r>
      <w:r>
        <w:t xml:space="preserve"> Based on the share of the identified population that indicated they want more contact with family/friends. </w:t>
      </w:r>
      <w:r w:rsidRPr="00B46BCC">
        <w:rPr>
          <w:rStyle w:val="NoteLabel"/>
          <w:color w:val="000000" w:themeColor="text1"/>
        </w:rPr>
        <w:t>c</w:t>
      </w:r>
      <w:r>
        <w:t xml:space="preserve"> The baseline share of the population that suffer from loneliness is based on a 2018 survey by the Australian Psychological Society and Swinburne University of Technology. </w:t>
      </w:r>
      <w:r w:rsidRPr="00B46BCC">
        <w:rPr>
          <w:rStyle w:val="NoteLabel"/>
          <w:color w:val="000000" w:themeColor="text1"/>
        </w:rPr>
        <w:t>d</w:t>
      </w:r>
      <w:r>
        <w:t xml:space="preserve"> Based on estimates from McDaid et. al. converted to 2019 Australian dollar terms.</w:t>
      </w:r>
    </w:p>
    <w:p w:rsidR="007C6A5F" w:rsidRDefault="007C6A5F" w:rsidP="007C6A5F">
      <w:pPr>
        <w:pStyle w:val="Source"/>
        <w:rPr>
          <w:lang w:bidi="fa-IR"/>
        </w:rPr>
      </w:pPr>
      <w:r w:rsidRPr="00D00DE6">
        <w:rPr>
          <w:i/>
          <w:lang w:bidi="fa-IR"/>
        </w:rPr>
        <w:t>Source:</w:t>
      </w:r>
      <w:r>
        <w:rPr>
          <w:lang w:bidi="fa-IR"/>
        </w:rPr>
        <w:t xml:space="preserve"> ABS Survey of Disabilities, Ageing and Carers, 2018, TableBuilder data; </w:t>
      </w:r>
      <w:r>
        <w:rPr>
          <w:lang w:val="en-US"/>
        </w:rPr>
        <w:t xml:space="preserve">Australian Pyschological Society and Swinburne University of Technology, 2018, Australian Loneliness Report: A survey exploring the loneliness levels of Australians and the impact on their health and wellbeing, p. 5; McDaid, D. Park, A.L. and Fernandez, J.L. </w:t>
      </w:r>
      <w:r w:rsidRPr="003967D7">
        <w:rPr>
          <w:i/>
          <w:iCs/>
          <w:lang w:val="en-US"/>
        </w:rPr>
        <w:t>Reconnections Evaluation Interim Report</w:t>
      </w:r>
      <w:r>
        <w:rPr>
          <w:lang w:val="en-US"/>
        </w:rPr>
        <w:t>, Personal Social Services Research Unit (PSSRU), London School of Economics, June 2016, p. 30; CIE.</w:t>
      </w:r>
    </w:p>
    <w:p w:rsidR="007C6A5F" w:rsidRPr="00C700B7" w:rsidRDefault="007C6A5F" w:rsidP="007C6A5F">
      <w:pPr>
        <w:pStyle w:val="Heading3"/>
        <w:numPr>
          <w:ilvl w:val="2"/>
          <w:numId w:val="5"/>
        </w:numPr>
        <w:rPr>
          <w:lang w:bidi="fa-IR"/>
        </w:rPr>
      </w:pPr>
      <w:r w:rsidRPr="00C700B7">
        <w:rPr>
          <w:lang w:bidi="fa-IR"/>
        </w:rPr>
        <w:t>Premature or inappropriate entry into residential aged care or other institutional care</w:t>
      </w:r>
    </w:p>
    <w:p w:rsidR="007C6A5F" w:rsidRDefault="007C6A5F" w:rsidP="007C6A5F">
      <w:pPr>
        <w:pStyle w:val="BodyText"/>
        <w:rPr>
          <w:lang w:bidi="fa-IR"/>
        </w:rPr>
      </w:pPr>
      <w:r>
        <w:rPr>
          <w:lang w:bidi="fa-IR"/>
        </w:rPr>
        <w:t>During the CIE’s targeted consultations, some stakeholders argued that a lack of accessible housing could contribute to premature or inappropriate entry into residential aged care or other institutional care. Although residential aged care is an appropriate form of care for many older Australian</w:t>
      </w:r>
      <w:r w:rsidR="00A45326">
        <w:rPr>
          <w:lang w:bidi="fa-IR"/>
        </w:rPr>
        <w:t>s</w:t>
      </w:r>
      <w:r>
        <w:rPr>
          <w:lang w:bidi="fa-IR"/>
        </w:rPr>
        <w:t xml:space="preserve"> (particularly those with high care needs), inappropriate or premature entry in residential aged care would be a sub</w:t>
      </w:r>
      <w:r>
        <w:rPr>
          <w:lang w:bidi="fa-IR"/>
        </w:rPr>
        <w:noBreakHyphen/>
        <w:t>optimal outcome from the perspective of both:</w:t>
      </w:r>
    </w:p>
    <w:p w:rsidR="007C6A5F" w:rsidRDefault="007C6A5F" w:rsidP="005A6F87">
      <w:pPr>
        <w:pStyle w:val="ListBullet"/>
        <w:numPr>
          <w:ilvl w:val="0"/>
          <w:numId w:val="17"/>
        </w:numPr>
        <w:rPr>
          <w:lang w:bidi="fa-IR"/>
        </w:rPr>
      </w:pPr>
      <w:r>
        <w:rPr>
          <w:lang w:bidi="fa-IR"/>
        </w:rPr>
        <w:t>the relatively high cost of residential aged care (relative to home</w:t>
      </w:r>
      <w:r>
        <w:rPr>
          <w:lang w:bidi="fa-IR"/>
        </w:rPr>
        <w:noBreakHyphen/>
        <w:t>based care)</w:t>
      </w:r>
    </w:p>
    <w:p w:rsidR="007C6A5F" w:rsidRDefault="007C6A5F" w:rsidP="005A6F87">
      <w:pPr>
        <w:pStyle w:val="ListBullet"/>
        <w:numPr>
          <w:ilvl w:val="0"/>
          <w:numId w:val="17"/>
        </w:numPr>
        <w:rPr>
          <w:lang w:bidi="fa-IR"/>
        </w:rPr>
      </w:pPr>
      <w:r>
        <w:rPr>
          <w:lang w:bidi="fa-IR"/>
        </w:rPr>
        <w:t>reduced wellbeing — most Australians would prefer to remain at home for as long as possible, rather than enter residential aged care.</w:t>
      </w:r>
    </w:p>
    <w:p w:rsidR="007C6A5F" w:rsidRDefault="007C6A5F" w:rsidP="007C6A5F">
      <w:pPr>
        <w:pStyle w:val="BodyText"/>
        <w:rPr>
          <w:lang w:bidi="fa-IR"/>
        </w:rPr>
      </w:pPr>
      <w:r>
        <w:rPr>
          <w:lang w:bidi="fa-IR"/>
        </w:rPr>
        <w:t>In general, it is becoming less likely that someone would be inappropriately or prematurely admitted to residential aged care.</w:t>
      </w:r>
    </w:p>
    <w:p w:rsidR="007C6A5F" w:rsidRDefault="007C6A5F" w:rsidP="005A6F87">
      <w:pPr>
        <w:pStyle w:val="ListBullet"/>
        <w:numPr>
          <w:ilvl w:val="0"/>
          <w:numId w:val="17"/>
        </w:numPr>
        <w:rPr>
          <w:lang w:bidi="fa-IR"/>
        </w:rPr>
      </w:pPr>
      <w:r>
        <w:rPr>
          <w:lang w:bidi="fa-IR"/>
        </w:rPr>
        <w:lastRenderedPageBreak/>
        <w:t>All entrants into government</w:t>
      </w:r>
      <w:r>
        <w:rPr>
          <w:lang w:bidi="fa-IR"/>
        </w:rPr>
        <w:noBreakHyphen/>
        <w:t>funded aged care places undergo an assessment of the most appropriate long</w:t>
      </w:r>
      <w:r>
        <w:rPr>
          <w:lang w:bidi="fa-IR"/>
        </w:rPr>
        <w:noBreakHyphen/>
        <w:t>term care option before entry in residential aged care.</w:t>
      </w:r>
    </w:p>
    <w:p w:rsidR="007C6A5F" w:rsidRDefault="007C6A5F" w:rsidP="005A6F87">
      <w:pPr>
        <w:pStyle w:val="ListBullet"/>
        <w:numPr>
          <w:ilvl w:val="0"/>
          <w:numId w:val="17"/>
        </w:numPr>
        <w:rPr>
          <w:lang w:bidi="fa-IR"/>
        </w:rPr>
      </w:pPr>
      <w:r>
        <w:rPr>
          <w:lang w:bidi="fa-IR"/>
        </w:rPr>
        <w:t>There has been a policy shift towards supporting older Australians to remain at home, rather than entering residential aged care.</w:t>
      </w:r>
    </w:p>
    <w:p w:rsidR="007C6A5F" w:rsidRDefault="007C6A5F" w:rsidP="007C6A5F">
      <w:pPr>
        <w:pStyle w:val="BodyText"/>
        <w:rPr>
          <w:lang w:bidi="fa-IR"/>
        </w:rPr>
      </w:pPr>
      <w:r>
        <w:rPr>
          <w:lang w:bidi="fa-IR"/>
        </w:rPr>
        <w:t>Nevertheless, we estimate that the costs associated with inappropriate or premature entry into residential aged care could range between around $164 million and $370 million per year, with a central case estimate of around $255 million per year (table </w:t>
      </w:r>
      <w:r w:rsidR="008222CC">
        <w:rPr>
          <w:lang w:bidi="fa-IR"/>
        </w:rPr>
        <w:fldChar w:fldCharType="begin"/>
      </w:r>
      <w:r w:rsidR="008222CC">
        <w:rPr>
          <w:lang w:bidi="fa-IR"/>
        </w:rPr>
        <w:instrText xml:space="preserve"> REF _Caption4197 </w:instrText>
      </w:r>
      <w:r w:rsidR="008222CC">
        <w:rPr>
          <w:lang w:bidi="fa-IR"/>
        </w:rPr>
        <w:fldChar w:fldCharType="separate"/>
      </w:r>
      <w:r w:rsidR="008222CC">
        <w:rPr>
          <w:noProof/>
        </w:rPr>
        <w:t>2</w:t>
      </w:r>
      <w:r w:rsidR="008222CC" w:rsidRPr="00695C93">
        <w:rPr>
          <w:noProof/>
        </w:rPr>
        <w:t>.</w:t>
      </w:r>
      <w:r w:rsidR="008222CC">
        <w:rPr>
          <w:noProof/>
        </w:rPr>
        <w:t>27</w:t>
      </w:r>
      <w:r w:rsidR="008222CC">
        <w:rPr>
          <w:lang w:bidi="fa-IR"/>
        </w:rPr>
        <w:fldChar w:fldCharType="end"/>
      </w:r>
      <w:r>
        <w:rPr>
          <w:lang w:bidi="fa-IR"/>
        </w:rPr>
        <w:t>). This is based on the following assumptions.</w:t>
      </w:r>
    </w:p>
    <w:p w:rsidR="007C6A5F" w:rsidRDefault="007C6A5F" w:rsidP="005A6F87">
      <w:pPr>
        <w:pStyle w:val="ListBullet"/>
        <w:numPr>
          <w:ilvl w:val="0"/>
          <w:numId w:val="17"/>
        </w:numPr>
        <w:rPr>
          <w:lang w:bidi="fa-IR"/>
        </w:rPr>
      </w:pPr>
      <w:r>
        <w:rPr>
          <w:lang w:bidi="fa-IR"/>
        </w:rPr>
        <w:t>Based on SDAC data and modelling of the extent to which various factors affect the probability of being in residential aged care,</w:t>
      </w:r>
      <w:r>
        <w:rPr>
          <w:rStyle w:val="FootnoteReference"/>
          <w:lang w:bidi="fa-IR"/>
        </w:rPr>
        <w:footnoteReference w:id="43"/>
      </w:r>
      <w:r>
        <w:rPr>
          <w:lang w:bidi="fa-IR"/>
        </w:rPr>
        <w:t xml:space="preserve"> we estimate that there may be between 2660 and 6023 additional people in residential aged care due to a lack of accessible housing, with a central case estimate of 4140.</w:t>
      </w:r>
    </w:p>
    <w:p w:rsidR="007C6A5F" w:rsidRDefault="007C6A5F" w:rsidP="005A6F87">
      <w:pPr>
        <w:pStyle w:val="ListBullet"/>
        <w:numPr>
          <w:ilvl w:val="0"/>
          <w:numId w:val="17"/>
        </w:numPr>
        <w:rPr>
          <w:lang w:bidi="fa-IR"/>
        </w:rPr>
      </w:pPr>
      <w:r>
        <w:rPr>
          <w:lang w:bidi="fa-IR"/>
        </w:rPr>
        <w:t xml:space="preserve">We estimate that the additional cost of aged care (relative to remaining in the home) could be </w:t>
      </w:r>
      <w:r w:rsidRPr="00E41EBA">
        <w:rPr>
          <w:lang w:bidi="fa-IR"/>
        </w:rPr>
        <w:t>around $34 700 per year.</w:t>
      </w:r>
    </w:p>
    <w:p w:rsidR="007C6A5F" w:rsidRDefault="007C6A5F" w:rsidP="005A6F87">
      <w:pPr>
        <w:pStyle w:val="ListBullet"/>
        <w:numPr>
          <w:ilvl w:val="0"/>
          <w:numId w:val="17"/>
        </w:numPr>
        <w:rPr>
          <w:lang w:bidi="fa-IR"/>
        </w:rPr>
      </w:pPr>
      <w:r>
        <w:rPr>
          <w:lang w:bidi="fa-IR"/>
        </w:rPr>
        <w:t>Around 52 per cent of people in residential aged care are reported to have depression, compared to 10</w:t>
      </w:r>
      <w:r>
        <w:rPr>
          <w:lang w:bidi="fa-IR"/>
        </w:rPr>
        <w:noBreakHyphen/>
        <w:t xml:space="preserve">15 per cent of older Australians in the community (although this could possibly be because they have more complex care needs, rather than residential aged care </w:t>
      </w:r>
      <w:r w:rsidRPr="00A45326">
        <w:rPr>
          <w:i/>
          <w:iCs/>
          <w:lang w:bidi="fa-IR"/>
        </w:rPr>
        <w:t>per se</w:t>
      </w:r>
      <w:r>
        <w:rPr>
          <w:lang w:bidi="fa-IR"/>
        </w:rPr>
        <w:t>). The weighted average cost of depression is estimated at around $67 530 per year based on standard economic approaches to valuing morbidity costs.</w:t>
      </w:r>
    </w:p>
    <w:p w:rsidR="007C6A5F" w:rsidRDefault="007C6A5F" w:rsidP="007C6A5F">
      <w:pPr>
        <w:pStyle w:val="BodyText"/>
        <w:rPr>
          <w:lang w:bidi="fa-IR"/>
        </w:rPr>
      </w:pPr>
      <w:r>
        <w:rPr>
          <w:lang w:bidi="fa-IR"/>
        </w:rPr>
        <w:t>Details on our approach to estimating these costs are provided in the appendix </w:t>
      </w:r>
      <w:r>
        <w:rPr>
          <w:lang w:bidi="fa-IR"/>
        </w:rPr>
        <w:fldChar w:fldCharType="begin"/>
      </w:r>
      <w:r>
        <w:rPr>
          <w:lang w:bidi="fa-IR"/>
        </w:rPr>
        <w:instrText xml:space="preserve"> REF _Ref31915182 \n \h </w:instrText>
      </w:r>
      <w:r>
        <w:rPr>
          <w:lang w:bidi="fa-IR"/>
        </w:rPr>
      </w:r>
      <w:r>
        <w:rPr>
          <w:lang w:bidi="fa-IR"/>
        </w:rPr>
        <w:fldChar w:fldCharType="separate"/>
      </w:r>
      <w:r>
        <w:rPr>
          <w:lang w:bidi="fa-IR"/>
        </w:rPr>
        <w:t>G</w:t>
      </w:r>
      <w:r>
        <w:rPr>
          <w:lang w:bidi="fa-IR"/>
        </w:rPr>
        <w:fldChar w:fldCharType="end"/>
      </w:r>
      <w:r>
        <w:rPr>
          <w:lang w:bidi="fa-IR"/>
        </w:rPr>
        <w:t>.</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2</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27</w:instrText>
      </w:r>
      <w:r w:rsidRPr="00695C93">
        <w:fldChar w:fldCharType="end"/>
      </w:r>
      <w:r w:rsidRPr="00695C93">
        <w:instrText xml:space="preserve">" "" </w:instrText>
      </w:r>
      <w:r w:rsidRPr="00695C93">
        <w:fldChar w:fldCharType="separate"/>
      </w:r>
      <w:bookmarkStart w:id="3219" w:name="_Caption4197"/>
      <w:bookmarkStart w:id="3220" w:name="_Caption5225"/>
      <w:bookmarkStart w:id="3221" w:name="_Caption2791"/>
      <w:bookmarkStart w:id="3222" w:name="_Caption8862"/>
      <w:bookmarkStart w:id="3223" w:name="_Toc44598511"/>
      <w:bookmarkStart w:id="3224" w:name="_Toc45654142"/>
      <w:r w:rsidR="00272AF3">
        <w:rPr>
          <w:noProof/>
        </w:rPr>
        <w:t>2</w:t>
      </w:r>
      <w:r w:rsidR="00272AF3" w:rsidRPr="00695C93">
        <w:rPr>
          <w:noProof/>
        </w:rPr>
        <w:t>.</w:t>
      </w:r>
      <w:r w:rsidR="00272AF3">
        <w:rPr>
          <w:noProof/>
        </w:rPr>
        <w:t>27</w:t>
      </w:r>
      <w:bookmarkEnd w:id="3219"/>
      <w:bookmarkEnd w:id="3220"/>
      <w:bookmarkEnd w:id="3221"/>
      <w:bookmarkEnd w:id="3222"/>
      <w:r w:rsidRPr="00695C93">
        <w:fldChar w:fldCharType="end"/>
      </w:r>
      <w:r w:rsidRPr="00695C93">
        <w:tab/>
      </w:r>
      <w:r>
        <w:t>Estimate costs of inappropriate or premature entry into aged care</w:t>
      </w:r>
      <w:bookmarkEnd w:id="3223"/>
      <w:bookmarkEnd w:id="3224"/>
    </w:p>
    <w:tbl>
      <w:tblPr>
        <w:tblStyle w:val="TableGridLight"/>
        <w:tblW w:w="7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2.27"/>
        <w:tblDescription w:val="Estimate costs of inappropriate or premature entry into aged care"/>
      </w:tblPr>
      <w:tblGrid>
        <w:gridCol w:w="3328"/>
        <w:gridCol w:w="1536"/>
        <w:gridCol w:w="1536"/>
        <w:gridCol w:w="1536"/>
      </w:tblGrid>
      <w:tr w:rsidR="007C6A5F" w:rsidRPr="008222CC" w:rsidTr="00AA0852">
        <w:trPr>
          <w:trHeight w:val="230"/>
          <w:tblHeader/>
        </w:trPr>
        <w:tc>
          <w:tcPr>
            <w:tcW w:w="3328" w:type="dxa"/>
            <w:shd w:val="clear" w:color="auto" w:fill="6F6652" w:themeFill="accent5"/>
          </w:tcPr>
          <w:p w:rsidR="007C6A5F" w:rsidRPr="008222CC" w:rsidRDefault="00AA0852" w:rsidP="00C36DA4">
            <w:pPr>
              <w:pStyle w:val="TableDataColumnHeading"/>
              <w:jc w:val="left"/>
              <w:rPr>
                <w:lang w:val="en-GB"/>
              </w:rPr>
            </w:pPr>
            <w:r>
              <w:rPr>
                <w:lang w:val="en-GB"/>
              </w:rPr>
              <w:t>Cost item</w:t>
            </w:r>
          </w:p>
        </w:tc>
        <w:tc>
          <w:tcPr>
            <w:tcW w:w="1536" w:type="dxa"/>
            <w:shd w:val="clear" w:color="auto" w:fill="6F6652" w:themeFill="accent5"/>
          </w:tcPr>
          <w:p w:rsidR="007C6A5F" w:rsidRPr="008222CC" w:rsidRDefault="007C6A5F" w:rsidP="00C36DA4">
            <w:pPr>
              <w:pStyle w:val="TableDataColumnHeading"/>
              <w:rPr>
                <w:lang w:val="en-GB"/>
              </w:rPr>
            </w:pPr>
            <w:r w:rsidRPr="008222CC">
              <w:rPr>
                <w:lang w:val="en-GB"/>
              </w:rPr>
              <w:t>Low estimate</w:t>
            </w:r>
            <w:r w:rsidR="00AA0852">
              <w:rPr>
                <w:lang w:val="en-GB"/>
              </w:rPr>
              <w:br/>
              <w:t>($ million)</w:t>
            </w:r>
          </w:p>
        </w:tc>
        <w:tc>
          <w:tcPr>
            <w:tcW w:w="1536" w:type="dxa"/>
            <w:shd w:val="clear" w:color="auto" w:fill="6F6652" w:themeFill="accent5"/>
          </w:tcPr>
          <w:p w:rsidR="007C6A5F" w:rsidRPr="008222CC" w:rsidRDefault="007C6A5F" w:rsidP="00C36DA4">
            <w:pPr>
              <w:pStyle w:val="TableDataColumnHeading"/>
              <w:rPr>
                <w:lang w:val="en-GB"/>
              </w:rPr>
            </w:pPr>
            <w:r w:rsidRPr="008222CC">
              <w:rPr>
                <w:lang w:val="en-GB"/>
              </w:rPr>
              <w:t>Central case</w:t>
            </w:r>
            <w:r w:rsidR="00AA0852">
              <w:rPr>
                <w:lang w:val="en-GB"/>
              </w:rPr>
              <w:br/>
              <w:t>($ million)</w:t>
            </w:r>
          </w:p>
        </w:tc>
        <w:tc>
          <w:tcPr>
            <w:tcW w:w="1536" w:type="dxa"/>
            <w:shd w:val="clear" w:color="auto" w:fill="6F6652" w:themeFill="accent5"/>
          </w:tcPr>
          <w:p w:rsidR="007C6A5F" w:rsidRPr="008222CC" w:rsidRDefault="007C6A5F" w:rsidP="00C36DA4">
            <w:pPr>
              <w:pStyle w:val="TableDataColumnHeading"/>
              <w:rPr>
                <w:lang w:val="en-GB"/>
              </w:rPr>
            </w:pPr>
            <w:r w:rsidRPr="008222CC">
              <w:rPr>
                <w:lang w:val="en-GB"/>
              </w:rPr>
              <w:t>High estimate</w:t>
            </w:r>
            <w:r w:rsidR="00AA0852">
              <w:rPr>
                <w:lang w:val="en-GB"/>
              </w:rPr>
              <w:br/>
              <w:t>($ million)</w:t>
            </w:r>
          </w:p>
        </w:tc>
      </w:tr>
      <w:tr w:rsidR="007C6A5F" w:rsidTr="005A05FE">
        <w:trPr>
          <w:trHeight w:val="230"/>
        </w:trPr>
        <w:tc>
          <w:tcPr>
            <w:tcW w:w="33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Additional resource costs</w:t>
            </w:r>
          </w:p>
        </w:tc>
        <w:tc>
          <w:tcPr>
            <w:tcW w:w="153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92.29</w:t>
            </w:r>
          </w:p>
        </w:tc>
        <w:tc>
          <w:tcPr>
            <w:tcW w:w="153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143.63</w:t>
            </w:r>
          </w:p>
        </w:tc>
        <w:tc>
          <w:tcPr>
            <w:tcW w:w="153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208.96</w:t>
            </w:r>
          </w:p>
        </w:tc>
      </w:tr>
      <w:tr w:rsidR="007C6A5F" w:rsidTr="00B5160B">
        <w:trPr>
          <w:trHeight w:val="230"/>
        </w:trPr>
        <w:tc>
          <w:tcPr>
            <w:tcW w:w="33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Loss of individual's welfare</w:t>
            </w:r>
          </w:p>
        </w:tc>
        <w:tc>
          <w:tcPr>
            <w:tcW w:w="153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71.32</w:t>
            </w:r>
          </w:p>
        </w:tc>
        <w:tc>
          <w:tcPr>
            <w:tcW w:w="153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110.98</w:t>
            </w:r>
          </w:p>
        </w:tc>
        <w:tc>
          <w:tcPr>
            <w:tcW w:w="153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161.47</w:t>
            </w:r>
          </w:p>
        </w:tc>
      </w:tr>
      <w:tr w:rsidR="007C6A5F" w:rsidRPr="005F4D37" w:rsidTr="00B5160B">
        <w:trPr>
          <w:trHeight w:val="230"/>
        </w:trPr>
        <w:tc>
          <w:tcPr>
            <w:tcW w:w="3328" w:type="dxa"/>
            <w:tcBorders>
              <w:top w:val="single" w:sz="8" w:space="0" w:color="FFFFFF" w:themeColor="background1"/>
              <w:bottom w:val="single" w:sz="4" w:space="0" w:color="6F6652" w:themeColor="accent5"/>
            </w:tcBorders>
            <w:shd w:val="clear" w:color="auto" w:fill="C2DADB" w:themeFill="accent6" w:themeFillTint="99"/>
          </w:tcPr>
          <w:p w:rsidR="007C6A5F" w:rsidRPr="005F4D37" w:rsidRDefault="007C6A5F" w:rsidP="00C36DA4">
            <w:pPr>
              <w:pStyle w:val="TableDataEntries"/>
              <w:jc w:val="left"/>
              <w:rPr>
                <w:rFonts w:ascii="Franklin Gothic Demi" w:hAnsi="Franklin Gothic Demi"/>
                <w:lang w:val="en-GB"/>
              </w:rPr>
            </w:pPr>
            <w:r w:rsidRPr="005F4D37">
              <w:rPr>
                <w:rFonts w:ascii="Franklin Gothic Demi" w:hAnsi="Franklin Gothic Demi"/>
                <w:lang w:val="en-GB"/>
              </w:rPr>
              <w:t>Total cost</w:t>
            </w:r>
          </w:p>
        </w:tc>
        <w:tc>
          <w:tcPr>
            <w:tcW w:w="1536" w:type="dxa"/>
            <w:tcBorders>
              <w:top w:val="single" w:sz="8" w:space="0" w:color="FFFFFF" w:themeColor="background1"/>
              <w:bottom w:val="single" w:sz="4" w:space="0" w:color="6F6652" w:themeColor="accent5"/>
            </w:tcBorders>
            <w:shd w:val="clear" w:color="auto" w:fill="C2DADB" w:themeFill="accent6" w:themeFillTint="99"/>
          </w:tcPr>
          <w:p w:rsidR="007C6A5F" w:rsidRPr="005F4D37" w:rsidRDefault="007C6A5F" w:rsidP="00C36DA4">
            <w:pPr>
              <w:pStyle w:val="TableDataEntries"/>
              <w:rPr>
                <w:rFonts w:ascii="Franklin Gothic Demi" w:hAnsi="Franklin Gothic Demi"/>
                <w:lang w:val="en-GB"/>
              </w:rPr>
            </w:pPr>
            <w:r w:rsidRPr="005F4D37">
              <w:rPr>
                <w:rFonts w:ascii="Franklin Gothic Demi" w:hAnsi="Franklin Gothic Demi"/>
                <w:lang w:val="en-GB"/>
              </w:rPr>
              <w:t xml:space="preserve"> 163.61</w:t>
            </w:r>
          </w:p>
        </w:tc>
        <w:tc>
          <w:tcPr>
            <w:tcW w:w="1536" w:type="dxa"/>
            <w:tcBorders>
              <w:top w:val="single" w:sz="8" w:space="0" w:color="FFFFFF" w:themeColor="background1"/>
              <w:bottom w:val="single" w:sz="4" w:space="0" w:color="6F6652" w:themeColor="accent5"/>
            </w:tcBorders>
            <w:shd w:val="clear" w:color="auto" w:fill="C2DADB" w:themeFill="accent6" w:themeFillTint="99"/>
          </w:tcPr>
          <w:p w:rsidR="007C6A5F" w:rsidRPr="005F4D37" w:rsidRDefault="007C6A5F" w:rsidP="00C36DA4">
            <w:pPr>
              <w:pStyle w:val="TableDataEntries"/>
              <w:rPr>
                <w:rFonts w:ascii="Franklin Gothic Demi" w:hAnsi="Franklin Gothic Demi"/>
                <w:lang w:val="en-GB"/>
              </w:rPr>
            </w:pPr>
            <w:r w:rsidRPr="005F4D37">
              <w:rPr>
                <w:rFonts w:ascii="Franklin Gothic Demi" w:hAnsi="Franklin Gothic Demi"/>
                <w:lang w:val="en-GB"/>
              </w:rPr>
              <w:t xml:space="preserve"> 254.61</w:t>
            </w:r>
          </w:p>
        </w:tc>
        <w:tc>
          <w:tcPr>
            <w:tcW w:w="1536" w:type="dxa"/>
            <w:tcBorders>
              <w:top w:val="single" w:sz="8" w:space="0" w:color="FFFFFF" w:themeColor="background1"/>
              <w:bottom w:val="single" w:sz="4" w:space="0" w:color="6F6652" w:themeColor="accent5"/>
            </w:tcBorders>
            <w:shd w:val="clear" w:color="auto" w:fill="C2DADB" w:themeFill="accent6" w:themeFillTint="99"/>
          </w:tcPr>
          <w:p w:rsidR="007C6A5F" w:rsidRPr="005F4D37" w:rsidRDefault="007C6A5F" w:rsidP="00C36DA4">
            <w:pPr>
              <w:pStyle w:val="TableDataEntries"/>
              <w:rPr>
                <w:rFonts w:ascii="Franklin Gothic Demi" w:hAnsi="Franklin Gothic Demi"/>
                <w:lang w:val="en-GB"/>
              </w:rPr>
            </w:pPr>
            <w:r w:rsidRPr="005F4D37">
              <w:rPr>
                <w:rFonts w:ascii="Franklin Gothic Demi" w:hAnsi="Franklin Gothic Demi"/>
                <w:lang w:val="en-GB"/>
              </w:rPr>
              <w:t xml:space="preserve"> 370.43</w:t>
            </w:r>
          </w:p>
        </w:tc>
      </w:tr>
    </w:tbl>
    <w:p w:rsidR="007C6A5F" w:rsidRDefault="007C6A5F" w:rsidP="007C6A5F">
      <w:pPr>
        <w:pStyle w:val="Source"/>
        <w:rPr>
          <w:lang w:bidi="fa-IR"/>
        </w:rPr>
      </w:pPr>
      <w:r w:rsidRPr="00CB046C">
        <w:rPr>
          <w:i/>
          <w:lang w:bidi="fa-IR"/>
        </w:rPr>
        <w:t>Source:</w:t>
      </w:r>
      <w:r>
        <w:rPr>
          <w:lang w:bidi="fa-IR"/>
        </w:rPr>
        <w:t xml:space="preserve"> CIE estimates (see appendix G for details).</w:t>
      </w:r>
    </w:p>
    <w:p w:rsidR="007C6A5F" w:rsidRDefault="007C6A5F" w:rsidP="007C6A5F">
      <w:pPr>
        <w:pStyle w:val="Heading3"/>
        <w:numPr>
          <w:ilvl w:val="2"/>
          <w:numId w:val="5"/>
        </w:numPr>
        <w:spacing w:before="480"/>
        <w:rPr>
          <w:lang w:eastAsia="en-US" w:bidi="fa-IR"/>
        </w:rPr>
      </w:pPr>
      <w:r>
        <w:rPr>
          <w:lang w:eastAsia="en-US" w:bidi="fa-IR"/>
        </w:rPr>
        <w:t>Costs to the community</w:t>
      </w:r>
    </w:p>
    <w:p w:rsidR="007C6A5F" w:rsidRDefault="007C6A5F" w:rsidP="007C6A5F">
      <w:pPr>
        <w:pStyle w:val="BodyText"/>
        <w:rPr>
          <w:lang w:eastAsia="en-US" w:bidi="fa-IR"/>
        </w:rPr>
      </w:pPr>
      <w:r>
        <w:rPr>
          <w:lang w:eastAsia="en-US" w:bidi="fa-IR"/>
        </w:rPr>
        <w:t>As noted by the (then) Chair of the Royal Commission into the Safety and Quality of Age Care:</w:t>
      </w:r>
    </w:p>
    <w:p w:rsidR="007C6A5F" w:rsidRDefault="007C6A5F" w:rsidP="007C6A5F">
      <w:pPr>
        <w:pStyle w:val="Quote"/>
        <w:rPr>
          <w:lang w:eastAsia="en-US" w:bidi="fa-IR"/>
        </w:rPr>
      </w:pPr>
      <w:r>
        <w:rPr>
          <w:lang w:eastAsia="en-US" w:bidi="fa-IR"/>
        </w:rPr>
        <w:t>“The hallmark of a civilised society is how it treats its most vulnerable people…”</w:t>
      </w:r>
      <w:r>
        <w:rPr>
          <w:rStyle w:val="FootnoteReference"/>
          <w:lang w:eastAsia="en-US" w:bidi="fa-IR"/>
        </w:rPr>
        <w:footnoteReference w:id="44"/>
      </w:r>
    </w:p>
    <w:p w:rsidR="007C6A5F" w:rsidRDefault="007C6A5F" w:rsidP="007C6A5F">
      <w:pPr>
        <w:pStyle w:val="BodyText"/>
        <w:rPr>
          <w:lang w:eastAsia="en-US" w:bidi="fa-IR"/>
        </w:rPr>
      </w:pPr>
      <w:r>
        <w:rPr>
          <w:lang w:eastAsia="en-US" w:bidi="fa-IR"/>
        </w:rPr>
        <w:t xml:space="preserve">Although this quote specifically referred to </w:t>
      </w:r>
      <w:r w:rsidR="00A45326">
        <w:rPr>
          <w:lang w:eastAsia="en-US" w:bidi="fa-IR"/>
        </w:rPr>
        <w:t>older Australians</w:t>
      </w:r>
      <w:r>
        <w:rPr>
          <w:lang w:eastAsia="en-US" w:bidi="fa-IR"/>
        </w:rPr>
        <w:t>, it could equally apply to younger people with a disability.</w:t>
      </w:r>
    </w:p>
    <w:p w:rsidR="007C6A5F" w:rsidRDefault="007C6A5F" w:rsidP="007C6A5F">
      <w:pPr>
        <w:pStyle w:val="BodyText"/>
        <w:rPr>
          <w:lang w:eastAsia="en-US" w:bidi="fa-IR"/>
        </w:rPr>
      </w:pPr>
      <w:r>
        <w:rPr>
          <w:lang w:eastAsia="en-US" w:bidi="fa-IR"/>
        </w:rPr>
        <w:t>It therefore follows that there is a cost to the community where people with disabilities are unable to secure housing that meets their needs.</w:t>
      </w:r>
    </w:p>
    <w:p w:rsidR="007C6A5F" w:rsidRPr="00D130F6" w:rsidRDefault="007C6A5F" w:rsidP="007C6A5F">
      <w:pPr>
        <w:pStyle w:val="KeyPoint"/>
        <w:rPr>
          <w:lang w:bidi="fa-IR"/>
        </w:rPr>
      </w:pPr>
      <w:r w:rsidRPr="00D130F6">
        <w:rPr>
          <w:lang w:bidi="fa-IR"/>
        </w:rPr>
        <w:lastRenderedPageBreak/>
        <w:t>We estimate that the community values these costs at around $389 million per year.</w:t>
      </w:r>
    </w:p>
    <w:p w:rsidR="007C6A5F" w:rsidRDefault="007C6A5F" w:rsidP="007C6A5F">
      <w:pPr>
        <w:pStyle w:val="BodyText"/>
        <w:rPr>
          <w:lang w:bidi="fa-IR"/>
        </w:rPr>
      </w:pPr>
      <w:r>
        <w:rPr>
          <w:lang w:bidi="fa-IR"/>
        </w:rPr>
        <w:t>This estimate is based on the following.</w:t>
      </w:r>
    </w:p>
    <w:p w:rsidR="007C6A5F" w:rsidRDefault="007C6A5F" w:rsidP="005A6F87">
      <w:pPr>
        <w:pStyle w:val="ListBullet"/>
        <w:numPr>
          <w:ilvl w:val="0"/>
          <w:numId w:val="17"/>
        </w:numPr>
        <w:rPr>
          <w:lang w:eastAsia="en-US" w:bidi="fa-IR"/>
        </w:rPr>
      </w:pPr>
      <w:r>
        <w:rPr>
          <w:lang w:eastAsia="en-US" w:bidi="fa-IR"/>
        </w:rPr>
        <w:t>We completed a stated preference survey to estimate the community’s ‘willingness to pay’ for all Australians with a mobility limitation to have access to housing that meets their needs. This survey found that the average willingness to pay was around $40 per household per year (see appendix </w:t>
      </w:r>
      <w:r w:rsidR="00620E26">
        <w:rPr>
          <w:lang w:eastAsia="en-US" w:bidi="fa-IR"/>
        </w:rPr>
        <w:t>K</w:t>
      </w:r>
      <w:r>
        <w:rPr>
          <w:lang w:eastAsia="en-US" w:bidi="fa-IR"/>
        </w:rPr>
        <w:t xml:space="preserve"> for further details).</w:t>
      </w:r>
    </w:p>
    <w:p w:rsidR="007C6A5F" w:rsidRDefault="007C6A5F" w:rsidP="005A6F87">
      <w:pPr>
        <w:pStyle w:val="ListBullet"/>
        <w:numPr>
          <w:ilvl w:val="0"/>
          <w:numId w:val="17"/>
        </w:numPr>
        <w:rPr>
          <w:lang w:eastAsia="en-US" w:bidi="fa-IR"/>
        </w:rPr>
      </w:pPr>
      <w:r>
        <w:rPr>
          <w:lang w:eastAsia="en-US" w:bidi="fa-IR"/>
        </w:rPr>
        <w:t xml:space="preserve">This estimate is applied across around </w:t>
      </w:r>
      <w:r w:rsidRPr="00D130F6">
        <w:rPr>
          <w:lang w:eastAsia="en-US" w:bidi="fa-IR"/>
        </w:rPr>
        <w:t>9.9 million households.</w:t>
      </w:r>
    </w:p>
    <w:p w:rsidR="007C6A5F" w:rsidRDefault="007C6A5F" w:rsidP="007C6A5F">
      <w:pPr>
        <w:pStyle w:val="Heading3"/>
        <w:numPr>
          <w:ilvl w:val="2"/>
          <w:numId w:val="5"/>
        </w:numPr>
        <w:rPr>
          <w:lang w:eastAsia="en-US" w:bidi="fa-IR"/>
        </w:rPr>
      </w:pPr>
      <w:r>
        <w:rPr>
          <w:lang w:eastAsia="en-US" w:bidi="fa-IR"/>
        </w:rPr>
        <w:t>Reduced employment opportunities</w:t>
      </w:r>
    </w:p>
    <w:p w:rsidR="007C6A5F" w:rsidRDefault="007C6A5F" w:rsidP="007C6A5F">
      <w:pPr>
        <w:pStyle w:val="BodyText"/>
        <w:rPr>
          <w:lang w:eastAsia="en-US" w:bidi="fa-IR"/>
        </w:rPr>
      </w:pPr>
      <w:r>
        <w:rPr>
          <w:lang w:eastAsia="en-US" w:bidi="fa-IR"/>
        </w:rPr>
        <w:t>Some stakeholders suggested that a lack of accessible housing could be reducing employment opportunities for people with mobility</w:t>
      </w:r>
      <w:r>
        <w:rPr>
          <w:lang w:eastAsia="en-US" w:bidi="fa-IR"/>
        </w:rPr>
        <w:noBreakHyphen/>
        <w:t xml:space="preserve">related disabilities. </w:t>
      </w:r>
      <w:r w:rsidR="00313B07">
        <w:t xml:space="preserve">There is related literature that provides relevant insights into this issue; however, we were not able to identify any direct quantifiable evidence to support the qualitative evidence. </w:t>
      </w:r>
      <w:r>
        <w:rPr>
          <w:lang w:eastAsia="en-US" w:bidi="fa-IR"/>
        </w:rPr>
        <w:t>We have not therefore quantified these costs (see appendix H for further discussion on this issue).</w:t>
      </w:r>
    </w:p>
    <w:p w:rsidR="007C6A5F" w:rsidRDefault="007C6A5F" w:rsidP="007C6A5F">
      <w:pPr>
        <w:pStyle w:val="Heading2"/>
        <w:numPr>
          <w:ilvl w:val="1"/>
          <w:numId w:val="5"/>
        </w:numPr>
        <w:spacing w:before="480"/>
        <w:rPr>
          <w:lang w:bidi="fa-IR"/>
        </w:rPr>
      </w:pPr>
      <w:bookmarkStart w:id="3225" w:name="_Toc32321750"/>
      <w:bookmarkStart w:id="3226" w:name="_Toc44598438"/>
      <w:bookmarkStart w:id="3227" w:name="_Toc45654069"/>
      <w:r>
        <w:rPr>
          <w:lang w:bidi="fa-IR"/>
        </w:rPr>
        <w:t>Projections of future size of the problem</w:t>
      </w:r>
      <w:bookmarkEnd w:id="3225"/>
      <w:bookmarkEnd w:id="3226"/>
      <w:bookmarkEnd w:id="3227"/>
    </w:p>
    <w:p w:rsidR="007C6A5F" w:rsidRDefault="007C6A5F" w:rsidP="007C6A5F">
      <w:pPr>
        <w:pStyle w:val="BodyText"/>
        <w:rPr>
          <w:lang w:bidi="fa-IR"/>
        </w:rPr>
      </w:pPr>
      <w:r>
        <w:rPr>
          <w:lang w:bidi="fa-IR"/>
        </w:rPr>
        <w:t xml:space="preserve">As noted above, the number of people with </w:t>
      </w:r>
      <w:r w:rsidR="00A45326">
        <w:rPr>
          <w:lang w:bidi="fa-IR"/>
        </w:rPr>
        <w:t xml:space="preserve">a </w:t>
      </w:r>
      <w:r>
        <w:rPr>
          <w:lang w:bidi="fa-IR"/>
        </w:rPr>
        <w:t>mobility</w:t>
      </w:r>
      <w:r w:rsidR="00A45326">
        <w:rPr>
          <w:lang w:bidi="fa-IR"/>
        </w:rPr>
        <w:noBreakHyphen/>
        <w:t xml:space="preserve">related disability </w:t>
      </w:r>
      <w:r>
        <w:rPr>
          <w:lang w:bidi="fa-IR"/>
        </w:rPr>
        <w:t>is expected to increase over time due to:</w:t>
      </w:r>
    </w:p>
    <w:p w:rsidR="007C6A5F" w:rsidRDefault="007C6A5F" w:rsidP="005A6F87">
      <w:pPr>
        <w:pStyle w:val="ListBullet"/>
        <w:numPr>
          <w:ilvl w:val="0"/>
          <w:numId w:val="17"/>
        </w:numPr>
        <w:rPr>
          <w:lang w:bidi="fa-IR"/>
        </w:rPr>
      </w:pPr>
      <w:r>
        <w:rPr>
          <w:lang w:bidi="fa-IR"/>
        </w:rPr>
        <w:t>population growth</w:t>
      </w:r>
    </w:p>
    <w:p w:rsidR="007C6A5F" w:rsidRDefault="007C6A5F" w:rsidP="005A6F87">
      <w:pPr>
        <w:pStyle w:val="ListBullet"/>
        <w:numPr>
          <w:ilvl w:val="0"/>
          <w:numId w:val="17"/>
        </w:numPr>
        <w:rPr>
          <w:lang w:bidi="fa-IR"/>
        </w:rPr>
      </w:pPr>
      <w:r>
        <w:rPr>
          <w:lang w:bidi="fa-IR"/>
        </w:rPr>
        <w:t>the ageing population.</w:t>
      </w:r>
    </w:p>
    <w:p w:rsidR="007C6A5F" w:rsidRDefault="007C6A5F" w:rsidP="007C6A5F">
      <w:pPr>
        <w:pStyle w:val="BodyText"/>
        <w:rPr>
          <w:lang w:bidi="fa-IR"/>
        </w:rPr>
      </w:pPr>
      <w:r>
        <w:rPr>
          <w:lang w:bidi="fa-IR"/>
        </w:rPr>
        <w:t>If the size of the problem increases in proportion to the number of people with accessibility needs, we estimate that the size of the problem could increase to between around $2.6 billion and $3.1 billion over the next 20 years (chart </w:t>
      </w:r>
      <w:r>
        <w:rPr>
          <w:lang w:bidi="fa-IR"/>
        </w:rPr>
        <w:fldChar w:fldCharType="begin"/>
      </w:r>
      <w:r>
        <w:rPr>
          <w:lang w:bidi="fa-IR"/>
        </w:rPr>
        <w:instrText xml:space="preserve"> REF _Caption4537 </w:instrText>
      </w:r>
      <w:r>
        <w:rPr>
          <w:lang w:bidi="fa-IR"/>
        </w:rPr>
        <w:fldChar w:fldCharType="separate"/>
      </w:r>
      <w:r>
        <w:rPr>
          <w:noProof/>
        </w:rPr>
        <w:t>2</w:t>
      </w:r>
      <w:r w:rsidRPr="00243E49">
        <w:rPr>
          <w:noProof/>
        </w:rPr>
        <w:t>.</w:t>
      </w:r>
      <w:r>
        <w:rPr>
          <w:noProof/>
        </w:rPr>
        <w:t>28</w:t>
      </w:r>
      <w:r>
        <w:rPr>
          <w:lang w:bidi="fa-IR"/>
        </w:rPr>
        <w:fldChar w:fldCharType="end"/>
      </w:r>
      <w:r>
        <w:rPr>
          <w:lang w:bidi="fa-IR"/>
        </w:rPr>
        <w:t>).</w:t>
      </w:r>
    </w:p>
    <w:p w:rsidR="007C6A5F" w:rsidRDefault="007C6A5F" w:rsidP="007C6A5F">
      <w:pPr>
        <w:pStyle w:val="Caption"/>
      </w:pPr>
      <w:r w:rsidRPr="00243E49">
        <w:fldChar w:fldCharType="begin"/>
      </w:r>
      <w:r w:rsidRPr="00243E49">
        <w:instrText xml:space="preserve"> IF 1 = 1 "</w:instrText>
      </w:r>
      <w:r w:rsidRPr="00243E49">
        <w:fldChar w:fldCharType="begin"/>
      </w:r>
      <w:r w:rsidRPr="00243E49">
        <w:instrText xml:space="preserve"> IF </w:instrText>
      </w:r>
      <w:r w:rsidRPr="00243E49">
        <w:rPr>
          <w:noProof/>
        </w:rPr>
        <w:fldChar w:fldCharType="begin"/>
      </w:r>
      <w:r w:rsidRPr="00243E49">
        <w:rPr>
          <w:noProof/>
        </w:rPr>
        <w:instrText xml:space="preserve"> STYLEREF "Heading 6" \l \n </w:instrText>
      </w:r>
      <w:r w:rsidRPr="00243E49">
        <w:rPr>
          <w:noProof/>
        </w:rPr>
        <w:fldChar w:fldCharType="separate"/>
      </w:r>
      <w:r>
        <w:rPr>
          <w:noProof/>
        </w:rPr>
        <w:instrText>0</w:instrText>
      </w:r>
      <w:r w:rsidRPr="00243E49">
        <w:rPr>
          <w:noProof/>
        </w:rPr>
        <w:fldChar w:fldCharType="end"/>
      </w:r>
      <w:r w:rsidRPr="00243E49">
        <w:instrText xml:space="preserve"> = 0 "</w:instrText>
      </w:r>
      <w:r w:rsidRPr="00243E49">
        <w:fldChar w:fldCharType="begin"/>
      </w:r>
      <w:r w:rsidRPr="00243E49">
        <w:instrText xml:space="preserve"> IF </w:instrText>
      </w:r>
      <w:r w:rsidRPr="00243E49">
        <w:rPr>
          <w:noProof/>
        </w:rPr>
        <w:fldChar w:fldCharType="begin"/>
      </w:r>
      <w:r w:rsidRPr="00243E49">
        <w:rPr>
          <w:noProof/>
        </w:rPr>
        <w:instrText xml:space="preserve"> STYLEREF "Heading 1" \l \n </w:instrText>
      </w:r>
      <w:r w:rsidRPr="00243E49">
        <w:rPr>
          <w:noProof/>
        </w:rPr>
        <w:fldChar w:fldCharType="separate"/>
      </w:r>
      <w:r>
        <w:rPr>
          <w:noProof/>
        </w:rPr>
        <w:instrText>2</w:instrText>
      </w:r>
      <w:r w:rsidRPr="00243E49">
        <w:rPr>
          <w:noProof/>
        </w:rPr>
        <w:fldChar w:fldCharType="end"/>
      </w:r>
      <w:r w:rsidRPr="00243E49">
        <w:instrText xml:space="preserve"> = 0 "" "</w:instrText>
      </w:r>
      <w:r w:rsidRPr="00243E49">
        <w:rPr>
          <w:noProof/>
        </w:rPr>
        <w:fldChar w:fldCharType="begin"/>
      </w:r>
      <w:r w:rsidRPr="00243E49">
        <w:rPr>
          <w:noProof/>
        </w:rPr>
        <w:instrText xml:space="preserve"> STYLEREF "Heading 1" \l \n </w:instrText>
      </w:r>
      <w:r w:rsidRPr="00243E49">
        <w:rPr>
          <w:noProof/>
        </w:rPr>
        <w:fldChar w:fldCharType="separate"/>
      </w:r>
      <w:r>
        <w:rPr>
          <w:noProof/>
        </w:rPr>
        <w:instrText>2</w:instrText>
      </w:r>
      <w:r w:rsidRPr="00243E49">
        <w:rPr>
          <w:noProof/>
        </w:rPr>
        <w:fldChar w:fldCharType="end"/>
      </w:r>
      <w:r w:rsidRPr="00243E49">
        <w:instrText xml:space="preserve">." </w:instrText>
      </w:r>
      <w:r w:rsidRPr="00243E49">
        <w:fldChar w:fldCharType="separate"/>
      </w:r>
      <w:r>
        <w:rPr>
          <w:noProof/>
        </w:rPr>
        <w:instrText>2</w:instrText>
      </w:r>
      <w:r w:rsidRPr="00243E49">
        <w:rPr>
          <w:noProof/>
        </w:rPr>
        <w:instrText>.</w:instrText>
      </w:r>
      <w:r w:rsidRPr="00243E49">
        <w:fldChar w:fldCharType="end"/>
      </w:r>
      <w:r w:rsidRPr="00243E49">
        <w:instrText>" "</w:instrText>
      </w:r>
      <w:r w:rsidRPr="00243E49">
        <w:rPr>
          <w:noProof/>
        </w:rPr>
        <w:fldChar w:fldCharType="begin"/>
      </w:r>
      <w:r w:rsidRPr="00243E49">
        <w:rPr>
          <w:noProof/>
        </w:rPr>
        <w:instrText xml:space="preserve"> STYLEREF "Heading 6" \l \n </w:instrText>
      </w:r>
      <w:r w:rsidRPr="00243E49">
        <w:rPr>
          <w:noProof/>
        </w:rPr>
        <w:fldChar w:fldCharType="separate"/>
      </w:r>
      <w:r w:rsidRPr="00243E49">
        <w:rPr>
          <w:noProof/>
        </w:rPr>
        <w:instrText>A</w:instrText>
      </w:r>
      <w:r w:rsidRPr="00243E49">
        <w:rPr>
          <w:noProof/>
        </w:rPr>
        <w:fldChar w:fldCharType="end"/>
      </w:r>
      <w:r w:rsidRPr="00243E49">
        <w:instrText xml:space="preserve">." </w:instrText>
      </w:r>
      <w:r w:rsidRPr="00243E49">
        <w:fldChar w:fldCharType="separate"/>
      </w:r>
      <w:r w:rsidR="00272AF3">
        <w:rPr>
          <w:noProof/>
        </w:rPr>
        <w:instrText>2</w:instrText>
      </w:r>
      <w:r w:rsidR="00272AF3" w:rsidRPr="00243E49">
        <w:rPr>
          <w:noProof/>
        </w:rPr>
        <w:instrText>.</w:instrText>
      </w:r>
      <w:r w:rsidRPr="00243E49">
        <w:fldChar w:fldCharType="end"/>
      </w:r>
      <w:r w:rsidRPr="00243E49">
        <w:fldChar w:fldCharType="begin"/>
      </w:r>
      <w:r w:rsidRPr="00243E49">
        <w:instrText xml:space="preserve"> SEQ Item \* ARABIC \s </w:instrText>
      </w:r>
      <w:r w:rsidRPr="00243E49">
        <w:fldChar w:fldCharType="begin"/>
      </w:r>
      <w:r w:rsidRPr="00243E49">
        <w:instrText xml:space="preserve"> IF </w:instrText>
      </w:r>
      <w:r w:rsidRPr="00243E49">
        <w:rPr>
          <w:noProof/>
        </w:rPr>
        <w:fldChar w:fldCharType="begin"/>
      </w:r>
      <w:r w:rsidRPr="00243E49">
        <w:rPr>
          <w:noProof/>
        </w:rPr>
        <w:instrText xml:space="preserve"> STYLEREF "Heading 6" \l \n </w:instrText>
      </w:r>
      <w:r w:rsidRPr="00243E49">
        <w:rPr>
          <w:noProof/>
        </w:rPr>
        <w:fldChar w:fldCharType="separate"/>
      </w:r>
      <w:r>
        <w:rPr>
          <w:noProof/>
        </w:rPr>
        <w:instrText>0</w:instrText>
      </w:r>
      <w:r w:rsidRPr="00243E49">
        <w:rPr>
          <w:noProof/>
        </w:rPr>
        <w:fldChar w:fldCharType="end"/>
      </w:r>
      <w:r w:rsidRPr="00243E49">
        <w:instrText xml:space="preserve"> = 0 "</w:instrText>
      </w:r>
      <w:r w:rsidRPr="00243E49">
        <w:fldChar w:fldCharType="begin"/>
      </w:r>
      <w:r w:rsidRPr="00243E49">
        <w:instrText xml:space="preserve"> IF </w:instrText>
      </w:r>
      <w:r w:rsidRPr="00243E49">
        <w:rPr>
          <w:noProof/>
        </w:rPr>
        <w:fldChar w:fldCharType="begin"/>
      </w:r>
      <w:r w:rsidRPr="00243E49">
        <w:rPr>
          <w:noProof/>
        </w:rPr>
        <w:instrText xml:space="preserve"> STYLEREF "Heading 1" \l \n </w:instrText>
      </w:r>
      <w:r w:rsidRPr="00243E49">
        <w:rPr>
          <w:noProof/>
        </w:rPr>
        <w:fldChar w:fldCharType="separate"/>
      </w:r>
      <w:r>
        <w:rPr>
          <w:noProof/>
        </w:rPr>
        <w:instrText>2</w:instrText>
      </w:r>
      <w:r w:rsidRPr="00243E49">
        <w:rPr>
          <w:noProof/>
        </w:rPr>
        <w:fldChar w:fldCharType="end"/>
      </w:r>
      <w:r w:rsidRPr="00243E49">
        <w:instrText xml:space="preserve"> = 0 "" "1" </w:instrText>
      </w:r>
      <w:r w:rsidRPr="00243E49">
        <w:fldChar w:fldCharType="separate"/>
      </w:r>
      <w:r w:rsidR="00272AF3" w:rsidRPr="00243E49">
        <w:rPr>
          <w:noProof/>
        </w:rPr>
        <w:instrText>1</w:instrText>
      </w:r>
      <w:r w:rsidRPr="00243E49">
        <w:fldChar w:fldCharType="end"/>
      </w:r>
      <w:r w:rsidRPr="00243E49">
        <w:instrText xml:space="preserve">" "6" </w:instrText>
      </w:r>
      <w:r w:rsidRPr="00243E49">
        <w:fldChar w:fldCharType="separate"/>
      </w:r>
      <w:r w:rsidR="00272AF3" w:rsidRPr="00243E49">
        <w:rPr>
          <w:noProof/>
        </w:rPr>
        <w:instrText>1</w:instrText>
      </w:r>
      <w:r w:rsidRPr="00243E49">
        <w:fldChar w:fldCharType="end"/>
      </w:r>
      <w:r w:rsidRPr="00243E49">
        <w:instrText xml:space="preserve"> </w:instrText>
      </w:r>
      <w:r w:rsidRPr="00243E49">
        <w:fldChar w:fldCharType="separate"/>
      </w:r>
      <w:r>
        <w:rPr>
          <w:noProof/>
        </w:rPr>
        <w:instrText>28</w:instrText>
      </w:r>
      <w:r w:rsidRPr="00243E49">
        <w:fldChar w:fldCharType="end"/>
      </w:r>
      <w:r w:rsidRPr="00243E49">
        <w:instrText xml:space="preserve">" "" </w:instrText>
      </w:r>
      <w:r w:rsidRPr="00243E49">
        <w:fldChar w:fldCharType="separate"/>
      </w:r>
      <w:bookmarkStart w:id="3228" w:name="_Caption7122"/>
      <w:bookmarkStart w:id="3229" w:name="_Caption2595"/>
      <w:bookmarkStart w:id="3230" w:name="_Caption5508"/>
      <w:bookmarkStart w:id="3231" w:name="_Caption5671"/>
      <w:bookmarkStart w:id="3232" w:name="_Caption8240"/>
      <w:bookmarkStart w:id="3233" w:name="_Caption8191"/>
      <w:bookmarkStart w:id="3234" w:name="_Caption8271"/>
      <w:bookmarkStart w:id="3235" w:name="_Caption3987"/>
      <w:bookmarkStart w:id="3236" w:name="_Caption1808"/>
      <w:bookmarkStart w:id="3237" w:name="_Caption7659"/>
      <w:bookmarkStart w:id="3238" w:name="_Caption4054"/>
      <w:bookmarkStart w:id="3239" w:name="_Caption6149"/>
      <w:bookmarkStart w:id="3240" w:name="_Caption3967"/>
      <w:bookmarkStart w:id="3241" w:name="_Caption4581"/>
      <w:bookmarkStart w:id="3242" w:name="_Caption3661"/>
      <w:bookmarkStart w:id="3243" w:name="_Caption7387"/>
      <w:bookmarkStart w:id="3244" w:name="_Caption3253"/>
      <w:bookmarkStart w:id="3245" w:name="_Caption8301"/>
      <w:bookmarkStart w:id="3246" w:name="_Caption7900"/>
      <w:bookmarkStart w:id="3247" w:name="_Caption6709"/>
      <w:bookmarkStart w:id="3248" w:name="_Caption9557"/>
      <w:bookmarkStart w:id="3249" w:name="_Caption9287"/>
      <w:bookmarkStart w:id="3250" w:name="_Caption8100"/>
      <w:bookmarkStart w:id="3251" w:name="_Caption5213"/>
      <w:bookmarkStart w:id="3252" w:name="_Caption9729"/>
      <w:bookmarkStart w:id="3253" w:name="_Caption3580"/>
      <w:bookmarkStart w:id="3254" w:name="_Caption2542"/>
      <w:bookmarkStart w:id="3255" w:name="_Caption6261"/>
      <w:bookmarkStart w:id="3256" w:name="_Caption5480"/>
      <w:bookmarkStart w:id="3257" w:name="_Caption5186"/>
      <w:bookmarkStart w:id="3258" w:name="_Caption4359"/>
      <w:bookmarkStart w:id="3259" w:name="_Caption4075"/>
      <w:bookmarkStart w:id="3260" w:name="_Caption9646"/>
      <w:bookmarkStart w:id="3261" w:name="_Caption5789"/>
      <w:bookmarkStart w:id="3262" w:name="_Caption6924"/>
      <w:bookmarkStart w:id="3263" w:name="_Caption4499"/>
      <w:bookmarkStart w:id="3264" w:name="_Caption1685"/>
      <w:bookmarkStart w:id="3265" w:name="_Caption3489"/>
      <w:bookmarkStart w:id="3266" w:name="_Caption6827"/>
      <w:bookmarkStart w:id="3267" w:name="_Caption9294"/>
      <w:bookmarkStart w:id="3268" w:name="_Caption3745"/>
      <w:bookmarkStart w:id="3269" w:name="_Caption3889"/>
      <w:bookmarkStart w:id="3270" w:name="_Caption4768"/>
      <w:bookmarkStart w:id="3271" w:name="_Caption0177"/>
      <w:bookmarkStart w:id="3272" w:name="_Caption1378"/>
      <w:bookmarkStart w:id="3273" w:name="_Caption3795"/>
      <w:bookmarkStart w:id="3274" w:name="_Caption4536"/>
      <w:bookmarkStart w:id="3275" w:name="_Caption0954"/>
      <w:bookmarkStart w:id="3276" w:name="_Caption5231"/>
      <w:bookmarkStart w:id="3277" w:name="_Caption0511"/>
      <w:bookmarkStart w:id="3278" w:name="_Caption4798"/>
      <w:bookmarkStart w:id="3279" w:name="_Caption1937"/>
      <w:bookmarkStart w:id="3280" w:name="_Caption1342"/>
      <w:bookmarkStart w:id="3281" w:name="_Caption2027"/>
      <w:bookmarkStart w:id="3282" w:name="_Caption5372"/>
      <w:bookmarkStart w:id="3283" w:name="_Caption3972"/>
      <w:bookmarkStart w:id="3284" w:name="_Caption2872"/>
      <w:bookmarkStart w:id="3285" w:name="_Caption5938"/>
      <w:bookmarkStart w:id="3286" w:name="_Caption2794"/>
      <w:bookmarkStart w:id="3287" w:name="_Caption7168"/>
      <w:bookmarkStart w:id="3288" w:name="_Caption6060"/>
      <w:bookmarkStart w:id="3289" w:name="_Caption2266"/>
      <w:bookmarkStart w:id="3290" w:name="_Caption7712"/>
      <w:bookmarkStart w:id="3291" w:name="_Caption3317"/>
      <w:bookmarkStart w:id="3292" w:name="_Caption9642"/>
      <w:bookmarkStart w:id="3293" w:name="_Caption6243"/>
      <w:bookmarkStart w:id="3294" w:name="_Caption9247"/>
      <w:bookmarkStart w:id="3295" w:name="_Caption7399"/>
      <w:bookmarkStart w:id="3296" w:name="_Caption3673"/>
      <w:bookmarkStart w:id="3297" w:name="_Caption6772"/>
      <w:bookmarkStart w:id="3298" w:name="_Caption6663"/>
      <w:bookmarkStart w:id="3299" w:name="_Caption4078"/>
      <w:bookmarkStart w:id="3300" w:name="_Caption9405"/>
      <w:bookmarkStart w:id="3301" w:name="_Caption8937"/>
      <w:bookmarkStart w:id="3302" w:name="_Caption2515"/>
      <w:bookmarkStart w:id="3303" w:name="_Caption7384"/>
      <w:bookmarkStart w:id="3304" w:name="_Caption5797"/>
      <w:bookmarkStart w:id="3305" w:name="_Caption3780"/>
      <w:bookmarkStart w:id="3306" w:name="_Caption2352"/>
      <w:bookmarkStart w:id="3307" w:name="_Caption3835"/>
      <w:bookmarkStart w:id="3308" w:name="_Caption0081"/>
      <w:bookmarkStart w:id="3309" w:name="_Caption4678"/>
      <w:bookmarkStart w:id="3310" w:name="_Caption6726"/>
      <w:bookmarkStart w:id="3311" w:name="_Caption4537"/>
      <w:bookmarkStart w:id="3312" w:name="_Caption2594"/>
      <w:bookmarkStart w:id="3313" w:name="_Caption0490"/>
      <w:bookmarkStart w:id="3314" w:name="_Caption3535"/>
      <w:bookmarkStart w:id="3315" w:name="_Caption3588"/>
      <w:bookmarkStart w:id="3316" w:name="_Caption6737"/>
      <w:bookmarkStart w:id="3317" w:name="_Caption8740"/>
      <w:bookmarkStart w:id="3318" w:name="_Caption4646"/>
      <w:bookmarkStart w:id="3319" w:name="_Caption1211"/>
      <w:bookmarkStart w:id="3320" w:name="_Caption3500"/>
      <w:bookmarkStart w:id="3321" w:name="_Caption3010"/>
      <w:bookmarkStart w:id="3322" w:name="_Caption4080"/>
      <w:bookmarkStart w:id="3323" w:name="_Caption1391"/>
      <w:bookmarkStart w:id="3324" w:name="_Caption4993"/>
      <w:bookmarkStart w:id="3325" w:name="_Caption4983"/>
      <w:bookmarkStart w:id="3326" w:name="_Caption6970"/>
      <w:bookmarkStart w:id="3327" w:name="_Caption3172"/>
      <w:bookmarkStart w:id="3328" w:name="_Caption6107"/>
      <w:bookmarkStart w:id="3329" w:name="_Caption8391"/>
      <w:bookmarkStart w:id="3330" w:name="_Caption5320"/>
      <w:bookmarkStart w:id="3331" w:name="_Caption5851"/>
      <w:bookmarkStart w:id="3332" w:name="_Caption7208"/>
      <w:bookmarkStart w:id="3333" w:name="_Caption0657"/>
      <w:bookmarkStart w:id="3334" w:name="_Caption7407"/>
      <w:bookmarkStart w:id="3335" w:name="_Caption5772"/>
      <w:bookmarkStart w:id="3336" w:name="_Caption9321"/>
      <w:bookmarkStart w:id="3337" w:name="_Caption0159"/>
      <w:bookmarkStart w:id="3338" w:name="_Caption2070"/>
      <w:bookmarkStart w:id="3339" w:name="_Caption8310"/>
      <w:bookmarkStart w:id="3340" w:name="_Caption2958"/>
      <w:bookmarkStart w:id="3341" w:name="_Caption6352"/>
      <w:bookmarkStart w:id="3342" w:name="_Caption9612"/>
      <w:bookmarkStart w:id="3343" w:name="_Caption0482"/>
      <w:bookmarkStart w:id="3344" w:name="_Caption6995"/>
      <w:bookmarkStart w:id="3345" w:name="_Caption8811"/>
      <w:bookmarkStart w:id="3346" w:name="_Caption9856"/>
      <w:bookmarkStart w:id="3347" w:name="_Caption8701"/>
      <w:bookmarkStart w:id="3348" w:name="_Caption1508"/>
      <w:bookmarkStart w:id="3349" w:name="_Caption8983"/>
      <w:bookmarkStart w:id="3350" w:name="_Caption4656"/>
      <w:bookmarkStart w:id="3351" w:name="_Toc32321816"/>
      <w:bookmarkStart w:id="3352" w:name="_Toc44598512"/>
      <w:bookmarkStart w:id="3353" w:name="_Toc45654143"/>
      <w:r w:rsidR="00272AF3">
        <w:rPr>
          <w:noProof/>
        </w:rPr>
        <w:t>2</w:t>
      </w:r>
      <w:r w:rsidR="00272AF3" w:rsidRPr="00243E49">
        <w:rPr>
          <w:noProof/>
        </w:rPr>
        <w:t>.</w:t>
      </w:r>
      <w:r w:rsidR="00272AF3">
        <w:rPr>
          <w:noProof/>
        </w:rPr>
        <w:t>28</w:t>
      </w:r>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r w:rsidRPr="00243E49">
        <w:fldChar w:fldCharType="end"/>
      </w:r>
      <w:r w:rsidRPr="00243E49">
        <w:tab/>
        <w:t>Size of the problem — projections</w:t>
      </w:r>
      <w:bookmarkEnd w:id="3351"/>
      <w:bookmarkEnd w:id="3352"/>
      <w:bookmarkEnd w:id="3353"/>
    </w:p>
    <w:p w:rsidR="007C6A5F" w:rsidRPr="00F36A14" w:rsidRDefault="007C6A5F" w:rsidP="007C6A5F">
      <w:pPr>
        <w:pStyle w:val="BodyText"/>
        <w:rPr>
          <w:lang w:eastAsia="en-US"/>
        </w:rPr>
      </w:pPr>
      <w:r w:rsidRPr="003673E8">
        <w:rPr>
          <w:rFonts w:ascii="Franklin Gothic Book" w:hAnsi="Franklin Gothic Book"/>
          <w:noProof/>
          <w:sz w:val="14"/>
          <w:szCs w:val="16"/>
        </w:rPr>
        <w:drawing>
          <wp:inline distT="0" distB="0" distL="0" distR="0" wp14:anchorId="0E660068" wp14:editId="33C17365">
            <wp:extent cx="5040000" cy="2549267"/>
            <wp:effectExtent l="57150" t="57150" r="65405" b="60960"/>
            <wp:docPr id="11" name="Picture 11" descr="Chart 2.28 - Size of the problem — projec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000" cy="2549267"/>
                    </a:xfrm>
                    <a:prstGeom prst="rect">
                      <a:avLst/>
                    </a:prstGeom>
                    <a:noFill/>
                    <a:ln w="57150">
                      <a:solidFill>
                        <a:schemeClr val="bg2"/>
                      </a:solidFill>
                    </a:ln>
                  </pic:spPr>
                </pic:pic>
              </a:graphicData>
            </a:graphic>
          </wp:inline>
        </w:drawing>
      </w:r>
    </w:p>
    <w:p w:rsidR="007C6A5F" w:rsidRDefault="007C6A5F" w:rsidP="007C6A5F">
      <w:pPr>
        <w:pStyle w:val="Source"/>
      </w:pPr>
      <w:r>
        <w:rPr>
          <w:i/>
        </w:rPr>
        <w:lastRenderedPageBreak/>
        <w:t>Data source</w:t>
      </w:r>
      <w:r w:rsidRPr="00A67576">
        <w:rPr>
          <w:i/>
        </w:rPr>
        <w:t>:</w:t>
      </w:r>
      <w:r>
        <w:t xml:space="preserve"> CIE; ABS.</w:t>
      </w:r>
    </w:p>
    <w:p w:rsidR="007C6A5F" w:rsidRDefault="007C6A5F" w:rsidP="007C6A5F">
      <w:pPr>
        <w:pStyle w:val="Heading2"/>
        <w:numPr>
          <w:ilvl w:val="1"/>
          <w:numId w:val="5"/>
        </w:numPr>
        <w:rPr>
          <w:lang w:bidi="fa-IR"/>
        </w:rPr>
      </w:pPr>
      <w:bookmarkStart w:id="3354" w:name="_Toc32321751"/>
      <w:bookmarkStart w:id="3355" w:name="_Toc44598439"/>
      <w:bookmarkStart w:id="3356" w:name="_Toc45654070"/>
      <w:r>
        <w:rPr>
          <w:lang w:bidi="fa-IR"/>
        </w:rPr>
        <w:t>Underlying causes</w:t>
      </w:r>
      <w:bookmarkEnd w:id="3354"/>
      <w:bookmarkEnd w:id="3355"/>
      <w:bookmarkEnd w:id="3356"/>
    </w:p>
    <w:p w:rsidR="007C6A5F" w:rsidRDefault="007C6A5F" w:rsidP="007C6A5F">
      <w:pPr>
        <w:pStyle w:val="BodyText"/>
        <w:rPr>
          <w:lang w:bidi="fa-IR"/>
        </w:rPr>
      </w:pPr>
      <w:r w:rsidRPr="00D130F6">
        <w:rPr>
          <w:lang w:bidi="fa-IR"/>
        </w:rPr>
        <w:t>When operating efficiently, markets generally respond to the needs of consumers. To the extent that there is currently a shortage of accessible private housing, this implies that the market response may be falling short of the need.</w:t>
      </w:r>
      <w:r>
        <w:rPr>
          <w:lang w:bidi="fa-IR"/>
        </w:rPr>
        <w:t xml:space="preserve"> For the RIS, it is important to understand the underlying cause of the problem (i.e. why is the market not providing sufficient levels or types of housing with accessibility features?).</w:t>
      </w:r>
    </w:p>
    <w:p w:rsidR="007C6A5F" w:rsidRDefault="007C6A5F" w:rsidP="007C6A5F">
      <w:pPr>
        <w:pStyle w:val="Invisiblepara"/>
        <w:spacing w:before="240"/>
      </w:pPr>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Box 2.29"/>
        <w:tblDescription w:val="Questions for stakeholders"/>
      </w:tblPr>
      <w:tblGrid>
        <w:gridCol w:w="7938"/>
      </w:tblGrid>
      <w:tr w:rsidR="007C6A5F" w:rsidRPr="00E05C8C" w:rsidTr="00AA0852">
        <w:trPr>
          <w:tblHeader/>
        </w:trPr>
        <w:tc>
          <w:tcPr>
            <w:tcW w:w="7938" w:type="dxa"/>
            <w:shd w:val="clear" w:color="auto" w:fill="C6BFAB" w:themeFill="accent3"/>
          </w:tcPr>
          <w:p w:rsidR="007C6A5F" w:rsidRPr="00E05C8C" w:rsidRDefault="007C6A5F" w:rsidP="005A6F87">
            <w:pPr>
              <w:pStyle w:val="Caption"/>
              <w:numPr>
                <w:ilvl w:val="0"/>
                <w:numId w:val="13"/>
              </w:numPr>
              <w:spacing w:before="120" w:after="100"/>
            </w:pPr>
            <w:r w:rsidRPr="00E05C8C">
              <w:fldChar w:fldCharType="begin"/>
            </w:r>
            <w:r w:rsidRPr="00E05C8C">
              <w:instrText xml:space="preserve"> IF 1 = 1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E05C8C">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E05C8C">
              <w:instrText xml:space="preserve">." </w:instrText>
            </w:r>
            <w:r w:rsidRPr="00E05C8C">
              <w:fldChar w:fldCharType="separate"/>
            </w:r>
            <w:r>
              <w:rPr>
                <w:noProof/>
              </w:rPr>
              <w:instrText>2</w:instrText>
            </w:r>
            <w:r w:rsidRPr="00E05C8C">
              <w:rPr>
                <w:noProof/>
              </w:rPr>
              <w:instrText>.</w:instrText>
            </w:r>
            <w:r w:rsidRPr="00E05C8C">
              <w:fldChar w:fldCharType="end"/>
            </w:r>
            <w:r w:rsidRPr="00E05C8C">
              <w:instrText>" "</w:instrText>
            </w:r>
            <w:r w:rsidR="00F56BFF">
              <w:fldChar w:fldCharType="begin"/>
            </w:r>
            <w:r w:rsidR="00F56BFF">
              <w:instrText xml:space="preserve"> STYLEREF "Heading </w:instrText>
            </w:r>
            <w:r w:rsidR="00F56BFF">
              <w:instrText xml:space="preserve">6" \l \n </w:instrText>
            </w:r>
            <w:r w:rsidR="00F56BFF">
              <w:fldChar w:fldCharType="separate"/>
            </w:r>
            <w:r w:rsidRPr="00E05C8C">
              <w:instrText>B</w:instrText>
            </w:r>
            <w:r w:rsidR="00F56BFF">
              <w:fldChar w:fldCharType="end"/>
            </w:r>
            <w:r w:rsidRPr="00E05C8C">
              <w:instrText xml:space="preserve">." </w:instrText>
            </w:r>
            <w:r w:rsidRPr="00E05C8C">
              <w:fldChar w:fldCharType="separate"/>
            </w:r>
            <w:r w:rsidR="00272AF3">
              <w:rPr>
                <w:noProof/>
              </w:rPr>
              <w:instrText>2</w:instrText>
            </w:r>
            <w:r w:rsidR="00272AF3"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E05C8C">
              <w:instrText xml:space="preserve"> = 0 "" "1" </w:instrText>
            </w:r>
            <w:r w:rsidRPr="00E05C8C">
              <w:fldChar w:fldCharType="separate"/>
            </w:r>
            <w:r w:rsidR="00272AF3" w:rsidRPr="00E05C8C">
              <w:rPr>
                <w:noProof/>
              </w:rPr>
              <w:instrText>1</w:instrText>
            </w:r>
            <w:r w:rsidRPr="00E05C8C">
              <w:fldChar w:fldCharType="end"/>
            </w:r>
            <w:r w:rsidRPr="00E05C8C">
              <w:instrText xml:space="preserve">" "6" </w:instrText>
            </w:r>
            <w:r w:rsidRPr="00E05C8C">
              <w:fldChar w:fldCharType="separate"/>
            </w:r>
            <w:r w:rsidR="00272AF3" w:rsidRPr="00E05C8C">
              <w:rPr>
                <w:noProof/>
              </w:rPr>
              <w:instrText>1</w:instrText>
            </w:r>
            <w:r w:rsidRPr="00E05C8C">
              <w:fldChar w:fldCharType="end"/>
            </w:r>
            <w:r w:rsidRPr="00E05C8C">
              <w:instrText xml:space="preserve"> </w:instrText>
            </w:r>
            <w:r w:rsidRPr="00E05C8C">
              <w:fldChar w:fldCharType="separate"/>
            </w:r>
            <w:r>
              <w:rPr>
                <w:noProof/>
              </w:rPr>
              <w:instrText>29</w:instrText>
            </w:r>
            <w:r w:rsidRPr="00E05C8C">
              <w:fldChar w:fldCharType="end"/>
            </w:r>
            <w:r w:rsidRPr="00E05C8C">
              <w:instrText xml:space="preserve">" "" </w:instrText>
            </w:r>
            <w:r w:rsidRPr="00E05C8C">
              <w:fldChar w:fldCharType="separate"/>
            </w:r>
            <w:bookmarkStart w:id="3357" w:name="_Caption9073"/>
            <w:bookmarkStart w:id="3358" w:name="_Caption9030"/>
            <w:bookmarkStart w:id="3359" w:name="_Caption8885"/>
            <w:bookmarkStart w:id="3360" w:name="_Caption2960"/>
            <w:bookmarkStart w:id="3361" w:name="_Caption1912"/>
            <w:bookmarkStart w:id="3362" w:name="_Caption5705"/>
            <w:bookmarkStart w:id="3363" w:name="_Caption4313"/>
            <w:bookmarkStart w:id="3364" w:name="_Caption5029"/>
            <w:bookmarkStart w:id="3365" w:name="_Caption1075"/>
            <w:bookmarkStart w:id="3366" w:name="_Caption1946"/>
            <w:bookmarkStart w:id="3367" w:name="_Caption8888"/>
            <w:bookmarkStart w:id="3368" w:name="_Caption0881"/>
            <w:bookmarkStart w:id="3369" w:name="_Caption7594"/>
            <w:bookmarkStart w:id="3370" w:name="_Caption0678"/>
            <w:bookmarkStart w:id="3371" w:name="_Toc44598513"/>
            <w:bookmarkStart w:id="3372" w:name="_Toc45654144"/>
            <w:r w:rsidR="00272AF3">
              <w:rPr>
                <w:noProof/>
              </w:rPr>
              <w:t>2</w:t>
            </w:r>
            <w:r w:rsidR="00272AF3" w:rsidRPr="00E05C8C">
              <w:rPr>
                <w:noProof/>
              </w:rPr>
              <w:t>.</w:t>
            </w:r>
            <w:r w:rsidR="00272AF3">
              <w:rPr>
                <w:noProof/>
              </w:rPr>
              <w:t>29</w:t>
            </w:r>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r w:rsidRPr="00E05C8C">
              <w:fldChar w:fldCharType="end"/>
            </w:r>
            <w:r w:rsidRPr="00E05C8C">
              <w:tab/>
            </w:r>
            <w:r>
              <w:t>Questions for stakeholders</w:t>
            </w:r>
            <w:bookmarkEnd w:id="3371"/>
            <w:bookmarkEnd w:id="3372"/>
          </w:p>
        </w:tc>
      </w:tr>
      <w:tr w:rsidR="007C6A5F" w:rsidTr="005A05FE">
        <w:tc>
          <w:tcPr>
            <w:tcW w:w="7938" w:type="dxa"/>
            <w:shd w:val="clear" w:color="auto" w:fill="E9E8E5" w:themeFill="background2"/>
          </w:tcPr>
          <w:p w:rsidR="00BF1A13" w:rsidRPr="00076DAA" w:rsidRDefault="00BF1A13" w:rsidP="00BF1A13">
            <w:pPr>
              <w:pStyle w:val="ListBullet"/>
            </w:pPr>
            <w:r w:rsidRPr="00076DAA">
              <w:t xml:space="preserve">In your opinion, what </w:t>
            </w:r>
            <w:r w:rsidRPr="00C05F93">
              <w:t xml:space="preserve">is the main contributor to </w:t>
            </w:r>
            <w:r w:rsidRPr="00076DAA">
              <w:t>a lack of uptake of universal des</w:t>
            </w:r>
            <w:r>
              <w:t>ign principles in new dwellings</w:t>
            </w:r>
            <w:r w:rsidRPr="00076DAA">
              <w:t>:</w:t>
            </w:r>
          </w:p>
          <w:p w:rsidR="00BF1A13" w:rsidRPr="00076DAA" w:rsidRDefault="00BF1A13" w:rsidP="00BF1A13">
            <w:pPr>
              <w:pStyle w:val="ListBullet2"/>
            </w:pPr>
            <w:r>
              <w:t>B</w:t>
            </w:r>
            <w:r w:rsidRPr="00076DAA">
              <w:t xml:space="preserve">uyers failing to think about their future accessibility needs? </w:t>
            </w:r>
          </w:p>
          <w:p w:rsidR="00BF1A13" w:rsidRDefault="00BF1A13" w:rsidP="00BF1A13">
            <w:pPr>
              <w:pStyle w:val="ListBullet2"/>
            </w:pPr>
            <w:r w:rsidRPr="00076DAA">
              <w:t xml:space="preserve">Volume builders are reluctant to deviate from standard plans? </w:t>
            </w:r>
          </w:p>
          <w:p w:rsidR="007C6A5F" w:rsidRPr="00BF2F67" w:rsidRDefault="00BF1A13" w:rsidP="005A05FE">
            <w:pPr>
              <w:pStyle w:val="ListBullet2"/>
              <w:spacing w:after="120"/>
            </w:pPr>
            <w:r w:rsidRPr="00C05F93">
              <w:t>Other barriers</w:t>
            </w:r>
            <w:r>
              <w:t>?</w:t>
            </w:r>
          </w:p>
        </w:tc>
      </w:tr>
    </w:tbl>
    <w:p w:rsidR="007C6A5F" w:rsidRDefault="007C6A5F" w:rsidP="007C6A5F">
      <w:pPr>
        <w:pStyle w:val="Heading3"/>
        <w:numPr>
          <w:ilvl w:val="2"/>
          <w:numId w:val="5"/>
        </w:numPr>
        <w:rPr>
          <w:lang w:bidi="fa-IR"/>
        </w:rPr>
      </w:pPr>
      <w:r>
        <w:rPr>
          <w:lang w:bidi="fa-IR"/>
        </w:rPr>
        <w:t>Market imperfections</w:t>
      </w:r>
    </w:p>
    <w:p w:rsidR="007C6A5F" w:rsidRDefault="007C6A5F" w:rsidP="007C6A5F">
      <w:pPr>
        <w:pStyle w:val="BodyText"/>
        <w:rPr>
          <w:lang w:bidi="fa-IR"/>
        </w:rPr>
      </w:pPr>
      <w:r>
        <w:rPr>
          <w:lang w:bidi="fa-IR"/>
        </w:rPr>
        <w:t>Some factors that potentially contribute to a shortage of accessible housing include the following.</w:t>
      </w:r>
    </w:p>
    <w:p w:rsidR="007C6A5F" w:rsidRDefault="007C6A5F" w:rsidP="007C6A5F">
      <w:pPr>
        <w:pStyle w:val="Heading4"/>
        <w:numPr>
          <w:ilvl w:val="3"/>
          <w:numId w:val="5"/>
        </w:numPr>
        <w:rPr>
          <w:lang w:bidi="fa-IR"/>
        </w:rPr>
      </w:pPr>
      <w:r>
        <w:rPr>
          <w:lang w:bidi="fa-IR"/>
        </w:rPr>
        <w:t>Separate houses</w:t>
      </w:r>
    </w:p>
    <w:p w:rsidR="007C6A5F" w:rsidRDefault="007C6A5F" w:rsidP="007C6A5F">
      <w:pPr>
        <w:pStyle w:val="BodyText"/>
        <w:rPr>
          <w:lang w:bidi="fa-IR"/>
        </w:rPr>
      </w:pPr>
      <w:r>
        <w:rPr>
          <w:lang w:bidi="fa-IR"/>
        </w:rPr>
        <w:t>In principle, the design of new separate houses should reflect the owner’s choice given their current needs/preferences, budget and the associated costs. However, various barriers to universal design have been identified in the literature, which potentially lead to an under</w:t>
      </w:r>
      <w:r>
        <w:rPr>
          <w:lang w:bidi="fa-IR"/>
        </w:rPr>
        <w:noBreakHyphen/>
        <w:t>supply of accessible housing.</w:t>
      </w:r>
    </w:p>
    <w:p w:rsidR="007C6A5F" w:rsidRDefault="007C6A5F" w:rsidP="005A6F87">
      <w:pPr>
        <w:pStyle w:val="ListBullet"/>
        <w:numPr>
          <w:ilvl w:val="0"/>
          <w:numId w:val="17"/>
        </w:numPr>
        <w:rPr>
          <w:lang w:bidi="fa-IR"/>
        </w:rPr>
      </w:pPr>
      <w:r>
        <w:rPr>
          <w:lang w:bidi="fa-IR"/>
        </w:rPr>
        <w:t>The market could potentially under</w:t>
      </w:r>
      <w:r>
        <w:rPr>
          <w:lang w:bidi="fa-IR"/>
        </w:rPr>
        <w:noBreakHyphen/>
        <w:t>supply accessible housing where owners/buyers are not able to foresee (or do not give sufficient thought to) their future accessibility needs, or possibly the accessibility needs of future residents if accessibility features are not reflected in market prices (this is referred to as a ‘bounded rationality’ problem). Some stakeholders suggested that buying a home can be an ‘aspirational’ decision and nobody aspires to acquiring a disability. This is consistent with the ‘lack of education’ on universal design identified by Bringolf (2011).</w:t>
      </w:r>
    </w:p>
    <w:p w:rsidR="007C6A5F" w:rsidRDefault="007C6A5F" w:rsidP="005A6F87">
      <w:pPr>
        <w:pStyle w:val="ListBullet"/>
        <w:numPr>
          <w:ilvl w:val="0"/>
          <w:numId w:val="17"/>
        </w:numPr>
        <w:rPr>
          <w:lang w:bidi="fa-IR"/>
        </w:rPr>
      </w:pPr>
      <w:r>
        <w:rPr>
          <w:lang w:bidi="fa-IR"/>
        </w:rPr>
        <w:t>Bringolf (2011) also identified the housing delivery chain as a barrier to universal design. Many houses (particularly in greenfield areas) are built by ‘volume builders’. Under this business model consumers choose from a set of standard designs. Incorporating additional accessibility features into a dwelling would involve deviating from the standard design. Bringolf (2011) provides evidence that it can be difficult to get volume builders to deviate from a standard design. That said, some industry stakeholders noted that some volume builders have included some accessible designs in the standard offerings, although uptake had been limited.</w:t>
      </w:r>
    </w:p>
    <w:p w:rsidR="007C6A5F" w:rsidRDefault="007C6A5F" w:rsidP="005A6F87">
      <w:pPr>
        <w:pStyle w:val="ListBullet"/>
        <w:numPr>
          <w:ilvl w:val="0"/>
          <w:numId w:val="17"/>
        </w:numPr>
        <w:rPr>
          <w:lang w:bidi="fa-IR"/>
        </w:rPr>
      </w:pPr>
      <w:r>
        <w:rPr>
          <w:lang w:bidi="fa-IR"/>
        </w:rPr>
        <w:lastRenderedPageBreak/>
        <w:t>Bringolf (2011) also identifies the rigid application of planning regulations by local government as a barrier to the uptake of universal design.</w:t>
      </w:r>
      <w:r>
        <w:rPr>
          <w:rStyle w:val="FootnoteReference"/>
          <w:lang w:bidi="fa-IR"/>
        </w:rPr>
        <w:footnoteReference w:id="45"/>
      </w:r>
      <w:r>
        <w:rPr>
          <w:lang w:bidi="fa-IR"/>
        </w:rPr>
        <w:t xml:space="preserve"> This can create an environment where builders are reluctant to deviate from designs that have received approval in the past. In noting this general point, we also note that SGS 2019 provide some specific examples of individual local councils trying to promote accessible housing via planning regulation.</w:t>
      </w:r>
      <w:r>
        <w:rPr>
          <w:rStyle w:val="FootnoteReference"/>
          <w:lang w:bidi="fa-IR"/>
        </w:rPr>
        <w:footnoteReference w:id="46"/>
      </w:r>
    </w:p>
    <w:p w:rsidR="007C6A5F" w:rsidRDefault="007C6A5F" w:rsidP="007C6A5F">
      <w:pPr>
        <w:pStyle w:val="BodyText"/>
        <w:rPr>
          <w:lang w:bidi="fa-IR"/>
        </w:rPr>
      </w:pPr>
      <w:r>
        <w:rPr>
          <w:lang w:bidi="fa-IR"/>
        </w:rPr>
        <w:t xml:space="preserve">Some industry stakeholders noted a growing awareness of accessibility issues from some consumers, particularly from the age of around 50 onwards. Unpublished analysis of a COTA NSW survey for the </w:t>
      </w:r>
      <w:r w:rsidRPr="00CB42FB">
        <w:rPr>
          <w:i/>
          <w:iCs/>
          <w:lang w:bidi="fa-IR"/>
        </w:rPr>
        <w:t>50+ Report</w:t>
      </w:r>
      <w:r>
        <w:rPr>
          <w:lang w:bidi="fa-IR"/>
        </w:rPr>
        <w:t xml:space="preserve"> found that the extent to which accessibility features were an important factor that influenced the choice of current home varied.</w:t>
      </w:r>
    </w:p>
    <w:p w:rsidR="007C6A5F" w:rsidRDefault="007C6A5F" w:rsidP="005A6F87">
      <w:pPr>
        <w:pStyle w:val="ListBullet"/>
        <w:numPr>
          <w:ilvl w:val="0"/>
          <w:numId w:val="17"/>
        </w:numPr>
        <w:rPr>
          <w:lang w:bidi="fa-IR"/>
        </w:rPr>
      </w:pPr>
      <w:r>
        <w:rPr>
          <w:lang w:bidi="fa-IR"/>
        </w:rPr>
        <w:t>More than 80 per cent of respondents indicated that easy access kitchen and storage and easy access bathroom and shower was either important or very important.</w:t>
      </w:r>
    </w:p>
    <w:p w:rsidR="007C6A5F" w:rsidRDefault="007C6A5F" w:rsidP="005A6F87">
      <w:pPr>
        <w:pStyle w:val="ListBullet"/>
        <w:numPr>
          <w:ilvl w:val="0"/>
          <w:numId w:val="17"/>
        </w:numPr>
        <w:rPr>
          <w:lang w:bidi="fa-IR"/>
        </w:rPr>
      </w:pPr>
      <w:r>
        <w:rPr>
          <w:lang w:bidi="fa-IR"/>
        </w:rPr>
        <w:t>Around 60</w:t>
      </w:r>
      <w:r>
        <w:rPr>
          <w:lang w:bidi="fa-IR"/>
        </w:rPr>
        <w:noBreakHyphen/>
        <w:t>70 per cent of respondents indicated that the following features were either important or very important:</w:t>
      </w:r>
    </w:p>
    <w:p w:rsidR="007C6A5F" w:rsidRDefault="007C6A5F" w:rsidP="005A6F87">
      <w:pPr>
        <w:pStyle w:val="ListBullet2"/>
        <w:numPr>
          <w:ilvl w:val="1"/>
          <w:numId w:val="17"/>
        </w:numPr>
        <w:ind w:left="568" w:hanging="284"/>
        <w:rPr>
          <w:lang w:bidi="fa-IR"/>
        </w:rPr>
      </w:pPr>
      <w:r>
        <w:rPr>
          <w:lang w:bidi="fa-IR"/>
        </w:rPr>
        <w:t>Minimal steps into home</w:t>
      </w:r>
    </w:p>
    <w:p w:rsidR="007C6A5F" w:rsidRDefault="007C6A5F" w:rsidP="005A6F87">
      <w:pPr>
        <w:pStyle w:val="ListBullet2"/>
        <w:numPr>
          <w:ilvl w:val="1"/>
          <w:numId w:val="17"/>
        </w:numPr>
        <w:ind w:left="568" w:hanging="284"/>
        <w:rPr>
          <w:lang w:bidi="fa-IR"/>
        </w:rPr>
      </w:pPr>
      <w:r>
        <w:rPr>
          <w:lang w:bidi="fa-IR"/>
        </w:rPr>
        <w:t>Easy access from garage</w:t>
      </w:r>
    </w:p>
    <w:p w:rsidR="007C6A5F" w:rsidRDefault="007C6A5F" w:rsidP="005A6F87">
      <w:pPr>
        <w:pStyle w:val="ListBullet2"/>
        <w:numPr>
          <w:ilvl w:val="1"/>
          <w:numId w:val="17"/>
        </w:numPr>
        <w:ind w:left="568" w:hanging="284"/>
        <w:rPr>
          <w:lang w:bidi="fa-IR"/>
        </w:rPr>
      </w:pPr>
      <w:r>
        <w:rPr>
          <w:lang w:bidi="fa-IR"/>
        </w:rPr>
        <w:t>Single storey.</w:t>
      </w:r>
    </w:p>
    <w:p w:rsidR="007C6A5F" w:rsidRDefault="007C6A5F" w:rsidP="005A6F87">
      <w:pPr>
        <w:pStyle w:val="ListBullet"/>
        <w:numPr>
          <w:ilvl w:val="0"/>
          <w:numId w:val="17"/>
        </w:numPr>
        <w:rPr>
          <w:lang w:bidi="fa-IR"/>
        </w:rPr>
      </w:pPr>
      <w:r>
        <w:rPr>
          <w:lang w:bidi="fa-IR"/>
        </w:rPr>
        <w:t>Only around 50 per cent of respondents indicated that wide hallways and doorways was either important or very important feature.</w:t>
      </w:r>
      <w:r>
        <w:rPr>
          <w:rStyle w:val="FootnoteReference"/>
          <w:lang w:bidi="fa-IR"/>
        </w:rPr>
        <w:footnoteReference w:id="47"/>
      </w:r>
    </w:p>
    <w:p w:rsidR="007C6A5F" w:rsidRDefault="007C6A5F" w:rsidP="007C6A5F">
      <w:pPr>
        <w:pStyle w:val="Heading4"/>
        <w:numPr>
          <w:ilvl w:val="3"/>
          <w:numId w:val="5"/>
        </w:numPr>
        <w:rPr>
          <w:lang w:bidi="fa-IR"/>
        </w:rPr>
      </w:pPr>
      <w:r>
        <w:rPr>
          <w:lang w:bidi="fa-IR"/>
        </w:rPr>
        <w:t>Apartments</w:t>
      </w:r>
    </w:p>
    <w:p w:rsidR="007C6A5F" w:rsidRDefault="007C6A5F" w:rsidP="007C6A5F">
      <w:pPr>
        <w:pStyle w:val="BodyText"/>
        <w:rPr>
          <w:lang w:bidi="fa-IR"/>
        </w:rPr>
      </w:pPr>
      <w:r>
        <w:rPr>
          <w:lang w:bidi="fa-IR"/>
        </w:rPr>
        <w:t xml:space="preserve">Many apartments are sold ‘off the plan’ and therefore developers aim to appeal to the market’s </w:t>
      </w:r>
      <w:r>
        <w:rPr>
          <w:lang w:eastAsia="en-US"/>
        </w:rPr>
        <w:t xml:space="preserve">average </w:t>
      </w:r>
      <w:r>
        <w:rPr>
          <w:lang w:bidi="fa-IR"/>
        </w:rPr>
        <w:t>demand, rather than the specific needs of an individual buyer. Several stakeholders agreed with the proposition that this common business model was a barrier to the apartment market being more responsive to the growing demand for accessible housing.</w:t>
      </w:r>
    </w:p>
    <w:p w:rsidR="007C6A5F" w:rsidRDefault="007C6A5F" w:rsidP="007C6A5F">
      <w:pPr>
        <w:pStyle w:val="Heading4"/>
        <w:numPr>
          <w:ilvl w:val="3"/>
          <w:numId w:val="5"/>
        </w:numPr>
        <w:rPr>
          <w:lang w:bidi="fa-IR"/>
        </w:rPr>
      </w:pPr>
      <w:r>
        <w:rPr>
          <w:lang w:bidi="fa-IR"/>
        </w:rPr>
        <w:t>Renters</w:t>
      </w:r>
    </w:p>
    <w:p w:rsidR="007C6A5F" w:rsidRDefault="007C6A5F" w:rsidP="007C6A5F">
      <w:pPr>
        <w:pStyle w:val="BodyText"/>
      </w:pPr>
      <w:r>
        <w:t>Although meeting accessibility needs through home modifications is often a reasonable option for owner</w:t>
      </w:r>
      <w:r>
        <w:noBreakHyphen/>
        <w:t>occupiers, it is not always an achievable option for renters. Owner</w:t>
      </w:r>
      <w:r>
        <w:noBreakHyphen/>
        <w:t>occupiers have full control over the decision to make necessary home modifications (subject to funding), while renters must obtain agreement from the landlord.</w:t>
      </w:r>
      <w:r w:rsidRPr="00503830">
        <w:rPr>
          <w:rStyle w:val="FootnoteReference"/>
        </w:rPr>
        <w:footnoteReference w:id="48"/>
      </w:r>
    </w:p>
    <w:p w:rsidR="007C6A5F" w:rsidRPr="00812D2A" w:rsidRDefault="007C6A5F" w:rsidP="007C6A5F">
      <w:pPr>
        <w:pStyle w:val="BodyText"/>
        <w:rPr>
          <w:lang w:bidi="fa-IR"/>
        </w:rPr>
      </w:pPr>
      <w:r w:rsidRPr="00812D2A">
        <w:rPr>
          <w:lang w:bidi="fa-IR"/>
        </w:rPr>
        <w:lastRenderedPageBreak/>
        <w:t>The ABCB Consultation Report notes the following issues in relation to private renters.</w:t>
      </w:r>
      <w:r w:rsidRPr="00812D2A">
        <w:rPr>
          <w:rStyle w:val="FootnoteReference"/>
          <w:lang w:bidi="fa-IR"/>
        </w:rPr>
        <w:footnoteReference w:id="49"/>
      </w:r>
    </w:p>
    <w:p w:rsidR="007C6A5F" w:rsidRPr="00812D2A" w:rsidRDefault="007C6A5F" w:rsidP="005A6F87">
      <w:pPr>
        <w:pStyle w:val="ListBullet"/>
        <w:numPr>
          <w:ilvl w:val="0"/>
          <w:numId w:val="17"/>
        </w:numPr>
        <w:rPr>
          <w:lang w:bidi="fa-IR"/>
        </w:rPr>
      </w:pPr>
      <w:r w:rsidRPr="00812D2A">
        <w:rPr>
          <w:lang w:bidi="fa-IR"/>
        </w:rPr>
        <w:t>Landlords are reluctant to have their properties modified even though by law they are required to allow for reasonable modifications. This is reflected in the SDAC data showing that a very small proportion of private rentals are modified to meet the needs of tenants with mobility</w:t>
      </w:r>
      <w:r w:rsidR="00A45326">
        <w:rPr>
          <w:lang w:bidi="fa-IR"/>
        </w:rPr>
        <w:noBreakHyphen/>
        <w:t>related disabilities</w:t>
      </w:r>
      <w:r w:rsidRPr="00812D2A">
        <w:rPr>
          <w:lang w:bidi="fa-IR"/>
        </w:rPr>
        <w:t>.</w:t>
      </w:r>
    </w:p>
    <w:p w:rsidR="007C6A5F" w:rsidRDefault="007C6A5F" w:rsidP="005A6F87">
      <w:pPr>
        <w:pStyle w:val="ListBullet"/>
        <w:numPr>
          <w:ilvl w:val="0"/>
          <w:numId w:val="17"/>
        </w:numPr>
        <w:rPr>
          <w:lang w:bidi="fa-IR"/>
        </w:rPr>
      </w:pPr>
      <w:r w:rsidRPr="00812D2A">
        <w:rPr>
          <w:lang w:bidi="fa-IR"/>
        </w:rPr>
        <w:t>Tenants are therefore often required to pay for the relevant modifications and then pay again to have them removed when vacating the property. As rental tenancies are often relatively short, the future benefits associated these modifications (that may be specific to a particular tenant) may also be short (and uncertain), which acts as a significant disincentive</w:t>
      </w:r>
      <w:r>
        <w:rPr>
          <w:lang w:bidi="fa-IR"/>
        </w:rPr>
        <w:t xml:space="preserve"> for both landlords and tenants</w:t>
      </w:r>
      <w:r w:rsidRPr="00812D2A">
        <w:rPr>
          <w:lang w:bidi="fa-IR"/>
        </w:rPr>
        <w:t>.</w:t>
      </w:r>
    </w:p>
    <w:p w:rsidR="007C6A5F" w:rsidRDefault="007C6A5F" w:rsidP="007C6A5F">
      <w:pPr>
        <w:pStyle w:val="BodyText"/>
        <w:rPr>
          <w:lang w:eastAsia="en-US" w:bidi="fa-IR"/>
        </w:rPr>
      </w:pPr>
      <w:r>
        <w:rPr>
          <w:lang w:bidi="fa-IR"/>
        </w:rPr>
        <w:t>This is reflected in the proportion of people with a mobility</w:t>
      </w:r>
      <w:r w:rsidR="00A45326">
        <w:rPr>
          <w:lang w:bidi="fa-IR"/>
        </w:rPr>
        <w:noBreakHyphen/>
        <w:t xml:space="preserve">related disability </w:t>
      </w:r>
      <w:r>
        <w:rPr>
          <w:lang w:bidi="fa-IR"/>
        </w:rPr>
        <w:t xml:space="preserve">living in modified dwellings. </w:t>
      </w:r>
      <w:r>
        <w:rPr>
          <w:lang w:eastAsia="en-US" w:bidi="fa-IR"/>
        </w:rPr>
        <w:t>SDAC data shows that the proportion of owners with home modifications is around double the proportion for all renters (chart </w:t>
      </w:r>
      <w:r>
        <w:rPr>
          <w:lang w:eastAsia="en-US" w:bidi="fa-IR"/>
        </w:rPr>
        <w:fldChar w:fldCharType="begin"/>
      </w:r>
      <w:r>
        <w:rPr>
          <w:lang w:eastAsia="en-US" w:bidi="fa-IR"/>
        </w:rPr>
        <w:instrText xml:space="preserve"> REF _Caption8958 </w:instrText>
      </w:r>
      <w:r>
        <w:rPr>
          <w:lang w:eastAsia="en-US" w:bidi="fa-IR"/>
        </w:rPr>
        <w:fldChar w:fldCharType="separate"/>
      </w:r>
      <w:r>
        <w:rPr>
          <w:noProof/>
        </w:rPr>
        <w:t>2</w:t>
      </w:r>
      <w:r w:rsidRPr="00695C93">
        <w:rPr>
          <w:noProof/>
        </w:rPr>
        <w:t>.</w:t>
      </w:r>
      <w:r>
        <w:rPr>
          <w:noProof/>
        </w:rPr>
        <w:t>30</w:t>
      </w:r>
      <w:r>
        <w:rPr>
          <w:lang w:eastAsia="en-US" w:bidi="fa-IR"/>
        </w:rPr>
        <w:fldChar w:fldCharType="end"/>
      </w:r>
      <w:r>
        <w:rPr>
          <w:lang w:eastAsia="en-US" w:bidi="fa-IR"/>
        </w:rPr>
        <w:t>). The type of landlord also matters.</w:t>
      </w:r>
    </w:p>
    <w:p w:rsidR="007C6A5F" w:rsidRDefault="007C6A5F" w:rsidP="005A6F87">
      <w:pPr>
        <w:pStyle w:val="ListBullet"/>
        <w:numPr>
          <w:ilvl w:val="0"/>
          <w:numId w:val="17"/>
        </w:numPr>
        <w:rPr>
          <w:lang w:eastAsia="en-US" w:bidi="fa-IR"/>
        </w:rPr>
      </w:pPr>
      <w:r>
        <w:rPr>
          <w:lang w:eastAsia="en-US" w:bidi="fa-IR"/>
        </w:rPr>
        <w:t xml:space="preserve">The proportion of tenants of state and territory housing authorities with </w:t>
      </w:r>
      <w:r w:rsidR="00773AA7">
        <w:rPr>
          <w:lang w:eastAsia="en-US" w:bidi="fa-IR"/>
        </w:rPr>
        <w:t xml:space="preserve">a </w:t>
      </w:r>
      <w:r>
        <w:rPr>
          <w:lang w:eastAsia="en-US" w:bidi="fa-IR"/>
        </w:rPr>
        <w:t>mobility</w:t>
      </w:r>
      <w:r w:rsidR="00773AA7">
        <w:rPr>
          <w:lang w:eastAsia="en-US" w:bidi="fa-IR"/>
        </w:rPr>
        <w:noBreakHyphen/>
        <w:t>related disability</w:t>
      </w:r>
      <w:r>
        <w:rPr>
          <w:lang w:eastAsia="en-US" w:bidi="fa-IR"/>
        </w:rPr>
        <w:t xml:space="preserve"> in modified dwellings broadly aligns with owner</w:t>
      </w:r>
      <w:r>
        <w:rPr>
          <w:lang w:eastAsia="en-US" w:bidi="fa-IR"/>
        </w:rPr>
        <w:noBreakHyphen/>
        <w:t>occupiers.</w:t>
      </w:r>
    </w:p>
    <w:p w:rsidR="007C6A5F" w:rsidRDefault="007C6A5F" w:rsidP="005A6F87">
      <w:pPr>
        <w:pStyle w:val="ListBullet"/>
        <w:numPr>
          <w:ilvl w:val="0"/>
          <w:numId w:val="17"/>
        </w:numPr>
        <w:rPr>
          <w:lang w:eastAsia="en-US" w:bidi="fa-IR"/>
        </w:rPr>
      </w:pPr>
      <w:r>
        <w:rPr>
          <w:lang w:eastAsia="en-US" w:bidi="fa-IR"/>
        </w:rPr>
        <w:t>The proportion people with a mobility</w:t>
      </w:r>
      <w:r w:rsidR="00773AA7">
        <w:rPr>
          <w:lang w:eastAsia="en-US" w:bidi="fa-IR"/>
        </w:rPr>
        <w:noBreakHyphen/>
        <w:t xml:space="preserve">related disability </w:t>
      </w:r>
      <w:r>
        <w:rPr>
          <w:lang w:eastAsia="en-US" w:bidi="fa-IR"/>
        </w:rPr>
        <w:t>that rent from a real estate agent is around 5 per cent, even for people with a profound mobility</w:t>
      </w:r>
      <w:r w:rsidR="00773AA7">
        <w:rPr>
          <w:lang w:eastAsia="en-US" w:bidi="fa-IR"/>
        </w:rPr>
        <w:noBreakHyphen/>
        <w:t>related disability</w:t>
      </w:r>
      <w:r>
        <w:rPr>
          <w:lang w:eastAsia="en-US" w:bidi="fa-IR"/>
        </w:rPr>
        <w:t>.</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sidR="00272AF3">
        <w:rPr>
          <w:noProof/>
        </w:rPr>
        <w:instrText>2</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30</w:instrText>
      </w:r>
      <w:r w:rsidRPr="00695C93">
        <w:fldChar w:fldCharType="end"/>
      </w:r>
      <w:r w:rsidRPr="00695C93">
        <w:instrText xml:space="preserve">" "" </w:instrText>
      </w:r>
      <w:r w:rsidRPr="00695C93">
        <w:fldChar w:fldCharType="separate"/>
      </w:r>
      <w:bookmarkStart w:id="3373" w:name="_Caption5349"/>
      <w:bookmarkStart w:id="3374" w:name="_Caption6680"/>
      <w:bookmarkStart w:id="3375" w:name="_Caption9431"/>
      <w:bookmarkStart w:id="3376" w:name="_Caption5590"/>
      <w:bookmarkStart w:id="3377" w:name="_Caption5393"/>
      <w:bookmarkStart w:id="3378" w:name="_Caption1727"/>
      <w:bookmarkStart w:id="3379" w:name="_Caption8103"/>
      <w:bookmarkStart w:id="3380" w:name="_Caption7803"/>
      <w:bookmarkStart w:id="3381" w:name="_Caption0004"/>
      <w:bookmarkStart w:id="3382" w:name="_Caption6307"/>
      <w:bookmarkStart w:id="3383" w:name="_Caption5977"/>
      <w:bookmarkStart w:id="3384" w:name="_Caption2945"/>
      <w:bookmarkStart w:id="3385" w:name="_Caption6531"/>
      <w:bookmarkStart w:id="3386" w:name="_Caption1870"/>
      <w:bookmarkStart w:id="3387" w:name="_Caption7532"/>
      <w:bookmarkStart w:id="3388" w:name="_Caption9310"/>
      <w:bookmarkStart w:id="3389" w:name="_Caption2211"/>
      <w:bookmarkStart w:id="3390" w:name="_Caption3667"/>
      <w:bookmarkStart w:id="3391" w:name="_Caption4317"/>
      <w:bookmarkStart w:id="3392" w:name="_Caption2075"/>
      <w:bookmarkStart w:id="3393" w:name="_Caption7554"/>
      <w:bookmarkStart w:id="3394" w:name="_Caption2465"/>
      <w:bookmarkStart w:id="3395" w:name="_Caption2479"/>
      <w:bookmarkStart w:id="3396" w:name="_Caption8473"/>
      <w:bookmarkStart w:id="3397" w:name="_Caption0263"/>
      <w:bookmarkStart w:id="3398" w:name="_Caption9576"/>
      <w:bookmarkStart w:id="3399" w:name="_Caption8203"/>
      <w:bookmarkStart w:id="3400" w:name="_Caption3804"/>
      <w:bookmarkStart w:id="3401" w:name="_Caption1955"/>
      <w:bookmarkStart w:id="3402" w:name="_Caption1783"/>
      <w:bookmarkStart w:id="3403" w:name="_Caption8484"/>
      <w:bookmarkStart w:id="3404" w:name="_Caption5810"/>
      <w:bookmarkStart w:id="3405" w:name="_Caption8114"/>
      <w:bookmarkStart w:id="3406" w:name="_Caption6372"/>
      <w:bookmarkStart w:id="3407" w:name="_Caption8455"/>
      <w:bookmarkStart w:id="3408" w:name="_Caption9263"/>
      <w:bookmarkStart w:id="3409" w:name="_Caption6916"/>
      <w:bookmarkStart w:id="3410" w:name="_Caption0686"/>
      <w:bookmarkStart w:id="3411" w:name="_Caption6276"/>
      <w:bookmarkStart w:id="3412" w:name="_Caption8013"/>
      <w:bookmarkStart w:id="3413" w:name="_Caption3692"/>
      <w:bookmarkStart w:id="3414" w:name="_Caption6678"/>
      <w:bookmarkStart w:id="3415" w:name="_Caption3241"/>
      <w:bookmarkStart w:id="3416" w:name="_Caption2938"/>
      <w:bookmarkStart w:id="3417" w:name="_Caption6227"/>
      <w:bookmarkStart w:id="3418" w:name="_Caption1244"/>
      <w:bookmarkStart w:id="3419" w:name="_Caption7054"/>
      <w:bookmarkStart w:id="3420" w:name="_Caption9430"/>
      <w:bookmarkStart w:id="3421" w:name="_Caption1712"/>
      <w:bookmarkStart w:id="3422" w:name="_Caption8419"/>
      <w:bookmarkStart w:id="3423" w:name="_Caption3643"/>
      <w:bookmarkStart w:id="3424" w:name="_Caption7685"/>
      <w:bookmarkStart w:id="3425" w:name="_Caption8958"/>
      <w:bookmarkStart w:id="3426" w:name="_Caption1205"/>
      <w:bookmarkStart w:id="3427" w:name="_Caption2609"/>
      <w:bookmarkStart w:id="3428" w:name="_Caption4178"/>
      <w:bookmarkStart w:id="3429" w:name="_Caption5438"/>
      <w:bookmarkStart w:id="3430" w:name="_Caption5594"/>
      <w:bookmarkStart w:id="3431" w:name="_Caption0722"/>
      <w:bookmarkStart w:id="3432" w:name="_Caption1333"/>
      <w:bookmarkStart w:id="3433" w:name="_Caption9070"/>
      <w:bookmarkStart w:id="3434" w:name="_Caption2655"/>
      <w:bookmarkStart w:id="3435" w:name="_Caption4793"/>
      <w:bookmarkStart w:id="3436" w:name="_Caption6156"/>
      <w:bookmarkStart w:id="3437" w:name="_Caption6194"/>
      <w:bookmarkStart w:id="3438" w:name="_Caption1090"/>
      <w:bookmarkStart w:id="3439" w:name="_Caption4991"/>
      <w:bookmarkStart w:id="3440" w:name="_Caption5787"/>
      <w:bookmarkStart w:id="3441" w:name="_Caption0186"/>
      <w:bookmarkStart w:id="3442" w:name="_Caption9267"/>
      <w:bookmarkStart w:id="3443" w:name="_Caption1014"/>
      <w:bookmarkStart w:id="3444" w:name="_Caption8245"/>
      <w:bookmarkStart w:id="3445" w:name="_Caption8975"/>
      <w:bookmarkStart w:id="3446" w:name="_Caption9476"/>
      <w:bookmarkStart w:id="3447" w:name="_Caption5546"/>
      <w:bookmarkStart w:id="3448" w:name="_Caption3595"/>
      <w:bookmarkStart w:id="3449" w:name="_Caption0687"/>
      <w:bookmarkStart w:id="3450" w:name="_Caption6974"/>
      <w:bookmarkStart w:id="3451" w:name="_Caption5617"/>
      <w:bookmarkStart w:id="3452" w:name="_Caption4861"/>
      <w:bookmarkStart w:id="3453" w:name="_Caption5688"/>
      <w:bookmarkStart w:id="3454" w:name="_Caption2597"/>
      <w:bookmarkStart w:id="3455" w:name="_Caption8733"/>
      <w:bookmarkStart w:id="3456" w:name="_Caption0365"/>
      <w:bookmarkStart w:id="3457" w:name="_Caption4952"/>
      <w:bookmarkStart w:id="3458" w:name="_Caption2741"/>
      <w:bookmarkStart w:id="3459" w:name="_Caption1816"/>
      <w:bookmarkStart w:id="3460" w:name="_Caption7570"/>
      <w:bookmarkStart w:id="3461" w:name="_Caption2617"/>
      <w:bookmarkStart w:id="3462" w:name="_Caption1823"/>
      <w:bookmarkStart w:id="3463" w:name="_Caption5091"/>
      <w:bookmarkStart w:id="3464" w:name="_Caption3161"/>
      <w:bookmarkStart w:id="3465" w:name="_Caption4519"/>
      <w:bookmarkStart w:id="3466" w:name="_Caption0422"/>
      <w:bookmarkStart w:id="3467" w:name="_Caption7791"/>
      <w:bookmarkStart w:id="3468" w:name="_Caption0143"/>
      <w:bookmarkStart w:id="3469" w:name="_Caption7386"/>
      <w:bookmarkStart w:id="3470" w:name="_Caption8341"/>
      <w:bookmarkStart w:id="3471" w:name="_Caption7319"/>
      <w:bookmarkStart w:id="3472" w:name="_Caption1235"/>
      <w:bookmarkStart w:id="3473" w:name="_Caption4415"/>
      <w:bookmarkStart w:id="3474" w:name="_Caption6146"/>
      <w:bookmarkStart w:id="3475" w:name="_Caption7213"/>
      <w:bookmarkStart w:id="3476" w:name="_Caption8415"/>
      <w:bookmarkStart w:id="3477" w:name="_Caption4889"/>
      <w:bookmarkStart w:id="3478" w:name="_Caption7993"/>
      <w:bookmarkStart w:id="3479" w:name="_Caption3062"/>
      <w:bookmarkStart w:id="3480" w:name="_Caption3717"/>
      <w:bookmarkStart w:id="3481" w:name="_Caption9950"/>
      <w:bookmarkStart w:id="3482" w:name="_Caption2514"/>
      <w:bookmarkStart w:id="3483" w:name="_Caption1868"/>
      <w:bookmarkStart w:id="3484" w:name="_Caption3474"/>
      <w:bookmarkStart w:id="3485" w:name="_Caption4070"/>
      <w:bookmarkStart w:id="3486" w:name="_Caption2247"/>
      <w:bookmarkStart w:id="3487" w:name="_Caption9641"/>
      <w:bookmarkStart w:id="3488" w:name="_Caption3684"/>
      <w:bookmarkStart w:id="3489" w:name="_Caption2729"/>
      <w:bookmarkStart w:id="3490" w:name="_Caption5451"/>
      <w:bookmarkStart w:id="3491" w:name="_Caption2745"/>
      <w:bookmarkStart w:id="3492" w:name="_Caption4790"/>
      <w:bookmarkStart w:id="3493" w:name="_Caption7317"/>
      <w:bookmarkStart w:id="3494" w:name="_Caption9399"/>
      <w:bookmarkStart w:id="3495" w:name="_Caption7300"/>
      <w:bookmarkStart w:id="3496" w:name="_Caption0292"/>
      <w:bookmarkStart w:id="3497" w:name="_Caption1458"/>
      <w:bookmarkStart w:id="3498" w:name="_Caption6873"/>
      <w:bookmarkStart w:id="3499" w:name="_Caption5971"/>
      <w:bookmarkStart w:id="3500" w:name="_Caption4058"/>
      <w:bookmarkStart w:id="3501" w:name="_Caption6677"/>
      <w:bookmarkStart w:id="3502" w:name="_Toc32321817"/>
      <w:bookmarkStart w:id="3503" w:name="_Toc44598514"/>
      <w:bookmarkStart w:id="3504" w:name="_Toc45654145"/>
      <w:r w:rsidR="00272AF3">
        <w:rPr>
          <w:noProof/>
        </w:rPr>
        <w:t>2</w:t>
      </w:r>
      <w:r w:rsidR="00272AF3" w:rsidRPr="00695C93">
        <w:rPr>
          <w:noProof/>
        </w:rPr>
        <w:t>.</w:t>
      </w:r>
      <w:r w:rsidR="00272AF3">
        <w:rPr>
          <w:noProof/>
        </w:rPr>
        <w:t>30</w:t>
      </w:r>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r w:rsidRPr="00695C93">
        <w:fldChar w:fldCharType="end"/>
      </w:r>
      <w:r w:rsidRPr="00695C93">
        <w:tab/>
      </w:r>
      <w:r>
        <w:t>Proportion of people with a mobility impairment with home modifications</w:t>
      </w:r>
      <w:bookmarkEnd w:id="3502"/>
      <w:bookmarkEnd w:id="3503"/>
      <w:bookmarkEnd w:id="3504"/>
    </w:p>
    <w:p w:rsidR="007C6A5F" w:rsidRDefault="007C6A5F" w:rsidP="007C6A5F">
      <w:pPr>
        <w:pStyle w:val="Subtitlebox"/>
      </w:pPr>
      <w:r w:rsidRPr="00FF1C11">
        <w:rPr>
          <w:noProof/>
        </w:rPr>
        <w:drawing>
          <wp:inline distT="0" distB="0" distL="0" distR="0" wp14:anchorId="455A22DA" wp14:editId="2DF7E7BA">
            <wp:extent cx="5040000" cy="2476800"/>
            <wp:effectExtent l="57150" t="57150" r="65405" b="57150"/>
            <wp:docPr id="7" name="Picture 7" descr="Chart 2.30 - Proportion of people with a mobility impairment with home mod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000" cy="2476800"/>
                    </a:xfrm>
                    <a:prstGeom prst="rect">
                      <a:avLst/>
                    </a:prstGeom>
                    <a:noFill/>
                    <a:ln w="57150">
                      <a:solidFill>
                        <a:schemeClr val="bg2"/>
                      </a:solidFill>
                    </a:ln>
                  </pic:spPr>
                </pic:pic>
              </a:graphicData>
            </a:graphic>
          </wp:inline>
        </w:drawing>
      </w:r>
    </w:p>
    <w:p w:rsidR="007C6A5F" w:rsidRDefault="007C6A5F" w:rsidP="007C6A5F">
      <w:pPr>
        <w:pStyle w:val="Source"/>
      </w:pPr>
      <w:r>
        <w:rPr>
          <w:i/>
        </w:rPr>
        <w:t>Data source</w:t>
      </w:r>
      <w:r w:rsidRPr="00A67576">
        <w:rPr>
          <w:i/>
        </w:rPr>
        <w:t>:</w:t>
      </w:r>
      <w:r>
        <w:t xml:space="preserve"> ABS, Survey of Disabilities, Ageing and Carers, 2018, TableBuilder.</w:t>
      </w:r>
    </w:p>
    <w:p w:rsidR="007C6A5F" w:rsidRDefault="007C6A5F" w:rsidP="007C6A5F">
      <w:pPr>
        <w:pStyle w:val="BodyText"/>
        <w:rPr>
          <w:lang w:eastAsia="en-US"/>
        </w:rPr>
      </w:pPr>
      <w:r>
        <w:rPr>
          <w:lang w:eastAsia="en-US"/>
        </w:rPr>
        <w:t>This implies that private renters with mobility</w:t>
      </w:r>
      <w:r w:rsidR="00773AA7">
        <w:rPr>
          <w:lang w:eastAsia="en-US"/>
        </w:rPr>
        <w:noBreakHyphen/>
        <w:t xml:space="preserve">related disabilities </w:t>
      </w:r>
      <w:r>
        <w:rPr>
          <w:lang w:eastAsia="en-US"/>
        </w:rPr>
        <w:t>are less likely to be living in homes that meet their accessibility needs.</w:t>
      </w:r>
    </w:p>
    <w:p w:rsidR="007C6A5F" w:rsidRDefault="007C6A5F" w:rsidP="007C6A5F">
      <w:pPr>
        <w:pStyle w:val="Heading4"/>
        <w:numPr>
          <w:ilvl w:val="3"/>
          <w:numId w:val="5"/>
        </w:numPr>
        <w:rPr>
          <w:lang w:bidi="fa-IR"/>
        </w:rPr>
      </w:pPr>
      <w:r>
        <w:rPr>
          <w:lang w:bidi="fa-IR"/>
        </w:rPr>
        <w:t>Information failures</w:t>
      </w:r>
    </w:p>
    <w:p w:rsidR="007C6A5F" w:rsidRDefault="007C6A5F" w:rsidP="007C6A5F">
      <w:pPr>
        <w:pStyle w:val="BodyText"/>
        <w:rPr>
          <w:lang w:bidi="fa-IR"/>
        </w:rPr>
      </w:pPr>
      <w:r>
        <w:rPr>
          <w:lang w:bidi="fa-IR"/>
        </w:rPr>
        <w:t>There is a lack of information, certification</w:t>
      </w:r>
      <w:r w:rsidR="00773AA7">
        <w:rPr>
          <w:lang w:bidi="fa-IR"/>
        </w:rPr>
        <w:t xml:space="preserve"> and</w:t>
      </w:r>
      <w:r>
        <w:rPr>
          <w:lang w:bidi="fa-IR"/>
        </w:rPr>
        <w:t xml:space="preserve"> poor matching in the market</w:t>
      </w:r>
      <w:r w:rsidR="00773AA7">
        <w:rPr>
          <w:lang w:bidi="fa-IR"/>
        </w:rPr>
        <w:t>.</w:t>
      </w:r>
    </w:p>
    <w:p w:rsidR="007C6A5F" w:rsidRDefault="007C6A5F" w:rsidP="005A6F87">
      <w:pPr>
        <w:pStyle w:val="ListBullet"/>
        <w:numPr>
          <w:ilvl w:val="0"/>
          <w:numId w:val="17"/>
        </w:numPr>
        <w:rPr>
          <w:lang w:bidi="fa-IR"/>
        </w:rPr>
      </w:pPr>
      <w:r>
        <w:rPr>
          <w:lang w:bidi="fa-IR"/>
        </w:rPr>
        <w:lastRenderedPageBreak/>
        <w:t>Some stakeholders noted that when people who require more accessible housing try to locate it, it is very difficult to judge (without physically visiting the property) whether it is accessible. This makes the process of searching and securing accessible housing very costly.</w:t>
      </w:r>
    </w:p>
    <w:p w:rsidR="007C6A5F" w:rsidRDefault="007C6A5F" w:rsidP="005A6F87">
      <w:pPr>
        <w:pStyle w:val="ListBullet"/>
        <w:numPr>
          <w:ilvl w:val="0"/>
          <w:numId w:val="17"/>
        </w:numPr>
        <w:rPr>
          <w:lang w:bidi="fa-IR"/>
        </w:rPr>
      </w:pPr>
      <w:r>
        <w:rPr>
          <w:lang w:bidi="fa-IR"/>
        </w:rPr>
        <w:t xml:space="preserve">It was also noted that when builders wish to build accessible housing, it is very difficult to get their plans certified in advance of construction, which means it cannot be marketed as ‘accessible’ to buyers before </w:t>
      </w:r>
      <w:r w:rsidR="00773AA7">
        <w:rPr>
          <w:lang w:bidi="fa-IR"/>
        </w:rPr>
        <w:t>the</w:t>
      </w:r>
      <w:r>
        <w:rPr>
          <w:lang w:bidi="fa-IR"/>
        </w:rPr>
        <w:t xml:space="preserve"> product</w:t>
      </w:r>
      <w:r w:rsidR="00773AA7">
        <w:rPr>
          <w:lang w:bidi="fa-IR"/>
        </w:rPr>
        <w:t xml:space="preserve"> is completed</w:t>
      </w:r>
      <w:r>
        <w:rPr>
          <w:lang w:bidi="fa-IR"/>
        </w:rPr>
        <w:t>. Further, sellers of newly completed or existing homes that are accessible cannot get these homes certified as accessible. This significantly reduces the incentive for builders to build accessible housing.</w:t>
      </w:r>
    </w:p>
    <w:p w:rsidR="007C6A5F" w:rsidRDefault="007C6A5F" w:rsidP="007C6A5F">
      <w:pPr>
        <w:pStyle w:val="Heading3"/>
        <w:numPr>
          <w:ilvl w:val="2"/>
          <w:numId w:val="5"/>
        </w:numPr>
        <w:rPr>
          <w:lang w:bidi="fa-IR"/>
        </w:rPr>
      </w:pPr>
      <w:r>
        <w:rPr>
          <w:lang w:bidi="fa-IR"/>
        </w:rPr>
        <w:t>Low incomes</w:t>
      </w:r>
    </w:p>
    <w:p w:rsidR="007C6A5F" w:rsidRDefault="00773AA7" w:rsidP="007C6A5F">
      <w:pPr>
        <w:pStyle w:val="BodyText"/>
        <w:rPr>
          <w:lang w:bidi="fa-IR"/>
        </w:rPr>
      </w:pPr>
      <w:r>
        <w:rPr>
          <w:lang w:bidi="fa-IR"/>
        </w:rPr>
        <w:t>A</w:t>
      </w:r>
      <w:r w:rsidR="007C6A5F">
        <w:rPr>
          <w:lang w:bidi="fa-IR"/>
        </w:rPr>
        <w:t xml:space="preserve">n underlying cause of the problem may be that households containing people with </w:t>
      </w:r>
      <w:r>
        <w:rPr>
          <w:lang w:bidi="fa-IR"/>
        </w:rPr>
        <w:t xml:space="preserve">a </w:t>
      </w:r>
      <w:r w:rsidR="007C6A5F">
        <w:rPr>
          <w:lang w:bidi="fa-IR"/>
        </w:rPr>
        <w:t>disabilit</w:t>
      </w:r>
      <w:r>
        <w:rPr>
          <w:lang w:bidi="fa-IR"/>
        </w:rPr>
        <w:t>y</w:t>
      </w:r>
      <w:r w:rsidR="007C6A5F">
        <w:rPr>
          <w:lang w:bidi="fa-IR"/>
        </w:rPr>
        <w:t xml:space="preserve"> have insufficient income to fund their housing needs. A number of stakeholders stressed the importance of affordability, as well as accessibility and location.</w:t>
      </w:r>
    </w:p>
    <w:p w:rsidR="007C6A5F" w:rsidRDefault="007C6A5F" w:rsidP="007C6A5F">
      <w:pPr>
        <w:pStyle w:val="BodyText"/>
        <w:rPr>
          <w:lang w:bidi="fa-IR"/>
        </w:rPr>
      </w:pPr>
      <w:r>
        <w:rPr>
          <w:lang w:bidi="fa-IR"/>
        </w:rPr>
        <w:t>For example, older people may be reliant on a pension, while some people with mobility</w:t>
      </w:r>
      <w:r>
        <w:rPr>
          <w:lang w:bidi="fa-IR"/>
        </w:rPr>
        <w:noBreakHyphen/>
        <w:t>related disabilities may have limited employment opportunities. Employment opportunities may also be limited for other members of the household, where they have significant caring duties.</w:t>
      </w:r>
    </w:p>
    <w:p w:rsidR="007C6A5F" w:rsidRDefault="007C6A5F" w:rsidP="007C6A5F">
      <w:pPr>
        <w:pStyle w:val="BodyText"/>
        <w:rPr>
          <w:lang w:bidi="fa-IR"/>
        </w:rPr>
      </w:pPr>
      <w:r>
        <w:rPr>
          <w:lang w:bidi="fa-IR"/>
        </w:rPr>
        <w:t>According to SDAC data, the equivalised income of income units containing a member with a moderate, severe or profound disability is concentrated in the lower deciles, with around 78 per cent of income units below the median equivalised income (chart </w:t>
      </w:r>
      <w:r>
        <w:rPr>
          <w:lang w:bidi="fa-IR"/>
        </w:rPr>
        <w:fldChar w:fldCharType="begin"/>
      </w:r>
      <w:r>
        <w:rPr>
          <w:lang w:bidi="fa-IR"/>
        </w:rPr>
        <w:instrText xml:space="preserve"> REF _Caption7985 </w:instrText>
      </w:r>
      <w:r>
        <w:rPr>
          <w:lang w:bidi="fa-IR"/>
        </w:rPr>
        <w:fldChar w:fldCharType="separate"/>
      </w:r>
      <w:r>
        <w:rPr>
          <w:noProof/>
        </w:rPr>
        <w:t>2</w:t>
      </w:r>
      <w:r w:rsidRPr="00695C93">
        <w:rPr>
          <w:noProof/>
        </w:rPr>
        <w:t>.</w:t>
      </w:r>
      <w:r>
        <w:rPr>
          <w:noProof/>
        </w:rPr>
        <w:t>31</w:t>
      </w:r>
      <w:r>
        <w:rPr>
          <w:lang w:bidi="fa-IR"/>
        </w:rPr>
        <w:fldChar w:fldCharType="end"/>
      </w:r>
      <w:r>
        <w:rPr>
          <w:lang w:bidi="fa-IR"/>
        </w:rPr>
        <w:t>).</w:t>
      </w:r>
    </w:p>
    <w:bookmarkStart w:id="3505" w:name="_Hlk44657155"/>
    <w:p w:rsidR="007C6A5F" w:rsidRDefault="007C6A5F" w:rsidP="007C6A5F">
      <w:pPr>
        <w:pStyle w:val="Caption"/>
      </w:pPr>
      <w:r w:rsidRPr="000C09F4">
        <w:fldChar w:fldCharType="begin"/>
      </w:r>
      <w:r w:rsidRPr="000C09F4">
        <w:instrText xml:space="preserve"> IF 1 = 1 "</w:instrText>
      </w:r>
      <w:r w:rsidRPr="000C09F4">
        <w:fldChar w:fldCharType="begin"/>
      </w:r>
      <w:r w:rsidRPr="000C09F4">
        <w:instrText xml:space="preserve"> IF </w:instrText>
      </w:r>
      <w:r w:rsidRPr="000C09F4">
        <w:rPr>
          <w:noProof/>
        </w:rPr>
        <w:fldChar w:fldCharType="begin"/>
      </w:r>
      <w:r w:rsidRPr="000C09F4">
        <w:rPr>
          <w:noProof/>
        </w:rPr>
        <w:instrText xml:space="preserve"> STYLEREF "Heading 6" \l \n </w:instrText>
      </w:r>
      <w:r w:rsidRPr="000C09F4">
        <w:rPr>
          <w:noProof/>
        </w:rPr>
        <w:fldChar w:fldCharType="separate"/>
      </w:r>
      <w:r w:rsidRPr="000C09F4">
        <w:rPr>
          <w:noProof/>
        </w:rPr>
        <w:instrText>0</w:instrText>
      </w:r>
      <w:r w:rsidRPr="000C09F4">
        <w:rPr>
          <w:noProof/>
        </w:rPr>
        <w:fldChar w:fldCharType="end"/>
      </w:r>
      <w:r w:rsidRPr="000C09F4">
        <w:instrText xml:space="preserve"> = 0 "</w:instrText>
      </w:r>
      <w:r w:rsidRPr="000C09F4">
        <w:fldChar w:fldCharType="begin"/>
      </w:r>
      <w:r w:rsidRPr="000C09F4">
        <w:instrText xml:space="preserve"> IF </w:instrText>
      </w:r>
      <w:r w:rsidRPr="000C09F4">
        <w:rPr>
          <w:noProof/>
        </w:rPr>
        <w:fldChar w:fldCharType="begin"/>
      </w:r>
      <w:r w:rsidRPr="000C09F4">
        <w:rPr>
          <w:noProof/>
        </w:rPr>
        <w:instrText xml:space="preserve"> STYLEREF "Heading 1" \l \n </w:instrText>
      </w:r>
      <w:r w:rsidRPr="000C09F4">
        <w:rPr>
          <w:noProof/>
        </w:rPr>
        <w:fldChar w:fldCharType="separate"/>
      </w:r>
      <w:r w:rsidRPr="000C09F4">
        <w:rPr>
          <w:noProof/>
        </w:rPr>
        <w:instrText>2</w:instrText>
      </w:r>
      <w:r w:rsidRPr="000C09F4">
        <w:rPr>
          <w:noProof/>
        </w:rPr>
        <w:fldChar w:fldCharType="end"/>
      </w:r>
      <w:r w:rsidRPr="000C09F4">
        <w:instrText xml:space="preserve"> = 0 "" "</w:instrText>
      </w:r>
      <w:r w:rsidRPr="000C09F4">
        <w:rPr>
          <w:noProof/>
        </w:rPr>
        <w:fldChar w:fldCharType="begin"/>
      </w:r>
      <w:r w:rsidRPr="000C09F4">
        <w:rPr>
          <w:noProof/>
        </w:rPr>
        <w:instrText xml:space="preserve"> STYLEREF "Heading 1" \l \n </w:instrText>
      </w:r>
      <w:r w:rsidRPr="000C09F4">
        <w:rPr>
          <w:noProof/>
        </w:rPr>
        <w:fldChar w:fldCharType="separate"/>
      </w:r>
      <w:r w:rsidRPr="000C09F4">
        <w:rPr>
          <w:noProof/>
        </w:rPr>
        <w:instrText>2</w:instrText>
      </w:r>
      <w:r w:rsidRPr="000C09F4">
        <w:rPr>
          <w:noProof/>
        </w:rPr>
        <w:fldChar w:fldCharType="end"/>
      </w:r>
      <w:r w:rsidRPr="000C09F4">
        <w:instrText xml:space="preserve">." </w:instrText>
      </w:r>
      <w:r w:rsidRPr="000C09F4">
        <w:fldChar w:fldCharType="separate"/>
      </w:r>
      <w:r w:rsidRPr="000C09F4">
        <w:rPr>
          <w:noProof/>
        </w:rPr>
        <w:instrText>2.</w:instrText>
      </w:r>
      <w:r w:rsidRPr="000C09F4">
        <w:fldChar w:fldCharType="end"/>
      </w:r>
      <w:r w:rsidRPr="000C09F4">
        <w:instrText>" "</w:instrText>
      </w:r>
      <w:r w:rsidRPr="000C09F4">
        <w:rPr>
          <w:noProof/>
        </w:rPr>
        <w:fldChar w:fldCharType="begin"/>
      </w:r>
      <w:r w:rsidRPr="000C09F4">
        <w:rPr>
          <w:noProof/>
        </w:rPr>
        <w:instrText xml:space="preserve"> STYLEREF "Heading 6" \l \n </w:instrText>
      </w:r>
      <w:r w:rsidRPr="000C09F4">
        <w:rPr>
          <w:noProof/>
        </w:rPr>
        <w:fldChar w:fldCharType="separate"/>
      </w:r>
      <w:r w:rsidRPr="000C09F4">
        <w:rPr>
          <w:noProof/>
        </w:rPr>
        <w:instrText>A</w:instrText>
      </w:r>
      <w:r w:rsidRPr="000C09F4">
        <w:rPr>
          <w:noProof/>
        </w:rPr>
        <w:fldChar w:fldCharType="end"/>
      </w:r>
      <w:r w:rsidRPr="000C09F4">
        <w:instrText xml:space="preserve">." </w:instrText>
      </w:r>
      <w:r w:rsidRPr="000C09F4">
        <w:fldChar w:fldCharType="separate"/>
      </w:r>
      <w:r w:rsidR="00272AF3" w:rsidRPr="000C09F4">
        <w:rPr>
          <w:noProof/>
        </w:rPr>
        <w:instrText>2.</w:instrText>
      </w:r>
      <w:r w:rsidRPr="000C09F4">
        <w:fldChar w:fldCharType="end"/>
      </w:r>
      <w:r w:rsidRPr="000C09F4">
        <w:fldChar w:fldCharType="begin"/>
      </w:r>
      <w:r w:rsidRPr="000C09F4">
        <w:instrText xml:space="preserve"> SEQ Item \* ARABIC \s </w:instrText>
      </w:r>
      <w:r w:rsidRPr="000C09F4">
        <w:fldChar w:fldCharType="begin"/>
      </w:r>
      <w:r w:rsidRPr="000C09F4">
        <w:instrText xml:space="preserve"> IF </w:instrText>
      </w:r>
      <w:r w:rsidRPr="000C09F4">
        <w:rPr>
          <w:noProof/>
        </w:rPr>
        <w:fldChar w:fldCharType="begin"/>
      </w:r>
      <w:r w:rsidRPr="000C09F4">
        <w:rPr>
          <w:noProof/>
        </w:rPr>
        <w:instrText xml:space="preserve"> STYLEREF "Heading 6" \l \n </w:instrText>
      </w:r>
      <w:r w:rsidRPr="000C09F4">
        <w:rPr>
          <w:noProof/>
        </w:rPr>
        <w:fldChar w:fldCharType="separate"/>
      </w:r>
      <w:r w:rsidRPr="000C09F4">
        <w:rPr>
          <w:noProof/>
        </w:rPr>
        <w:instrText>0</w:instrText>
      </w:r>
      <w:r w:rsidRPr="000C09F4">
        <w:rPr>
          <w:noProof/>
        </w:rPr>
        <w:fldChar w:fldCharType="end"/>
      </w:r>
      <w:r w:rsidRPr="000C09F4">
        <w:instrText xml:space="preserve"> = 0 "</w:instrText>
      </w:r>
      <w:r w:rsidRPr="000C09F4">
        <w:fldChar w:fldCharType="begin"/>
      </w:r>
      <w:r w:rsidRPr="000C09F4">
        <w:instrText xml:space="preserve"> IF </w:instrText>
      </w:r>
      <w:r w:rsidRPr="000C09F4">
        <w:rPr>
          <w:noProof/>
        </w:rPr>
        <w:fldChar w:fldCharType="begin"/>
      </w:r>
      <w:r w:rsidRPr="000C09F4">
        <w:rPr>
          <w:noProof/>
        </w:rPr>
        <w:instrText xml:space="preserve"> STYLEREF "Heading 1" \l \n </w:instrText>
      </w:r>
      <w:r w:rsidRPr="000C09F4">
        <w:rPr>
          <w:noProof/>
        </w:rPr>
        <w:fldChar w:fldCharType="separate"/>
      </w:r>
      <w:r w:rsidRPr="000C09F4">
        <w:rPr>
          <w:noProof/>
        </w:rPr>
        <w:instrText>2</w:instrText>
      </w:r>
      <w:r w:rsidRPr="000C09F4">
        <w:rPr>
          <w:noProof/>
        </w:rPr>
        <w:fldChar w:fldCharType="end"/>
      </w:r>
      <w:r w:rsidRPr="000C09F4">
        <w:instrText xml:space="preserve"> = 0 "" "1" </w:instrText>
      </w:r>
      <w:r w:rsidRPr="000C09F4">
        <w:fldChar w:fldCharType="separate"/>
      </w:r>
      <w:r w:rsidR="00272AF3" w:rsidRPr="000C09F4">
        <w:rPr>
          <w:noProof/>
        </w:rPr>
        <w:instrText>1</w:instrText>
      </w:r>
      <w:r w:rsidRPr="000C09F4">
        <w:fldChar w:fldCharType="end"/>
      </w:r>
      <w:r w:rsidRPr="000C09F4">
        <w:instrText xml:space="preserve">" "6" </w:instrText>
      </w:r>
      <w:r w:rsidRPr="000C09F4">
        <w:fldChar w:fldCharType="separate"/>
      </w:r>
      <w:r w:rsidR="00272AF3" w:rsidRPr="000C09F4">
        <w:rPr>
          <w:noProof/>
        </w:rPr>
        <w:instrText>1</w:instrText>
      </w:r>
      <w:r w:rsidRPr="000C09F4">
        <w:fldChar w:fldCharType="end"/>
      </w:r>
      <w:r w:rsidRPr="000C09F4">
        <w:instrText xml:space="preserve"> </w:instrText>
      </w:r>
      <w:r w:rsidRPr="000C09F4">
        <w:fldChar w:fldCharType="separate"/>
      </w:r>
      <w:r w:rsidRPr="000C09F4">
        <w:rPr>
          <w:noProof/>
        </w:rPr>
        <w:instrText>31</w:instrText>
      </w:r>
      <w:r w:rsidRPr="000C09F4">
        <w:fldChar w:fldCharType="end"/>
      </w:r>
      <w:r w:rsidRPr="000C09F4">
        <w:instrText xml:space="preserve">" "" </w:instrText>
      </w:r>
      <w:r w:rsidRPr="000C09F4">
        <w:fldChar w:fldCharType="separate"/>
      </w:r>
      <w:bookmarkStart w:id="3506" w:name="_Caption5323"/>
      <w:bookmarkStart w:id="3507" w:name="_Caption1515"/>
      <w:bookmarkStart w:id="3508" w:name="_Caption1593"/>
      <w:bookmarkStart w:id="3509" w:name="_Caption0526"/>
      <w:bookmarkStart w:id="3510" w:name="_Caption8531"/>
      <w:bookmarkStart w:id="3511" w:name="_Caption3393"/>
      <w:bookmarkStart w:id="3512" w:name="_Caption4259"/>
      <w:bookmarkStart w:id="3513" w:name="_Caption4226"/>
      <w:bookmarkStart w:id="3514" w:name="_Caption8589"/>
      <w:bookmarkStart w:id="3515" w:name="_Caption7537"/>
      <w:bookmarkStart w:id="3516" w:name="_Caption1811"/>
      <w:bookmarkStart w:id="3517" w:name="_Caption0029"/>
      <w:bookmarkStart w:id="3518" w:name="_Caption8734"/>
      <w:bookmarkStart w:id="3519" w:name="_Caption7638"/>
      <w:bookmarkStart w:id="3520" w:name="_Caption7933"/>
      <w:bookmarkStart w:id="3521" w:name="_Caption6385"/>
      <w:bookmarkStart w:id="3522" w:name="_Caption8192"/>
      <w:bookmarkStart w:id="3523" w:name="_Caption5951"/>
      <w:bookmarkStart w:id="3524" w:name="_Caption7923"/>
      <w:bookmarkStart w:id="3525" w:name="_Caption4982"/>
      <w:bookmarkStart w:id="3526" w:name="_Caption1700"/>
      <w:bookmarkStart w:id="3527" w:name="_Caption4815"/>
      <w:bookmarkStart w:id="3528" w:name="_Caption6685"/>
      <w:bookmarkStart w:id="3529" w:name="_Caption4587"/>
      <w:bookmarkStart w:id="3530" w:name="_Caption8661"/>
      <w:bookmarkStart w:id="3531" w:name="_Caption0964"/>
      <w:bookmarkStart w:id="3532" w:name="_Caption8697"/>
      <w:bookmarkStart w:id="3533" w:name="_Caption3830"/>
      <w:bookmarkStart w:id="3534" w:name="_Caption9925"/>
      <w:bookmarkStart w:id="3535" w:name="_Caption1370"/>
      <w:bookmarkStart w:id="3536" w:name="_Caption8764"/>
      <w:bookmarkStart w:id="3537" w:name="_Caption4981"/>
      <w:bookmarkStart w:id="3538" w:name="_Caption9543"/>
      <w:bookmarkStart w:id="3539" w:name="_Caption0825"/>
      <w:bookmarkStart w:id="3540" w:name="_Caption4356"/>
      <w:bookmarkStart w:id="3541" w:name="_Caption5902"/>
      <w:bookmarkStart w:id="3542" w:name="_Caption5332"/>
      <w:bookmarkStart w:id="3543" w:name="_Caption7788"/>
      <w:bookmarkStart w:id="3544" w:name="_Caption3169"/>
      <w:bookmarkStart w:id="3545" w:name="_Caption2218"/>
      <w:bookmarkStart w:id="3546" w:name="_Caption1542"/>
      <w:bookmarkStart w:id="3547" w:name="_Caption7547"/>
      <w:bookmarkStart w:id="3548" w:name="_Caption5755"/>
      <w:bookmarkStart w:id="3549" w:name="_Caption3702"/>
      <w:bookmarkStart w:id="3550" w:name="_Caption4822"/>
      <w:bookmarkStart w:id="3551" w:name="_Caption8543"/>
      <w:bookmarkStart w:id="3552" w:name="_Caption5151"/>
      <w:bookmarkStart w:id="3553" w:name="_Caption4744"/>
      <w:bookmarkStart w:id="3554" w:name="_Caption7924"/>
      <w:bookmarkStart w:id="3555" w:name="_Caption7985"/>
      <w:bookmarkStart w:id="3556" w:name="_Caption3660"/>
      <w:bookmarkStart w:id="3557" w:name="_Caption4532"/>
      <w:bookmarkStart w:id="3558" w:name="_Caption8511"/>
      <w:bookmarkStart w:id="3559" w:name="_Caption0098"/>
      <w:bookmarkStart w:id="3560" w:name="_Caption9460"/>
      <w:bookmarkStart w:id="3561" w:name="_Caption2820"/>
      <w:bookmarkStart w:id="3562" w:name="_Caption0052"/>
      <w:bookmarkStart w:id="3563" w:name="_Caption5575"/>
      <w:bookmarkStart w:id="3564" w:name="_Caption9065"/>
      <w:bookmarkStart w:id="3565" w:name="_Caption9585"/>
      <w:bookmarkStart w:id="3566" w:name="_Caption2292"/>
      <w:bookmarkStart w:id="3567" w:name="_Caption3004"/>
      <w:bookmarkStart w:id="3568" w:name="_Caption4543"/>
      <w:bookmarkStart w:id="3569" w:name="_Caption4032"/>
      <w:bookmarkStart w:id="3570" w:name="_Caption9871"/>
      <w:bookmarkStart w:id="3571" w:name="_Caption6941"/>
      <w:bookmarkStart w:id="3572" w:name="_Caption4400"/>
      <w:bookmarkStart w:id="3573" w:name="_Caption8826"/>
      <w:bookmarkStart w:id="3574" w:name="_Caption8069"/>
      <w:bookmarkStart w:id="3575" w:name="_Caption0338"/>
      <w:bookmarkStart w:id="3576" w:name="_Caption7591"/>
      <w:bookmarkStart w:id="3577" w:name="_Caption2421"/>
      <w:bookmarkStart w:id="3578" w:name="_Caption7069"/>
      <w:bookmarkStart w:id="3579" w:name="_Caption1516"/>
      <w:bookmarkStart w:id="3580" w:name="_Caption2260"/>
      <w:bookmarkStart w:id="3581" w:name="_Caption0548"/>
      <w:bookmarkStart w:id="3582" w:name="_Caption9363"/>
      <w:bookmarkStart w:id="3583" w:name="_Caption3786"/>
      <w:bookmarkStart w:id="3584" w:name="_Caption0711"/>
      <w:bookmarkStart w:id="3585" w:name="_Caption1923"/>
      <w:bookmarkStart w:id="3586" w:name="_Caption4401"/>
      <w:bookmarkStart w:id="3587" w:name="_Caption9929"/>
      <w:bookmarkStart w:id="3588" w:name="_Caption6483"/>
      <w:bookmarkStart w:id="3589" w:name="_Caption5386"/>
      <w:bookmarkStart w:id="3590" w:name="_Caption3117"/>
      <w:bookmarkStart w:id="3591" w:name="_Caption4600"/>
      <w:bookmarkStart w:id="3592" w:name="_Caption8753"/>
      <w:bookmarkStart w:id="3593" w:name="_Caption1051"/>
      <w:bookmarkStart w:id="3594" w:name="_Caption9329"/>
      <w:bookmarkStart w:id="3595" w:name="_Caption6705"/>
      <w:bookmarkStart w:id="3596" w:name="_Caption2975"/>
      <w:bookmarkStart w:id="3597" w:name="_Caption5290"/>
      <w:bookmarkStart w:id="3598" w:name="_Caption3238"/>
      <w:bookmarkStart w:id="3599" w:name="_Caption4043"/>
      <w:bookmarkStart w:id="3600" w:name="_Caption5239"/>
      <w:bookmarkStart w:id="3601" w:name="_Caption9990"/>
      <w:bookmarkStart w:id="3602" w:name="_Caption7494"/>
      <w:bookmarkStart w:id="3603" w:name="_Caption8321"/>
      <w:bookmarkStart w:id="3604" w:name="_Caption8019"/>
      <w:bookmarkStart w:id="3605" w:name="_Caption7320"/>
      <w:bookmarkStart w:id="3606" w:name="_Caption8362"/>
      <w:bookmarkStart w:id="3607" w:name="_Caption5545"/>
      <w:bookmarkStart w:id="3608" w:name="_Caption4757"/>
      <w:bookmarkStart w:id="3609" w:name="_Caption8490"/>
      <w:bookmarkStart w:id="3610" w:name="_Caption5718"/>
      <w:bookmarkStart w:id="3611" w:name="_Caption6553"/>
      <w:bookmarkStart w:id="3612" w:name="_Caption3529"/>
      <w:bookmarkStart w:id="3613" w:name="_Caption8334"/>
      <w:bookmarkStart w:id="3614" w:name="_Caption9051"/>
      <w:bookmarkStart w:id="3615" w:name="_Caption7642"/>
      <w:bookmarkStart w:id="3616" w:name="_Caption9404"/>
      <w:bookmarkStart w:id="3617" w:name="_Caption9474"/>
      <w:bookmarkStart w:id="3618" w:name="_Caption2575"/>
      <w:bookmarkStart w:id="3619" w:name="_Caption6997"/>
      <w:bookmarkStart w:id="3620" w:name="_Caption8585"/>
      <w:bookmarkStart w:id="3621" w:name="_Caption7500"/>
      <w:bookmarkStart w:id="3622" w:name="_Caption4697"/>
      <w:bookmarkStart w:id="3623" w:name="_Caption2887"/>
      <w:bookmarkStart w:id="3624" w:name="_Caption9304"/>
      <w:bookmarkStart w:id="3625" w:name="_Caption1927"/>
      <w:bookmarkStart w:id="3626" w:name="_Caption7996"/>
      <w:bookmarkStart w:id="3627" w:name="_Caption1443"/>
      <w:bookmarkStart w:id="3628" w:name="_Toc32321818"/>
      <w:bookmarkStart w:id="3629" w:name="_Toc44598515"/>
      <w:bookmarkStart w:id="3630" w:name="_Toc45654146"/>
      <w:r w:rsidR="00272AF3" w:rsidRPr="000C09F4">
        <w:rPr>
          <w:noProof/>
        </w:rPr>
        <w:t>2.31</w:t>
      </w:r>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r w:rsidRPr="000C09F4">
        <w:fldChar w:fldCharType="end"/>
      </w:r>
      <w:r w:rsidRPr="000C09F4">
        <w:tab/>
        <w:t>Equivalised income distribution</w:t>
      </w:r>
      <w:bookmarkEnd w:id="3628"/>
      <w:bookmarkEnd w:id="3629"/>
      <w:bookmarkEnd w:id="3630"/>
    </w:p>
    <w:p w:rsidR="000C09F4" w:rsidRPr="000C09F4" w:rsidRDefault="000C09F4" w:rsidP="000C09F4">
      <w:pPr>
        <w:pStyle w:val="Subtitlebox"/>
      </w:pPr>
      <w:r w:rsidRPr="000C09F4">
        <w:rPr>
          <w:noProof/>
        </w:rPr>
        <w:drawing>
          <wp:inline distT="0" distB="0" distL="0" distR="0" wp14:anchorId="4554E711" wp14:editId="2C167FCD">
            <wp:extent cx="5040000" cy="2581720"/>
            <wp:effectExtent l="57150" t="57150" r="65405" b="66675"/>
            <wp:docPr id="9" name="Picture 9" descr="Chart 2.31 - Equivalised income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000" cy="2581720"/>
                    </a:xfrm>
                    <a:prstGeom prst="rect">
                      <a:avLst/>
                    </a:prstGeom>
                    <a:noFill/>
                    <a:ln w="57150">
                      <a:solidFill>
                        <a:schemeClr val="bg2"/>
                      </a:solidFill>
                    </a:ln>
                  </pic:spPr>
                </pic:pic>
              </a:graphicData>
            </a:graphic>
          </wp:inline>
        </w:drawing>
      </w:r>
    </w:p>
    <w:p w:rsidR="007C6A5F" w:rsidRDefault="007C6A5F" w:rsidP="007C6A5F">
      <w:pPr>
        <w:pStyle w:val="Source"/>
      </w:pPr>
      <w:r>
        <w:rPr>
          <w:i/>
        </w:rPr>
        <w:t>Data source</w:t>
      </w:r>
      <w:r w:rsidRPr="00A67576">
        <w:rPr>
          <w:i/>
        </w:rPr>
        <w:t>:</w:t>
      </w:r>
      <w:r>
        <w:t xml:space="preserve"> ABS, Survey of Disabilities, Ageing and Carers, 2018, TableBuilder.</w:t>
      </w:r>
    </w:p>
    <w:bookmarkEnd w:id="3505"/>
    <w:p w:rsidR="007C6A5F" w:rsidRDefault="007C6A5F" w:rsidP="007C6A5F">
      <w:pPr>
        <w:pStyle w:val="BodyText"/>
        <w:rPr>
          <w:lang w:bidi="fa-IR"/>
        </w:rPr>
      </w:pPr>
    </w:p>
    <w:p w:rsidR="007C6A5F" w:rsidRPr="00F51AF6" w:rsidRDefault="007C6A5F" w:rsidP="007C6A5F">
      <w:pPr>
        <w:pStyle w:val="Heading1"/>
        <w:numPr>
          <w:ilvl w:val="0"/>
          <w:numId w:val="5"/>
        </w:numPr>
      </w:pPr>
      <w:bookmarkStart w:id="3631" w:name="_Toc32321752"/>
      <w:bookmarkStart w:id="3632" w:name="_Toc44598440"/>
      <w:bookmarkStart w:id="3633" w:name="_Toc45654071"/>
      <w:r>
        <w:lastRenderedPageBreak/>
        <w:t>Objectives and options</w:t>
      </w:r>
      <w:bookmarkEnd w:id="3631"/>
      <w:bookmarkEnd w:id="3632"/>
      <w:bookmarkEnd w:id="3633"/>
    </w:p>
    <w:p w:rsidR="007C6A5F" w:rsidRDefault="007C6A5F" w:rsidP="007C6A5F">
      <w:pPr>
        <w:pStyle w:val="Heading2"/>
        <w:numPr>
          <w:ilvl w:val="1"/>
          <w:numId w:val="5"/>
        </w:numPr>
      </w:pPr>
      <w:bookmarkStart w:id="3634" w:name="_Toc32321753"/>
      <w:bookmarkStart w:id="3635" w:name="_Toc44598441"/>
      <w:bookmarkStart w:id="3636" w:name="_Toc45654072"/>
      <w:r>
        <w:t>Objectives</w:t>
      </w:r>
      <w:bookmarkEnd w:id="3634"/>
      <w:bookmarkEnd w:id="3635"/>
      <w:bookmarkEnd w:id="3636"/>
    </w:p>
    <w:p w:rsidR="007C6A5F" w:rsidRPr="002B2900" w:rsidRDefault="007C6A5F" w:rsidP="007C6A5F">
      <w:pPr>
        <w:pStyle w:val="BodyText"/>
      </w:pPr>
      <w:r>
        <w:t>Under the COAG Guidelines, a RIS should clearly articulate the objectives, intended outcomes, goals or targets of government policy.</w:t>
      </w:r>
      <w:r>
        <w:rPr>
          <w:rStyle w:val="FootnoteReference"/>
        </w:rPr>
        <w:footnoteReference w:id="50"/>
      </w:r>
    </w:p>
    <w:p w:rsidR="007C6A5F" w:rsidRDefault="007C6A5F" w:rsidP="007C6A5F">
      <w:pPr>
        <w:pStyle w:val="Heading3"/>
        <w:numPr>
          <w:ilvl w:val="2"/>
          <w:numId w:val="5"/>
        </w:numPr>
      </w:pPr>
      <w:r>
        <w:t>Broader government policy objectives</w:t>
      </w:r>
    </w:p>
    <w:p w:rsidR="007C6A5F" w:rsidRDefault="007C6A5F" w:rsidP="007C6A5F">
      <w:pPr>
        <w:pStyle w:val="BodyText"/>
      </w:pPr>
      <w:r>
        <w:t>Accessible housing issues cut across several policy areas, including disability and aged care policy. In establishing the objectives of the proposed change to the NCC it is important to consider the Government’s broader objectives in these policy areas.</w:t>
      </w:r>
    </w:p>
    <w:p w:rsidR="007C6A5F" w:rsidRDefault="007C6A5F" w:rsidP="007C6A5F">
      <w:pPr>
        <w:pStyle w:val="Heading4"/>
        <w:numPr>
          <w:ilvl w:val="3"/>
          <w:numId w:val="5"/>
        </w:numPr>
      </w:pPr>
      <w:r>
        <w:t>Disability policy</w:t>
      </w:r>
    </w:p>
    <w:p w:rsidR="007C6A5F" w:rsidRDefault="007C6A5F" w:rsidP="007C6A5F">
      <w:pPr>
        <w:pStyle w:val="BodyText"/>
      </w:pPr>
      <w:r>
        <w:t>The National Disability Strategy adopts the principles set out in Article 3 of the CRPD:</w:t>
      </w:r>
    </w:p>
    <w:p w:rsidR="007C6A5F" w:rsidRDefault="007C6A5F" w:rsidP="005A6F87">
      <w:pPr>
        <w:pStyle w:val="ListBullet"/>
        <w:numPr>
          <w:ilvl w:val="0"/>
          <w:numId w:val="17"/>
        </w:numPr>
      </w:pPr>
      <w:r>
        <w:t>respect for inherent dignity, individual autonomy including the freedom to make one’s own choices, and independence of persons</w:t>
      </w:r>
    </w:p>
    <w:p w:rsidR="007C6A5F" w:rsidRDefault="007C6A5F" w:rsidP="005A6F87">
      <w:pPr>
        <w:pStyle w:val="ListBullet"/>
        <w:numPr>
          <w:ilvl w:val="0"/>
          <w:numId w:val="17"/>
        </w:numPr>
      </w:pPr>
      <w:r>
        <w:t xml:space="preserve">non-discrimination </w:t>
      </w:r>
    </w:p>
    <w:p w:rsidR="007C6A5F" w:rsidRDefault="007C6A5F" w:rsidP="005A6F87">
      <w:pPr>
        <w:pStyle w:val="ListBullet"/>
        <w:numPr>
          <w:ilvl w:val="0"/>
          <w:numId w:val="17"/>
        </w:numPr>
      </w:pPr>
      <w:r>
        <w:t xml:space="preserve">full and effective participation and inclusion in society </w:t>
      </w:r>
    </w:p>
    <w:p w:rsidR="007C6A5F" w:rsidRDefault="007C6A5F" w:rsidP="005A6F87">
      <w:pPr>
        <w:pStyle w:val="ListBullet"/>
        <w:numPr>
          <w:ilvl w:val="0"/>
          <w:numId w:val="17"/>
        </w:numPr>
      </w:pPr>
      <w:r>
        <w:t xml:space="preserve">respect for difference and acceptance of persons with disabilities as part of human diversity and humanity </w:t>
      </w:r>
    </w:p>
    <w:p w:rsidR="007C6A5F" w:rsidRDefault="007C6A5F" w:rsidP="005A6F87">
      <w:pPr>
        <w:pStyle w:val="ListBullet"/>
        <w:numPr>
          <w:ilvl w:val="0"/>
          <w:numId w:val="17"/>
        </w:numPr>
      </w:pPr>
      <w:r>
        <w:t xml:space="preserve">equality of opportunity </w:t>
      </w:r>
    </w:p>
    <w:p w:rsidR="007C6A5F" w:rsidRDefault="007C6A5F" w:rsidP="005A6F87">
      <w:pPr>
        <w:pStyle w:val="ListBullet"/>
        <w:numPr>
          <w:ilvl w:val="0"/>
          <w:numId w:val="17"/>
        </w:numPr>
      </w:pPr>
      <w:r>
        <w:t xml:space="preserve">accessibility </w:t>
      </w:r>
    </w:p>
    <w:p w:rsidR="007C6A5F" w:rsidRDefault="007C6A5F" w:rsidP="005A6F87">
      <w:pPr>
        <w:pStyle w:val="ListBullet"/>
        <w:numPr>
          <w:ilvl w:val="0"/>
          <w:numId w:val="17"/>
        </w:numPr>
      </w:pPr>
      <w:r>
        <w:t xml:space="preserve">equality between men and women </w:t>
      </w:r>
    </w:p>
    <w:p w:rsidR="007C6A5F" w:rsidRDefault="007C6A5F" w:rsidP="005A6F87">
      <w:pPr>
        <w:pStyle w:val="ListBullet"/>
        <w:numPr>
          <w:ilvl w:val="0"/>
          <w:numId w:val="17"/>
        </w:numPr>
      </w:pPr>
      <w:r>
        <w:t>respect for the evolving capacities of children with disabilities and respect for the right of children with disabilities to preserve their identities.</w:t>
      </w:r>
    </w:p>
    <w:p w:rsidR="007C6A5F" w:rsidRDefault="007C6A5F" w:rsidP="007C6A5F">
      <w:pPr>
        <w:pStyle w:val="BodyText"/>
      </w:pPr>
      <w:r>
        <w:t>More specifically, Outcome 1 of the National Disability Strategy is:</w:t>
      </w:r>
    </w:p>
    <w:p w:rsidR="007C6A5F" w:rsidRDefault="007C6A5F" w:rsidP="007C6A5F">
      <w:pPr>
        <w:pStyle w:val="Quote"/>
      </w:pPr>
      <w:r>
        <w:t>“People with disability live in accessible and well</w:t>
      </w:r>
      <w:r>
        <w:noBreakHyphen/>
        <w:t>designed communities with opportunities for full inclusion in economic, sporting and cultural life.”</w:t>
      </w:r>
      <w:r>
        <w:rPr>
          <w:rStyle w:val="FootnoteReference"/>
        </w:rPr>
        <w:footnoteReference w:id="51"/>
      </w:r>
    </w:p>
    <w:p w:rsidR="007C6A5F" w:rsidRDefault="007C6A5F" w:rsidP="007C6A5F">
      <w:pPr>
        <w:pStyle w:val="BodyText"/>
      </w:pPr>
      <w:r>
        <w:t>Policy Direction 3 under Outcome 1 refers to:</w:t>
      </w:r>
    </w:p>
    <w:p w:rsidR="007C6A5F" w:rsidRDefault="007C6A5F" w:rsidP="007C6A5F">
      <w:pPr>
        <w:pStyle w:val="Quote"/>
      </w:pPr>
      <w:r>
        <w:lastRenderedPageBreak/>
        <w:t>“Improved provision of accessible and well designed housing with choice for people with disability about where they live”.</w:t>
      </w:r>
      <w:r>
        <w:rPr>
          <w:rStyle w:val="FootnoteReference"/>
        </w:rPr>
        <w:footnoteReference w:id="52"/>
      </w:r>
    </w:p>
    <w:p w:rsidR="007C6A5F" w:rsidRDefault="007C6A5F" w:rsidP="007C6A5F">
      <w:pPr>
        <w:pStyle w:val="BodyText"/>
      </w:pPr>
      <w:r>
        <w:t>Similar themes — including equity and fostering independence — were raised in submissions to ABCB’s Options Paper, although the Consultation Report noted that these objectives were generally not well defined.</w:t>
      </w:r>
    </w:p>
    <w:p w:rsidR="007C6A5F" w:rsidRDefault="007C6A5F" w:rsidP="005A6F87">
      <w:pPr>
        <w:pStyle w:val="ListBullet"/>
        <w:numPr>
          <w:ilvl w:val="0"/>
          <w:numId w:val="17"/>
        </w:numPr>
      </w:pPr>
      <w:r>
        <w:t>According to the Consultation Report, a definition of ‘equity’ can be gleaned from the existing NCC provisions that address accessibility of public buildings. One of the objectives of those provisions is to provide people with ‘safe, equitable and dignified’</w:t>
      </w:r>
      <w:r>
        <w:rPr>
          <w:sz w:val="14"/>
          <w:szCs w:val="14"/>
        </w:rPr>
        <w:t xml:space="preserve"> </w:t>
      </w:r>
      <w:r>
        <w:t xml:space="preserve">access to buildings. In that context, the use of the term ‘equitable’ is explained as follows: </w:t>
      </w:r>
    </w:p>
    <w:p w:rsidR="007C6A5F" w:rsidRDefault="007C6A5F" w:rsidP="007C6A5F">
      <w:pPr>
        <w:pStyle w:val="Quote"/>
      </w:pPr>
      <w:r>
        <w:t>“One of the primary intentions of the [Disability Discrimination Act] is to provide people with a disability with the same rights as the rest of the community.</w:t>
      </w:r>
    </w:p>
    <w:p w:rsidR="007C6A5F" w:rsidRDefault="007C6A5F" w:rsidP="007C6A5F">
      <w:pPr>
        <w:pStyle w:val="Quote"/>
        <w:rPr>
          <w:sz w:val="14"/>
          <w:szCs w:val="14"/>
        </w:rPr>
      </w:pPr>
      <w:r>
        <w:t>The word ‘equitable’ refers to concepts of fairness and equality. It does not mean that all people must be able to do the same thing in the same way. However, if some people can use a building for a particular purpose, then most people should be able to use the building for that purpose.</w:t>
      </w:r>
      <w:r>
        <w:rPr>
          <w:sz w:val="14"/>
          <w:szCs w:val="14"/>
        </w:rPr>
        <w:t>”</w:t>
      </w:r>
      <w:r>
        <w:rPr>
          <w:rStyle w:val="FootnoteReference"/>
        </w:rPr>
        <w:footnoteReference w:id="53"/>
      </w:r>
    </w:p>
    <w:p w:rsidR="007C6A5F" w:rsidRDefault="007C6A5F" w:rsidP="005A6F87">
      <w:pPr>
        <w:pStyle w:val="ListBullet"/>
        <w:numPr>
          <w:ilvl w:val="0"/>
          <w:numId w:val="17"/>
        </w:numPr>
      </w:pPr>
      <w:r>
        <w:t>Based on the broader body of literature, ABCB inferred that the objective of ‘fostering independence’ refers to the potential for accessible housing to lead to increased ability for people (with disability) to minimise their dependence on others to carry out households tasks.</w:t>
      </w:r>
      <w:r>
        <w:rPr>
          <w:rStyle w:val="FootnoteReference"/>
        </w:rPr>
        <w:footnoteReference w:id="54"/>
      </w:r>
    </w:p>
    <w:p w:rsidR="007C6A5F" w:rsidRDefault="007C6A5F" w:rsidP="007C6A5F">
      <w:pPr>
        <w:pStyle w:val="Heading4"/>
        <w:numPr>
          <w:ilvl w:val="3"/>
          <w:numId w:val="5"/>
        </w:numPr>
      </w:pPr>
      <w:r>
        <w:t>Aged care policy</w:t>
      </w:r>
    </w:p>
    <w:p w:rsidR="007C6A5F" w:rsidRDefault="007C6A5F" w:rsidP="007C6A5F">
      <w:pPr>
        <w:pStyle w:val="BodyText"/>
      </w:pPr>
      <w:r>
        <w:t>A key focus of aged care reforms over recent years has been to improve support for people to remain at home for as long as possible.</w:t>
      </w:r>
      <w:r>
        <w:rPr>
          <w:rStyle w:val="FootnoteReference"/>
        </w:rPr>
        <w:footnoteReference w:id="55"/>
      </w:r>
      <w:r>
        <w:t xml:space="preserve"> This aligns with the preference of many older Australians, as well as having the potential to reduce the cost of care met by the Australian Government.</w:t>
      </w:r>
    </w:p>
    <w:p w:rsidR="007C6A5F" w:rsidRDefault="007C6A5F" w:rsidP="007C6A5F">
      <w:pPr>
        <w:pStyle w:val="Heading3"/>
        <w:numPr>
          <w:ilvl w:val="2"/>
          <w:numId w:val="5"/>
        </w:numPr>
      </w:pPr>
      <w:r>
        <w:t>Objectives of the proposed changes to the NCC</w:t>
      </w:r>
    </w:p>
    <w:p w:rsidR="007C6A5F" w:rsidRDefault="007C6A5F" w:rsidP="007C6A5F">
      <w:pPr>
        <w:pStyle w:val="BodyText"/>
      </w:pPr>
      <w:r>
        <w:t>ABCB’s Consultation Report notes that equity and fostering independence can both be considered as relevant objectives.</w:t>
      </w:r>
      <w:r>
        <w:rPr>
          <w:rStyle w:val="FootnoteReference"/>
        </w:rPr>
        <w:footnoteReference w:id="56"/>
      </w:r>
      <w:r>
        <w:t xml:space="preserve"> That said, there are a range of other policies in place that are already intended to address these objectives directly.</w:t>
      </w:r>
    </w:p>
    <w:p w:rsidR="007C6A5F" w:rsidRDefault="007C6A5F" w:rsidP="007C6A5F">
      <w:pPr>
        <w:pStyle w:val="BodyText"/>
      </w:pPr>
      <w:r>
        <w:t>Some stakeholders have also suggested that the objective is to ‘mainstream’ universal design principles. However, under the COAG RIS Guidelines, the objectives should not pre</w:t>
      </w:r>
      <w:r>
        <w:noBreakHyphen/>
        <w:t>justify a preferred solution.</w:t>
      </w:r>
      <w:r>
        <w:rPr>
          <w:rStyle w:val="FootnoteReference"/>
        </w:rPr>
        <w:footnoteReference w:id="57"/>
      </w:r>
    </w:p>
    <w:p w:rsidR="007C6A5F" w:rsidRPr="00503830" w:rsidRDefault="007C6A5F" w:rsidP="007C6A5F">
      <w:pPr>
        <w:pStyle w:val="BodyText"/>
      </w:pPr>
      <w:r>
        <w:lastRenderedPageBreak/>
        <w:t>Given that the proposal is based on universal design principles (that aims to meet the needs of the largest number of people), rather than the specific needs of people with disabilities, we propose an objective that applies more generally to the broader community, but is also specifically related to dwellings as follows.</w:t>
      </w:r>
    </w:p>
    <w:p w:rsidR="007C6A5F" w:rsidRPr="00634BB9" w:rsidRDefault="007C6A5F" w:rsidP="007C6A5F">
      <w:pPr>
        <w:pStyle w:val="KeyPoint"/>
      </w:pPr>
      <w:r w:rsidRPr="00634BB9">
        <w:t xml:space="preserve">To ensure that </w:t>
      </w:r>
      <w:r>
        <w:t xml:space="preserve">new </w:t>
      </w:r>
      <w:r w:rsidRPr="00634BB9">
        <w:t xml:space="preserve">housing is designed to meet the needs of the community, including older </w:t>
      </w:r>
      <w:r>
        <w:t>Australians</w:t>
      </w:r>
      <w:r w:rsidRPr="00634BB9">
        <w:t xml:space="preserve"> and </w:t>
      </w:r>
      <w:r>
        <w:t>others</w:t>
      </w:r>
      <w:r w:rsidRPr="00634BB9">
        <w:t xml:space="preserve"> with mobility</w:t>
      </w:r>
      <w:r>
        <w:t xml:space="preserve"> limitations</w:t>
      </w:r>
      <w:r w:rsidRPr="00634BB9">
        <w:t>.</w:t>
      </w:r>
    </w:p>
    <w:p w:rsidR="007C6A5F" w:rsidRDefault="007C6A5F" w:rsidP="007C6A5F">
      <w:pPr>
        <w:pStyle w:val="Heading2"/>
        <w:numPr>
          <w:ilvl w:val="1"/>
          <w:numId w:val="5"/>
        </w:numPr>
      </w:pPr>
      <w:bookmarkStart w:id="3637" w:name="_Toc32321754"/>
      <w:bookmarkStart w:id="3638" w:name="_Toc44598442"/>
      <w:bookmarkStart w:id="3639" w:name="_Toc45654073"/>
      <w:r>
        <w:t>Options</w:t>
      </w:r>
      <w:bookmarkEnd w:id="3637"/>
      <w:bookmarkEnd w:id="3638"/>
      <w:bookmarkEnd w:id="3639"/>
    </w:p>
    <w:p w:rsidR="007C6A5F" w:rsidRDefault="007C6A5F" w:rsidP="007C6A5F">
      <w:pPr>
        <w:pStyle w:val="BodyText"/>
      </w:pPr>
      <w:r>
        <w:t>The COAG Guidelines require that a RIS identifies a range of viable options including, as appropriate, non</w:t>
      </w:r>
      <w:r>
        <w:noBreakHyphen/>
        <w:t>regulatory, self</w:t>
      </w:r>
      <w:r>
        <w:noBreakHyphen/>
        <w:t>regulatory and co</w:t>
      </w:r>
      <w:r>
        <w:noBreakHyphen/>
        <w:t>regulatory options.</w:t>
      </w:r>
      <w:r>
        <w:rPr>
          <w:rStyle w:val="FootnoteReference"/>
        </w:rPr>
        <w:footnoteReference w:id="58"/>
      </w:r>
    </w:p>
    <w:p w:rsidR="007C6A5F" w:rsidRDefault="007C6A5F" w:rsidP="007C6A5F">
      <w:pPr>
        <w:pStyle w:val="Heading3"/>
        <w:numPr>
          <w:ilvl w:val="2"/>
          <w:numId w:val="5"/>
        </w:numPr>
      </w:pPr>
      <w:bookmarkStart w:id="3640" w:name="_Toc24977928"/>
      <w:r>
        <w:t>Options to include accessible housing standards in the NCC</w:t>
      </w:r>
      <w:bookmarkEnd w:id="3640"/>
    </w:p>
    <w:p w:rsidR="007C6A5F" w:rsidRDefault="007C6A5F" w:rsidP="007C6A5F">
      <w:pPr>
        <w:pStyle w:val="BodyText"/>
      </w:pPr>
      <w:r>
        <w:t>The proposed changes to the NCC are broadly based on the Livable Housing Design Guidelines produced by Livable Housing Australia, although there are some variations.</w:t>
      </w:r>
    </w:p>
    <w:p w:rsidR="007C6A5F" w:rsidRDefault="007C6A5F" w:rsidP="005A6F87">
      <w:pPr>
        <w:pStyle w:val="ListBullet"/>
        <w:numPr>
          <w:ilvl w:val="0"/>
          <w:numId w:val="17"/>
        </w:numPr>
      </w:pPr>
      <w:r>
        <w:t>Option 1 is based on the silver standard</w:t>
      </w:r>
    </w:p>
    <w:p w:rsidR="007C6A5F" w:rsidRDefault="007C6A5F" w:rsidP="005A6F87">
      <w:pPr>
        <w:pStyle w:val="ListBullet"/>
        <w:numPr>
          <w:ilvl w:val="0"/>
          <w:numId w:val="17"/>
        </w:numPr>
      </w:pPr>
      <w:r>
        <w:t>Option 2 is based on the gold standard</w:t>
      </w:r>
    </w:p>
    <w:p w:rsidR="007C6A5F" w:rsidRDefault="007C6A5F" w:rsidP="005A6F87">
      <w:pPr>
        <w:pStyle w:val="ListBullet"/>
        <w:numPr>
          <w:ilvl w:val="0"/>
          <w:numId w:val="17"/>
        </w:numPr>
      </w:pPr>
      <w:r>
        <w:t>Option 3 is based on the gold standard, with some additional features from the platinum standard.</w:t>
      </w:r>
    </w:p>
    <w:p w:rsidR="007C6A5F" w:rsidRDefault="007C6A5F" w:rsidP="007C6A5F">
      <w:pPr>
        <w:pStyle w:val="BodyText"/>
        <w:rPr>
          <w:lang w:bidi="fa-IR"/>
        </w:rPr>
      </w:pPr>
      <w:r>
        <w:rPr>
          <w:lang w:bidi="fa-IR"/>
        </w:rPr>
        <w:t>The proposed standards are summarised in table </w:t>
      </w:r>
      <w:r>
        <w:rPr>
          <w:lang w:bidi="fa-IR"/>
        </w:rPr>
        <w:fldChar w:fldCharType="begin"/>
      </w:r>
      <w:r>
        <w:rPr>
          <w:lang w:bidi="fa-IR"/>
        </w:rPr>
        <w:instrText xml:space="preserve"> REF _Caption3225 </w:instrText>
      </w:r>
      <w:r>
        <w:rPr>
          <w:lang w:bidi="fa-IR"/>
        </w:rPr>
        <w:fldChar w:fldCharType="separate"/>
      </w:r>
      <w:r>
        <w:rPr>
          <w:noProof/>
        </w:rPr>
        <w:t>3.1</w:t>
      </w:r>
      <w:r>
        <w:rPr>
          <w:lang w:bidi="fa-IR"/>
        </w:rPr>
        <w:fldChar w:fldCharType="end"/>
      </w:r>
      <w:r>
        <w:rPr>
          <w:lang w:bidi="fa-IR"/>
        </w:rPr>
        <w:t>. These options have been based on universal design principles, focusing mostly on design improvements that have broad benefits across many future residents (including future residents without a mobility</w:t>
      </w:r>
      <w:r>
        <w:rPr>
          <w:lang w:bidi="fa-IR"/>
        </w:rPr>
        <w:noBreakHyphen/>
        <w:t>related disability), rather than design features specific to those with a mobility</w:t>
      </w:r>
      <w:r>
        <w:rPr>
          <w:lang w:bidi="fa-IR"/>
        </w:rPr>
        <w:noBreakHyphen/>
        <w:t>related disability.</w:t>
      </w:r>
    </w:p>
    <w:p w:rsidR="007C6A5F" w:rsidRDefault="007C6A5F" w:rsidP="007C6A5F">
      <w:pPr>
        <w:pStyle w:val="BodyText"/>
        <w:rPr>
          <w:lang w:eastAsia="en-US" w:bidi="fa-IR"/>
        </w:rPr>
      </w:pPr>
      <w:r>
        <w:rPr>
          <w:lang w:eastAsia="en-US" w:bidi="fa-IR"/>
        </w:rPr>
        <w:t>These requirements would apply to all Class 1a (houses) and Class 2 (apartments) dwellings.</w:t>
      </w:r>
    </w:p>
    <w:p w:rsidR="007C6A5F" w:rsidRDefault="007C6A5F" w:rsidP="007C6A5F">
      <w:pPr>
        <w:pStyle w:val="Caption"/>
        <w:ind w:left="568" w:hanging="568"/>
        <w:rPr>
          <w:vertAlign w:val="superscript"/>
        </w:rPr>
      </w:pPr>
      <w:r>
        <w:fldChar w:fldCharType="begin"/>
      </w:r>
      <w:r>
        <w:instrText xml:space="preserve"> IF 1 = 1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Pr>
          <w:noProof/>
        </w:rPr>
        <w:instrText>3</w:instrText>
      </w:r>
      <w:r>
        <w:rPr>
          <w:noProof/>
        </w:rPr>
        <w:fldChar w:fldCharType="end"/>
      </w:r>
      <w:r>
        <w:instrText xml:space="preserve"> = 0 "" "</w:instrText>
      </w:r>
      <w:r>
        <w:rPr>
          <w:noProof/>
        </w:rPr>
        <w:fldChar w:fldCharType="begin"/>
      </w:r>
      <w:r>
        <w:rPr>
          <w:noProof/>
        </w:rPr>
        <w:instrText xml:space="preserve"> STYLEREF "Heading 1" \l \n </w:instrText>
      </w:r>
      <w:r>
        <w:rPr>
          <w:noProof/>
        </w:rPr>
        <w:fldChar w:fldCharType="separate"/>
      </w:r>
      <w:r>
        <w:rPr>
          <w:noProof/>
        </w:rPr>
        <w:instrText>3</w:instrText>
      </w:r>
      <w:r>
        <w:rPr>
          <w:noProof/>
        </w:rPr>
        <w:fldChar w:fldCharType="end"/>
      </w:r>
      <w:r>
        <w:instrText xml:space="preserve">." </w:instrText>
      </w:r>
      <w:r>
        <w:fldChar w:fldCharType="separate"/>
      </w:r>
      <w:r>
        <w:rPr>
          <w:noProof/>
        </w:rPr>
        <w:instrText>3.</w:instrText>
      </w:r>
      <w:r>
        <w:fldChar w:fldCharType="end"/>
      </w:r>
      <w:r>
        <w:instrText>" "</w:instrText>
      </w:r>
      <w:r w:rsidR="00F56BFF">
        <w:fldChar w:fldCharType="begin"/>
      </w:r>
      <w:r w:rsidR="00F56BFF">
        <w:instrText xml:space="preserve"> STYLEREF "Heading 6" \l \n </w:instrText>
      </w:r>
      <w:r w:rsidR="00F56BFF">
        <w:fldChar w:fldCharType="separate"/>
      </w:r>
      <w:r>
        <w:instrText>B</w:instrText>
      </w:r>
      <w:r w:rsidR="00F56BFF">
        <w:fldChar w:fldCharType="end"/>
      </w:r>
      <w:r>
        <w:instrText xml:space="preserve">." </w:instrText>
      </w:r>
      <w:r>
        <w:fldChar w:fldCharType="separate"/>
      </w:r>
      <w:r w:rsidR="00272AF3">
        <w:rPr>
          <w:noProof/>
        </w:rPr>
        <w:instrText>3.</w:instrText>
      </w:r>
      <w:r>
        <w:fldChar w:fldCharType="end"/>
      </w:r>
      <w:r>
        <w:fldChar w:fldCharType="begin"/>
      </w:r>
      <w:r>
        <w:instrText xml:space="preserve"> SEQ Item \* ARABIC \s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Pr>
          <w:noProof/>
        </w:rPr>
        <w:instrText>3</w:instrText>
      </w:r>
      <w:r>
        <w:rPr>
          <w:noProof/>
        </w:rPr>
        <w:fldChar w:fldCharType="end"/>
      </w:r>
      <w:r>
        <w:instrText xml:space="preserve"> = 0 "" "1" </w:instrText>
      </w:r>
      <w:r>
        <w:fldChar w:fldCharType="separate"/>
      </w:r>
      <w:r w:rsidR="00272AF3">
        <w:rPr>
          <w:noProof/>
        </w:rPr>
        <w:instrText>1</w:instrText>
      </w:r>
      <w:r>
        <w:fldChar w:fldCharType="end"/>
      </w:r>
      <w:r>
        <w:instrText xml:space="preserve">" "6" </w:instrText>
      </w:r>
      <w:r>
        <w:fldChar w:fldCharType="separate"/>
      </w:r>
      <w:r w:rsidR="00272AF3">
        <w:rPr>
          <w:noProof/>
        </w:rPr>
        <w:instrText>1</w:instrText>
      </w:r>
      <w:r>
        <w:fldChar w:fldCharType="end"/>
      </w:r>
      <w:r>
        <w:instrText xml:space="preserve"> </w:instrText>
      </w:r>
      <w:r>
        <w:fldChar w:fldCharType="separate"/>
      </w:r>
      <w:r>
        <w:rPr>
          <w:noProof/>
        </w:rPr>
        <w:instrText>1</w:instrText>
      </w:r>
      <w:r>
        <w:fldChar w:fldCharType="end"/>
      </w:r>
      <w:r>
        <w:instrText xml:space="preserve">" "" </w:instrText>
      </w:r>
      <w:r>
        <w:fldChar w:fldCharType="separate"/>
      </w:r>
      <w:bookmarkStart w:id="3641" w:name="_Caption6126"/>
      <w:bookmarkStart w:id="3642" w:name="_Caption3158"/>
      <w:bookmarkStart w:id="3643" w:name="_Caption6833"/>
      <w:bookmarkStart w:id="3644" w:name="_Caption4758"/>
      <w:bookmarkStart w:id="3645" w:name="_Caption4911"/>
      <w:bookmarkStart w:id="3646" w:name="_Caption5798"/>
      <w:bookmarkStart w:id="3647" w:name="_Caption1618"/>
      <w:bookmarkStart w:id="3648" w:name="_Caption5026"/>
      <w:bookmarkStart w:id="3649" w:name="_Caption8840"/>
      <w:bookmarkStart w:id="3650" w:name="_Caption1455"/>
      <w:bookmarkStart w:id="3651" w:name="_Caption4507"/>
      <w:bookmarkStart w:id="3652" w:name="_Caption3487"/>
      <w:bookmarkStart w:id="3653" w:name="_Caption1083"/>
      <w:bookmarkStart w:id="3654" w:name="_Caption3686"/>
      <w:bookmarkStart w:id="3655" w:name="_Caption7549"/>
      <w:bookmarkStart w:id="3656" w:name="_Caption3173"/>
      <w:bookmarkStart w:id="3657" w:name="_Caption4601"/>
      <w:bookmarkStart w:id="3658" w:name="_Caption7166"/>
      <w:bookmarkStart w:id="3659" w:name="_Caption4398"/>
      <w:bookmarkStart w:id="3660" w:name="_Caption8853"/>
      <w:bookmarkStart w:id="3661" w:name="_Caption9162"/>
      <w:bookmarkStart w:id="3662" w:name="_Caption5257"/>
      <w:bookmarkStart w:id="3663" w:name="_Caption8755"/>
      <w:bookmarkStart w:id="3664" w:name="_Caption2384"/>
      <w:bookmarkStart w:id="3665" w:name="_Caption1435"/>
      <w:bookmarkStart w:id="3666" w:name="_Caption3490"/>
      <w:bookmarkStart w:id="3667" w:name="_Caption9739"/>
      <w:bookmarkStart w:id="3668" w:name="_Caption1720"/>
      <w:bookmarkStart w:id="3669" w:name="_Caption6014"/>
      <w:bookmarkStart w:id="3670" w:name="_Caption1985"/>
      <w:bookmarkStart w:id="3671" w:name="_Caption3695"/>
      <w:bookmarkStart w:id="3672" w:name="_Caption9026"/>
      <w:bookmarkStart w:id="3673" w:name="_Caption7178"/>
      <w:bookmarkStart w:id="3674" w:name="_Caption4977"/>
      <w:bookmarkStart w:id="3675" w:name="_Caption7144"/>
      <w:bookmarkStart w:id="3676" w:name="_Caption2325"/>
      <w:bookmarkStart w:id="3677" w:name="_Caption0865"/>
      <w:bookmarkStart w:id="3678" w:name="_Caption5516"/>
      <w:bookmarkStart w:id="3679" w:name="_Caption6798"/>
      <w:bookmarkStart w:id="3680" w:name="_Caption0789"/>
      <w:bookmarkStart w:id="3681" w:name="_Caption2186"/>
      <w:bookmarkStart w:id="3682" w:name="_Caption0737"/>
      <w:bookmarkStart w:id="3683" w:name="_Caption9280"/>
      <w:bookmarkStart w:id="3684" w:name="_Caption7816"/>
      <w:bookmarkStart w:id="3685" w:name="_Caption2458"/>
      <w:bookmarkStart w:id="3686" w:name="_Caption8823"/>
      <w:bookmarkStart w:id="3687" w:name="_Caption1274"/>
      <w:bookmarkStart w:id="3688" w:name="_Caption6652"/>
      <w:bookmarkStart w:id="3689" w:name="_Caption9058"/>
      <w:bookmarkStart w:id="3690" w:name="_Caption9466"/>
      <w:bookmarkStart w:id="3691" w:name="_Caption0559"/>
      <w:bookmarkStart w:id="3692" w:name="_Caption3339"/>
      <w:bookmarkStart w:id="3693" w:name="_Caption2924"/>
      <w:bookmarkStart w:id="3694" w:name="_Caption1765"/>
      <w:bookmarkStart w:id="3695" w:name="_Caption8750"/>
      <w:bookmarkStart w:id="3696" w:name="_Caption9291"/>
      <w:bookmarkStart w:id="3697" w:name="_Caption3225"/>
      <w:bookmarkStart w:id="3698" w:name="_Caption6954"/>
      <w:bookmarkStart w:id="3699" w:name="_Caption4824"/>
      <w:bookmarkStart w:id="3700" w:name="_Caption0760"/>
      <w:bookmarkStart w:id="3701" w:name="_Caption1173"/>
      <w:bookmarkStart w:id="3702" w:name="_Caption5676"/>
      <w:bookmarkStart w:id="3703" w:name="_Caption9419"/>
      <w:bookmarkStart w:id="3704" w:name="_Caption4287"/>
      <w:bookmarkStart w:id="3705" w:name="_Caption3677"/>
      <w:bookmarkStart w:id="3706" w:name="_Caption7614"/>
      <w:bookmarkStart w:id="3707" w:name="_Caption4665"/>
      <w:bookmarkStart w:id="3708" w:name="_Caption8470"/>
      <w:bookmarkStart w:id="3709" w:name="_Caption5768"/>
      <w:bookmarkStart w:id="3710" w:name="_Caption5469"/>
      <w:bookmarkStart w:id="3711" w:name="_Caption7313"/>
      <w:bookmarkStart w:id="3712" w:name="_Caption8072"/>
      <w:bookmarkStart w:id="3713" w:name="_Caption4760"/>
      <w:bookmarkStart w:id="3714" w:name="_Caption5947"/>
      <w:bookmarkStart w:id="3715" w:name="_Caption5699"/>
      <w:bookmarkStart w:id="3716" w:name="_Caption5597"/>
      <w:bookmarkStart w:id="3717" w:name="_Caption7866"/>
      <w:bookmarkStart w:id="3718" w:name="_Caption5586"/>
      <w:bookmarkStart w:id="3719" w:name="_Caption7763"/>
      <w:bookmarkStart w:id="3720" w:name="_Caption1232"/>
      <w:bookmarkStart w:id="3721" w:name="_Caption0341"/>
      <w:bookmarkStart w:id="3722" w:name="_Caption0791"/>
      <w:bookmarkStart w:id="3723" w:name="_Caption1152"/>
      <w:bookmarkStart w:id="3724" w:name="_Caption2544"/>
      <w:bookmarkStart w:id="3725" w:name="_Caption8063"/>
      <w:bookmarkStart w:id="3726" w:name="_Caption9010"/>
      <w:bookmarkStart w:id="3727" w:name="_Caption7526"/>
      <w:bookmarkStart w:id="3728" w:name="_Caption2603"/>
      <w:bookmarkStart w:id="3729" w:name="_Caption0377"/>
      <w:bookmarkStart w:id="3730" w:name="_Caption8828"/>
      <w:bookmarkStart w:id="3731" w:name="_Caption9283"/>
      <w:bookmarkStart w:id="3732" w:name="_Caption1990"/>
      <w:bookmarkStart w:id="3733" w:name="_Caption3560"/>
      <w:bookmarkStart w:id="3734" w:name="_Caption1334"/>
      <w:bookmarkStart w:id="3735" w:name="_Caption0278"/>
      <w:bookmarkStart w:id="3736" w:name="_Caption5410"/>
      <w:bookmarkStart w:id="3737" w:name="_Caption3772"/>
      <w:bookmarkStart w:id="3738" w:name="_Caption1339"/>
      <w:bookmarkStart w:id="3739" w:name="_Caption4454"/>
      <w:bookmarkStart w:id="3740" w:name="_Caption9662"/>
      <w:bookmarkStart w:id="3741" w:name="_Caption5753"/>
      <w:bookmarkStart w:id="3742" w:name="_Caption4478"/>
      <w:bookmarkStart w:id="3743" w:name="_Caption7680"/>
      <w:bookmarkStart w:id="3744" w:name="_Caption8559"/>
      <w:bookmarkStart w:id="3745" w:name="_Caption9158"/>
      <w:bookmarkStart w:id="3746" w:name="_Caption4258"/>
      <w:bookmarkStart w:id="3747" w:name="_Caption5228"/>
      <w:bookmarkStart w:id="3748" w:name="_Caption6094"/>
      <w:bookmarkStart w:id="3749" w:name="_Caption0458"/>
      <w:bookmarkStart w:id="3750" w:name="_Caption4060"/>
      <w:bookmarkStart w:id="3751" w:name="_Caption7084"/>
      <w:bookmarkStart w:id="3752" w:name="_Caption0538"/>
      <w:bookmarkStart w:id="3753" w:name="_Caption7722"/>
      <w:bookmarkStart w:id="3754" w:name="_Caption6882"/>
      <w:bookmarkStart w:id="3755" w:name="_Caption2560"/>
      <w:bookmarkStart w:id="3756" w:name="_Caption1390"/>
      <w:bookmarkStart w:id="3757" w:name="_Caption1107"/>
      <w:bookmarkStart w:id="3758" w:name="_Caption7622"/>
      <w:bookmarkStart w:id="3759" w:name="_Caption4615"/>
      <w:bookmarkStart w:id="3760" w:name="_Caption5009"/>
      <w:bookmarkStart w:id="3761" w:name="_Caption8952"/>
      <w:bookmarkStart w:id="3762" w:name="_Caption8870"/>
      <w:bookmarkStart w:id="3763" w:name="_Caption4945"/>
      <w:bookmarkStart w:id="3764" w:name="_Caption7187"/>
      <w:bookmarkStart w:id="3765" w:name="_Caption3842"/>
      <w:bookmarkStart w:id="3766" w:name="_Caption6384"/>
      <w:bookmarkStart w:id="3767" w:name="_Caption5183"/>
      <w:bookmarkStart w:id="3768" w:name="_Caption4901"/>
      <w:bookmarkStart w:id="3769" w:name="_Caption0683"/>
      <w:bookmarkStart w:id="3770" w:name="_Caption8689"/>
      <w:bookmarkStart w:id="3771" w:name="_Caption5957"/>
      <w:bookmarkStart w:id="3772" w:name="_Caption4177"/>
      <w:bookmarkStart w:id="3773" w:name="_Caption0516"/>
      <w:bookmarkStart w:id="3774" w:name="_Caption0923"/>
      <w:bookmarkStart w:id="3775" w:name="_Caption1886"/>
      <w:bookmarkStart w:id="3776" w:name="_Caption2876"/>
      <w:bookmarkStart w:id="3777" w:name="_Caption2844"/>
      <w:bookmarkStart w:id="3778" w:name="_Caption0862"/>
      <w:bookmarkStart w:id="3779" w:name="_Caption1974"/>
      <w:bookmarkStart w:id="3780" w:name="_Caption3362"/>
      <w:bookmarkStart w:id="3781" w:name="_Caption1027"/>
      <w:bookmarkStart w:id="3782" w:name="_Caption0979"/>
      <w:bookmarkStart w:id="3783" w:name="_Caption3476"/>
      <w:bookmarkStart w:id="3784" w:name="_Caption0621"/>
      <w:bookmarkStart w:id="3785" w:name="_Caption8117"/>
      <w:bookmarkStart w:id="3786" w:name="_Caption9548"/>
      <w:bookmarkStart w:id="3787" w:name="_Caption7005"/>
      <w:bookmarkStart w:id="3788" w:name="_Caption5822"/>
      <w:bookmarkStart w:id="3789" w:name="_Toc24977957"/>
      <w:bookmarkStart w:id="3790" w:name="_Toc32321819"/>
      <w:bookmarkStart w:id="3791" w:name="_Toc44598516"/>
      <w:bookmarkStart w:id="3792" w:name="_Toc45654147"/>
      <w:r w:rsidR="00272AF3">
        <w:rPr>
          <w:noProof/>
        </w:rPr>
        <w:t>3.1</w:t>
      </w:r>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r>
        <w:fldChar w:fldCharType="end"/>
      </w:r>
      <w:r>
        <w:tab/>
        <w:t>Key requirements to be added to NCC</w:t>
      </w:r>
      <w:r>
        <w:rPr>
          <w:rStyle w:val="NoteLabel"/>
        </w:rPr>
        <w:t xml:space="preserve"> </w:t>
      </w:r>
      <w:r>
        <w:t>under different stringency options considered by ABCB</w:t>
      </w:r>
      <w:bookmarkEnd w:id="3789"/>
      <w:bookmarkEnd w:id="3790"/>
      <w:bookmarkEnd w:id="3791"/>
      <w:bookmarkEnd w:id="3792"/>
    </w:p>
    <w:tbl>
      <w:tblPr>
        <w:tblStyle w:val="TableGridLight"/>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3.1"/>
        <w:tblDescription w:val="Key requirements to be added to NCC under different stringency options considered by ABCB"/>
      </w:tblPr>
      <w:tblGrid>
        <w:gridCol w:w="1982"/>
        <w:gridCol w:w="1984"/>
        <w:gridCol w:w="1984"/>
        <w:gridCol w:w="1985"/>
      </w:tblGrid>
      <w:tr w:rsidR="007C6A5F" w:rsidTr="005A05FE">
        <w:trPr>
          <w:tblHeader/>
        </w:trPr>
        <w:tc>
          <w:tcPr>
            <w:tcW w:w="1982" w:type="dxa"/>
            <w:tcBorders>
              <w:bottom w:val="single" w:sz="8" w:space="0" w:color="FFFFFF" w:themeColor="background1"/>
            </w:tcBorders>
            <w:shd w:val="clear" w:color="auto" w:fill="6F6652" w:themeFill="accent5"/>
            <w:hideMark/>
          </w:tcPr>
          <w:p w:rsidR="007C6A5F" w:rsidRDefault="007C6A5F" w:rsidP="0074529F">
            <w:pPr>
              <w:pStyle w:val="TableTextColumnHeading"/>
              <w:rPr>
                <w:lang w:bidi="fa-IR"/>
              </w:rPr>
            </w:pPr>
            <w:r>
              <w:rPr>
                <w:lang w:bidi="fa-IR"/>
              </w:rPr>
              <w:t>Required element</w:t>
            </w:r>
          </w:p>
        </w:tc>
        <w:tc>
          <w:tcPr>
            <w:tcW w:w="1984" w:type="dxa"/>
            <w:tcBorders>
              <w:bottom w:val="single" w:sz="8" w:space="0" w:color="FFFFFF" w:themeColor="background1"/>
            </w:tcBorders>
            <w:shd w:val="clear" w:color="auto" w:fill="6F6652" w:themeFill="accent5"/>
            <w:hideMark/>
          </w:tcPr>
          <w:p w:rsidR="007C6A5F" w:rsidRDefault="007C6A5F" w:rsidP="00C36DA4">
            <w:pPr>
              <w:pStyle w:val="TableTextColumnHeading"/>
              <w:rPr>
                <w:lang w:bidi="fa-IR"/>
              </w:rPr>
            </w:pPr>
            <w:r>
              <w:rPr>
                <w:lang w:bidi="fa-IR"/>
              </w:rPr>
              <w:t xml:space="preserve">Option 1: </w:t>
            </w:r>
          </w:p>
        </w:tc>
        <w:tc>
          <w:tcPr>
            <w:tcW w:w="1984" w:type="dxa"/>
            <w:tcBorders>
              <w:bottom w:val="single" w:sz="8" w:space="0" w:color="FFFFFF" w:themeColor="background1"/>
            </w:tcBorders>
            <w:shd w:val="clear" w:color="auto" w:fill="6F6652" w:themeFill="accent5"/>
            <w:hideMark/>
          </w:tcPr>
          <w:p w:rsidR="007C6A5F" w:rsidRDefault="007C6A5F" w:rsidP="00C36DA4">
            <w:pPr>
              <w:pStyle w:val="TableTextColumnHeading"/>
              <w:rPr>
                <w:lang w:bidi="fa-IR"/>
              </w:rPr>
            </w:pPr>
            <w:r>
              <w:rPr>
                <w:lang w:bidi="fa-IR"/>
              </w:rPr>
              <w:t>Option 2:</w:t>
            </w:r>
          </w:p>
        </w:tc>
        <w:tc>
          <w:tcPr>
            <w:tcW w:w="1985" w:type="dxa"/>
            <w:tcBorders>
              <w:bottom w:val="single" w:sz="8" w:space="0" w:color="FFFFFF" w:themeColor="background1"/>
            </w:tcBorders>
            <w:shd w:val="clear" w:color="auto" w:fill="6F6652" w:themeFill="accent5"/>
            <w:hideMark/>
          </w:tcPr>
          <w:p w:rsidR="007C6A5F" w:rsidRDefault="007C6A5F" w:rsidP="00C36DA4">
            <w:pPr>
              <w:pStyle w:val="TableTextColumnHeading"/>
              <w:rPr>
                <w:lang w:bidi="fa-IR"/>
              </w:rPr>
            </w:pPr>
            <w:r>
              <w:rPr>
                <w:lang w:bidi="fa-IR"/>
              </w:rPr>
              <w:t>Option 3</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Dwelling access: option A</w:t>
            </w:r>
          </w:p>
          <w:p w:rsidR="007C6A5F" w:rsidRDefault="007C6A5F" w:rsidP="0074529F">
            <w:pPr>
              <w:pStyle w:val="TableTextEntries"/>
              <w:rPr>
                <w:i/>
                <w:lang w:bidi="fa-IR"/>
              </w:rPr>
            </w:pPr>
            <w:r>
              <w:rPr>
                <w:i/>
                <w:lang w:bidi="fa-IR"/>
              </w:rPr>
              <w:t>OR</w:t>
            </w:r>
          </w:p>
          <w:p w:rsidR="007C6A5F" w:rsidRDefault="007C6A5F" w:rsidP="0074529F">
            <w:pPr>
              <w:pStyle w:val="TableTextEntries"/>
              <w:rPr>
                <w:lang w:bidi="fa-IR"/>
              </w:rPr>
            </w:pP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Step-free access from the allotment boundary, an associated class 1a building or at least one car-parking space provided for the exclusive use of the dwelling</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Step-free access from the allotment boundary, an associated class 1a building or at least one car-parking space provided for the exclusive use of the dwelling</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Step-free access from the allotment boundary, an associated class 1a building or at least one car-parking space provided for the exclusive use of the dwelling</w:t>
            </w:r>
          </w:p>
        </w:tc>
      </w:tr>
      <w:tr w:rsidR="003A3CDF" w:rsidTr="003609F2">
        <w:tc>
          <w:tcPr>
            <w:tcW w:w="1982" w:type="dxa"/>
            <w:tcBorders>
              <w:top w:val="single" w:sz="8" w:space="0" w:color="FFFFFF" w:themeColor="background1"/>
              <w:bottom w:val="single" w:sz="8" w:space="0" w:color="FFFFFF" w:themeColor="background1"/>
            </w:tcBorders>
            <w:shd w:val="clear" w:color="auto" w:fill="E9E8E5" w:themeFill="background2"/>
            <w:hideMark/>
          </w:tcPr>
          <w:p w:rsidR="003A3CDF" w:rsidRDefault="003A3CDF" w:rsidP="0074529F">
            <w:pPr>
              <w:pStyle w:val="TableTextEntries"/>
              <w:rPr>
                <w:i/>
                <w:lang w:bidi="fa-IR"/>
              </w:rPr>
            </w:pPr>
            <w:r>
              <w:rPr>
                <w:i/>
                <w:lang w:bidi="fa-IR"/>
              </w:rPr>
              <w:lastRenderedPageBreak/>
              <w:t>Cases where new dwellings are not required to have step-free access</w:t>
            </w:r>
          </w:p>
          <w:p w:rsidR="003A3CDF" w:rsidRDefault="003A3CDF" w:rsidP="0074529F">
            <w:pPr>
              <w:pStyle w:val="TableTextEntries"/>
              <w:rPr>
                <w:i/>
                <w:lang w:bidi="fa-IR"/>
              </w:rPr>
            </w:pPr>
            <w:r>
              <w:rPr>
                <w:i/>
                <w:lang w:bidi="fa-IR"/>
              </w:rPr>
              <w:t>OR</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3A3CDF" w:rsidRDefault="003A3CDF" w:rsidP="00C36DA4">
            <w:pPr>
              <w:pStyle w:val="TableTextEntries"/>
              <w:rPr>
                <w:i/>
                <w:lang w:bidi="fa-IR"/>
              </w:rPr>
            </w:pPr>
            <w:r>
              <w:rPr>
                <w:i/>
                <w:lang w:bidi="fa-IR"/>
              </w:rPr>
              <w:t>There are various exclusions, where new dwellings are not required to have step free access; these are described in a separate section (below); further, ABCB are allowing for the possibility the requirement may be made less stringent from ‘step free’ to ‘not more than one step’ (we are calling this option B)</w:t>
            </w:r>
          </w:p>
        </w:tc>
        <w:tc>
          <w:tcPr>
            <w:tcW w:w="1984" w:type="dxa"/>
            <w:tcBorders>
              <w:top w:val="single" w:sz="8" w:space="0" w:color="FFFFFF" w:themeColor="background1"/>
              <w:bottom w:val="single" w:sz="8" w:space="0" w:color="FFFFFF" w:themeColor="background1"/>
            </w:tcBorders>
            <w:shd w:val="clear" w:color="auto" w:fill="E9E8E5" w:themeFill="background2"/>
          </w:tcPr>
          <w:p w:rsidR="003A3CDF" w:rsidRDefault="003A3CDF" w:rsidP="00C36DA4">
            <w:pPr>
              <w:pStyle w:val="TableTextEntries"/>
              <w:rPr>
                <w:i/>
                <w:lang w:bidi="fa-IR"/>
              </w:rPr>
            </w:pPr>
            <w:r>
              <w:rPr>
                <w:i/>
                <w:lang w:bidi="fa-IR"/>
              </w:rPr>
              <w:t>There are various exclusions, where new dwellings are not required to have step free access; these are described in a separate section (below); further, ABCB are allowing for the possibility the requirement may be made less stringent from ‘step free’ to ‘not more than one step’ (we are calling this option B)</w:t>
            </w:r>
          </w:p>
        </w:tc>
        <w:tc>
          <w:tcPr>
            <w:tcW w:w="1985" w:type="dxa"/>
            <w:tcBorders>
              <w:top w:val="single" w:sz="8" w:space="0" w:color="FFFFFF" w:themeColor="background1"/>
              <w:bottom w:val="single" w:sz="8" w:space="0" w:color="FFFFFF" w:themeColor="background1"/>
            </w:tcBorders>
            <w:shd w:val="clear" w:color="auto" w:fill="E9E8E5" w:themeFill="background2"/>
          </w:tcPr>
          <w:p w:rsidR="003A3CDF" w:rsidRDefault="003A3CDF" w:rsidP="00C36DA4">
            <w:pPr>
              <w:pStyle w:val="TableTextEntries"/>
              <w:rPr>
                <w:i/>
                <w:lang w:bidi="fa-IR"/>
              </w:rPr>
            </w:pPr>
            <w:r>
              <w:rPr>
                <w:i/>
                <w:lang w:bidi="fa-IR"/>
              </w:rPr>
              <w:t>There are various exclusions, where new dwellings are not required to have step free access; these are described in a separate section (below); further, ABCB are allowing for the possibility the requirement may be made less stringent from ‘step free’ to ‘not more than one step’ (we are calling this option B)</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74529F">
            <w:pPr>
              <w:pStyle w:val="TableTextEntries"/>
              <w:rPr>
                <w:lang w:bidi="fa-IR"/>
              </w:rPr>
            </w:pPr>
            <w:r>
              <w:rPr>
                <w:lang w:bidi="fa-IR"/>
              </w:rPr>
              <w:t>Dwelling access: option B (less stringent requirement)</w:t>
            </w:r>
          </w:p>
          <w:p w:rsidR="007C6A5F" w:rsidRPr="00F36A14" w:rsidRDefault="007C6A5F" w:rsidP="0074529F">
            <w:pPr>
              <w:pStyle w:val="TableTextEntries"/>
              <w:rPr>
                <w:i/>
                <w:lang w:bidi="fa-IR"/>
              </w:rPr>
            </w:pPr>
            <w:r w:rsidRPr="00F36A14">
              <w:rPr>
                <w:i/>
                <w:lang w:bidi="fa-IR"/>
              </w:rPr>
              <w:t>AND</w:t>
            </w:r>
          </w:p>
        </w:tc>
        <w:tc>
          <w:tcPr>
            <w:tcW w:w="19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Access with not more than one step from allotment boundary, an associated class 1a building or at least one car-parking space provided for the exclusive use of the dwelling</w:t>
            </w:r>
          </w:p>
        </w:tc>
        <w:tc>
          <w:tcPr>
            <w:tcW w:w="19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Access with not more than one step from allotment boundary, an associated class 1a building or at least one car-parking space provided for the exclusive use of the dwelling</w:t>
            </w:r>
          </w:p>
        </w:tc>
        <w:tc>
          <w:tcPr>
            <w:tcW w:w="198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Access with not more than one step from allotment boundary, an associated class 1a building or at least one car-parking space provided for the exclusive use of the dwelling</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Width of access path</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1000mm</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1100mm</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1100m</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Ramp lengths</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9m (1:14 ramp), 15m (1:20 ramp)</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9m (1:14 ramp), 15m (1:20 ramp)</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9m (1:14 ramp), 15m (1:20 ramp)</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Entry to dwelling</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At least one step-free entrance door</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At least one step-free entrance door</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At least one step-free entrance door</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Clear opening width of entry door</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800mm</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850mm</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850mm</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Max. transition/threshold height of abutting surfaces</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5mm</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5mm</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5mm</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Clear opening width of internal doors</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820mm</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850mm</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850mm</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Width of internal corridors</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1000mm</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1200mm</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1200mm</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Required toilet location</w:t>
            </w:r>
            <w:r w:rsidRPr="00B46BCC">
              <w:rPr>
                <w:rStyle w:val="NoteLabel"/>
                <w:color w:val="000000" w:themeColor="text1"/>
              </w:rPr>
              <w:t>a</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Ground floor or entry level</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rPr>
                <w:rFonts w:ascii="Franklin Gothic Book" w:eastAsia="Times New Roman" w:hAnsi="Franklin Gothic Book"/>
                <w:sz w:val="16"/>
                <w:szCs w:val="18"/>
                <w:lang w:eastAsia="en-US" w:bidi="fa-IR"/>
              </w:rPr>
            </w:pPr>
            <w:r>
              <w:rPr>
                <w:rFonts w:ascii="Franklin Gothic Book" w:eastAsia="Times New Roman" w:hAnsi="Franklin Gothic Book"/>
                <w:sz w:val="16"/>
                <w:szCs w:val="18"/>
                <w:lang w:eastAsia="en-US" w:bidi="fa-IR"/>
              </w:rPr>
              <w:t>Ground floor or entry level</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rPr>
                <w:rFonts w:ascii="Franklin Gothic Book" w:eastAsia="Times New Roman" w:hAnsi="Franklin Gothic Book"/>
                <w:sz w:val="16"/>
                <w:szCs w:val="18"/>
                <w:lang w:eastAsia="en-US" w:bidi="fa-IR"/>
              </w:rPr>
            </w:pPr>
            <w:r>
              <w:rPr>
                <w:rFonts w:ascii="Franklin Gothic Book" w:eastAsia="Times New Roman" w:hAnsi="Franklin Gothic Book"/>
                <w:sz w:val="16"/>
                <w:szCs w:val="18"/>
                <w:lang w:eastAsia="en-US" w:bidi="fa-IR"/>
              </w:rPr>
              <w:t>Ground floor or entry level</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Circulation space between front edge of toilet and arc of door</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1200mm</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1200mm</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1200mm</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Walls either side of closet toilet</w:t>
            </w:r>
            <w:r w:rsidRPr="00B46BCC">
              <w:rPr>
                <w:rStyle w:val="NoteLabel"/>
                <w:color w:val="000000" w:themeColor="text1"/>
              </w:rPr>
              <w:t xml:space="preserve"> a</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900mm</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1200mm</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1200mm</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Location of toilet, where it is combined with bathroom</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Corner</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Corner</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Corner</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Required shower location</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rPr>
                <w:rFonts w:ascii="Franklin Gothic Book" w:eastAsia="Times New Roman" w:hAnsi="Franklin Gothic Book"/>
                <w:sz w:val="16"/>
                <w:szCs w:val="18"/>
                <w:lang w:eastAsia="en-US" w:bidi="fa-IR"/>
              </w:rPr>
            </w:pPr>
            <w:r>
              <w:rPr>
                <w:rFonts w:ascii="Franklin Gothic Book" w:eastAsia="Times New Roman" w:hAnsi="Franklin Gothic Book"/>
                <w:sz w:val="16"/>
                <w:szCs w:val="18"/>
                <w:lang w:eastAsia="en-US" w:bidi="fa-IR"/>
              </w:rPr>
              <w:t>Ground floor or entry level</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rPr>
                <w:rFonts w:ascii="Franklin Gothic Book" w:eastAsia="Times New Roman" w:hAnsi="Franklin Gothic Book"/>
                <w:sz w:val="16"/>
                <w:szCs w:val="18"/>
                <w:lang w:eastAsia="en-US" w:bidi="fa-IR"/>
              </w:rPr>
            </w:pPr>
            <w:r>
              <w:rPr>
                <w:rFonts w:ascii="Franklin Gothic Book" w:eastAsia="Times New Roman" w:hAnsi="Franklin Gothic Book"/>
                <w:sz w:val="16"/>
                <w:szCs w:val="18"/>
                <w:lang w:eastAsia="en-US" w:bidi="fa-IR"/>
              </w:rPr>
              <w:t>Ground floor or entry level</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Shower design</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 xml:space="preserve">Removable shower screen, flat entry </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Removable shower screen, flat entry</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Removable shower screen, flat entry</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Minimum size of shower</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vertAlign w:val="superscript"/>
                <w:lang w:bidi="fa-IR"/>
              </w:rPr>
            </w:pPr>
            <w:r>
              <w:rPr>
                <w:lang w:bidi="fa-IR"/>
              </w:rPr>
              <w:t>Recess of 900 mm</w:t>
            </w:r>
            <w:r>
              <w:rPr>
                <w:vertAlign w:val="superscript"/>
                <w:lang w:bidi="fa-IR"/>
              </w:rPr>
              <w:t>2</w:t>
            </w:r>
            <w:r>
              <w:rPr>
                <w:lang w:bidi="fa-IR"/>
              </w:rPr>
              <w:t>, with adjacent space of 900 mm</w:t>
            </w:r>
            <w:r>
              <w:rPr>
                <w:vertAlign w:val="superscript"/>
                <w:lang w:bidi="fa-IR"/>
              </w:rPr>
              <w:t>2</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Recess of 900mm</w:t>
            </w:r>
            <w:r>
              <w:rPr>
                <w:vertAlign w:val="superscript"/>
                <w:lang w:bidi="fa-IR"/>
              </w:rPr>
              <w:t>2</w:t>
            </w:r>
            <w:r>
              <w:rPr>
                <w:lang w:bidi="fa-IR"/>
              </w:rPr>
              <w:t>, with adjacent space of 1200mm</w:t>
            </w:r>
            <w:r>
              <w:rPr>
                <w:vertAlign w:val="superscript"/>
                <w:lang w:bidi="fa-IR"/>
              </w:rPr>
              <w:t>2</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lastRenderedPageBreak/>
              <w:t>Construction of toilet &amp; bathroom walls</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So as to enable future installation of grabrails in a way that min. removal of existing linings (specific requirements noted)</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So as to enable future installation of grabrails in a way that min. removal of existing linings (specific requirements noted)</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So as to enable future installation of grabrails in a way that min. removal of existing linings (specific requirements noted)</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Internal stairways</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jc w:val="center"/>
              <w:rPr>
                <w:lang w:bidi="fa-IR"/>
              </w:rPr>
            </w:pPr>
            <w:r>
              <w:rPr>
                <w:lang w:bidi="fa-IR"/>
              </w:rPr>
              <w:t>-</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 xml:space="preserve">No winders in lieu of landing, adjacent to </w:t>
            </w:r>
            <w:r w:rsidRPr="003404BB">
              <w:rPr>
                <w:lang w:bidi="fa-IR"/>
              </w:rPr>
              <w:t>wall capable of supporting a handrail</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 xml:space="preserve">No winders in lieu of landing, adjacent to </w:t>
            </w:r>
            <w:r w:rsidRPr="003404BB">
              <w:rPr>
                <w:lang w:bidi="fa-IR"/>
              </w:rPr>
              <w:t>wall capable of supporting a handrail</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Clearance in front of fixed benches and appliances (ex handles) in kitchen</w:t>
            </w:r>
          </w:p>
        </w:tc>
        <w:tc>
          <w:tcPr>
            <w:tcW w:w="19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jc w:val="center"/>
              <w:rPr>
                <w:lang w:bidi="fa-IR"/>
              </w:rPr>
            </w:pP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1200mm</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1500mm</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Clearance in front of basin, fixed benches and app. (ex handles) in laundry</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jc w:val="center"/>
              <w:rPr>
                <w:lang w:bidi="fa-IR"/>
              </w:rPr>
            </w:pPr>
            <w:r>
              <w:rPr>
                <w:lang w:bidi="fa-IR"/>
              </w:rPr>
              <w:t>-</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1200mm</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1550mm</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Space for washing machine</w:t>
            </w:r>
            <w:r w:rsidRPr="00B46BCC">
              <w:rPr>
                <w:rStyle w:val="NoteLabel"/>
                <w:color w:val="000000" w:themeColor="text1"/>
              </w:rPr>
              <w:t>d</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jc w:val="center"/>
              <w:rPr>
                <w:lang w:bidi="fa-IR"/>
              </w:rPr>
            </w:pPr>
            <w:r>
              <w:rPr>
                <w:lang w:bidi="fa-IR"/>
              </w:rPr>
              <w:t>-</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600mm in depth</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600mm in depth</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Required space for a bedroom</w:t>
            </w:r>
            <w:r w:rsidRPr="00B46BCC">
              <w:rPr>
                <w:rStyle w:val="NoteLabel"/>
                <w:color w:val="000000" w:themeColor="text1"/>
              </w:rPr>
              <w:t xml:space="preserve"> a</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jc w:val="center"/>
              <w:rPr>
                <w:lang w:bidi="fa-IR"/>
              </w:rPr>
            </w:pPr>
            <w:r>
              <w:rPr>
                <w:lang w:bidi="fa-IR"/>
              </w:rPr>
              <w:t>-</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 xml:space="preserve">Ground floor or entry level, </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Ground floor or entry level</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Bedroom design</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jc w:val="center"/>
              <w:rPr>
                <w:lang w:bidi="fa-IR"/>
              </w:rPr>
            </w:pPr>
            <w:r>
              <w:rPr>
                <w:lang w:bidi="fa-IR"/>
              </w:rPr>
              <w:t>-</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Min size of 10m</w:t>
            </w:r>
            <w:r>
              <w:rPr>
                <w:vertAlign w:val="superscript"/>
                <w:lang w:bidi="fa-IR"/>
              </w:rPr>
              <w:t>2</w:t>
            </w:r>
            <w:r>
              <w:rPr>
                <w:lang w:bidi="fa-IR"/>
              </w:rPr>
              <w:t xml:space="preserve"> (ex wardrobes, linings, etc.), natural light and ventilation, bed space (1520mm*2030mm) plus travel space</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Min size of 10m</w:t>
            </w:r>
            <w:r>
              <w:rPr>
                <w:vertAlign w:val="superscript"/>
                <w:lang w:bidi="fa-IR"/>
              </w:rPr>
              <w:t>2</w:t>
            </w:r>
            <w:r>
              <w:rPr>
                <w:lang w:bidi="fa-IR"/>
              </w:rPr>
              <w:t xml:space="preserve"> (ex wardrobes, linings, etc.), natural light and ventilation, bed space (1520mm*2030mm) plus travel space</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Height of light switches above floor level</w:t>
            </w:r>
            <w:r w:rsidRPr="00B46BCC">
              <w:rPr>
                <w:rStyle w:val="NoteLabel"/>
                <w:color w:val="000000" w:themeColor="text1"/>
              </w:rPr>
              <w:t xml:space="preserve"> c</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jc w:val="center"/>
              <w:rPr>
                <w:lang w:bidi="fa-IR"/>
              </w:rPr>
            </w:pPr>
            <w:r>
              <w:rPr>
                <w:lang w:bidi="fa-IR"/>
              </w:rPr>
              <w:t>-</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900mm-1100mm</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 xml:space="preserve">900mm-1100mm </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Height of power outlets</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jc w:val="center"/>
              <w:rPr>
                <w:lang w:bidi="fa-IR"/>
              </w:rPr>
            </w:pPr>
            <w:r>
              <w:rPr>
                <w:lang w:bidi="fa-IR"/>
              </w:rPr>
              <w:t>-</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300mm</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300mm</w:t>
            </w:r>
          </w:p>
        </w:tc>
      </w:tr>
      <w:tr w:rsidR="007C6A5F" w:rsidTr="005A05FE">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Height of door handles above floor level</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jc w:val="center"/>
              <w:rPr>
                <w:lang w:bidi="fa-IR"/>
              </w:rPr>
            </w:pPr>
            <w:r>
              <w:rPr>
                <w:lang w:bidi="fa-IR"/>
              </w:rPr>
              <w:t>-</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900mm-1100mm</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900mm-1100mm</w:t>
            </w:r>
          </w:p>
        </w:tc>
      </w:tr>
      <w:tr w:rsidR="007C6A5F" w:rsidTr="00B5160B">
        <w:tc>
          <w:tcPr>
            <w:tcW w:w="1982"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74529F">
            <w:pPr>
              <w:pStyle w:val="TableTextEntries"/>
              <w:rPr>
                <w:lang w:bidi="fa-IR"/>
              </w:rPr>
            </w:pPr>
            <w:r>
              <w:rPr>
                <w:lang w:bidi="fa-IR"/>
              </w:rPr>
              <w:t>Maximum height of window sill</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jc w:val="center"/>
              <w:rPr>
                <w:lang w:bidi="fa-IR"/>
              </w:rPr>
            </w:pPr>
            <w:r>
              <w:rPr>
                <w:lang w:bidi="fa-IR"/>
              </w:rPr>
              <w:t>-</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jc w:val="center"/>
              <w:rPr>
                <w:lang w:bidi="fa-IR"/>
              </w:rPr>
            </w:pPr>
            <w:r>
              <w:rPr>
                <w:lang w:bidi="fa-IR"/>
              </w:rPr>
              <w:t>-</w:t>
            </w:r>
          </w:p>
        </w:tc>
        <w:tc>
          <w:tcPr>
            <w:tcW w:w="1985" w:type="dxa"/>
            <w:tcBorders>
              <w:top w:val="single" w:sz="8" w:space="0" w:color="FFFFFF" w:themeColor="background1"/>
              <w:bottom w:val="single" w:sz="8" w:space="0" w:color="FFFFFF" w:themeColor="background1"/>
            </w:tcBorders>
            <w:shd w:val="clear" w:color="auto" w:fill="E9E8E5" w:themeFill="background2"/>
            <w:hideMark/>
          </w:tcPr>
          <w:p w:rsidR="007C6A5F" w:rsidRDefault="007C6A5F" w:rsidP="00C36DA4">
            <w:pPr>
              <w:pStyle w:val="TableTextEntries"/>
              <w:rPr>
                <w:lang w:bidi="fa-IR"/>
              </w:rPr>
            </w:pPr>
            <w:r>
              <w:rPr>
                <w:lang w:bidi="fa-IR"/>
              </w:rPr>
              <w:t>1000mm</w:t>
            </w:r>
          </w:p>
        </w:tc>
      </w:tr>
      <w:tr w:rsidR="007C6A5F" w:rsidTr="00B5160B">
        <w:tc>
          <w:tcPr>
            <w:tcW w:w="1982" w:type="dxa"/>
            <w:tcBorders>
              <w:top w:val="single" w:sz="8" w:space="0" w:color="FFFFFF" w:themeColor="background1"/>
              <w:bottom w:val="single" w:sz="4" w:space="0" w:color="6F6652" w:themeColor="accent5"/>
            </w:tcBorders>
            <w:shd w:val="clear" w:color="auto" w:fill="E9E8E5" w:themeFill="background2"/>
            <w:hideMark/>
          </w:tcPr>
          <w:p w:rsidR="007C6A5F" w:rsidRDefault="007C6A5F" w:rsidP="0074529F">
            <w:pPr>
              <w:pStyle w:val="TableTextEntries"/>
              <w:rPr>
                <w:lang w:bidi="fa-IR"/>
              </w:rPr>
            </w:pPr>
            <w:r>
              <w:rPr>
                <w:lang w:bidi="fa-IR"/>
              </w:rPr>
              <w:t>Window operating controls</w:t>
            </w:r>
          </w:p>
        </w:tc>
        <w:tc>
          <w:tcPr>
            <w:tcW w:w="1984" w:type="dxa"/>
            <w:tcBorders>
              <w:top w:val="single" w:sz="8" w:space="0" w:color="FFFFFF" w:themeColor="background1"/>
              <w:bottom w:val="single" w:sz="4" w:space="0" w:color="6F6652" w:themeColor="accent5"/>
            </w:tcBorders>
            <w:shd w:val="clear" w:color="auto" w:fill="E9E8E5" w:themeFill="background2"/>
            <w:hideMark/>
          </w:tcPr>
          <w:p w:rsidR="007C6A5F" w:rsidRDefault="007C6A5F" w:rsidP="00C36DA4">
            <w:pPr>
              <w:pStyle w:val="TableTextEntries"/>
              <w:jc w:val="center"/>
              <w:rPr>
                <w:lang w:bidi="fa-IR"/>
              </w:rPr>
            </w:pPr>
            <w:r>
              <w:rPr>
                <w:lang w:bidi="fa-IR"/>
              </w:rPr>
              <w:t>-</w:t>
            </w:r>
          </w:p>
        </w:tc>
        <w:tc>
          <w:tcPr>
            <w:tcW w:w="1984" w:type="dxa"/>
            <w:tcBorders>
              <w:top w:val="single" w:sz="8" w:space="0" w:color="FFFFFF" w:themeColor="background1"/>
              <w:bottom w:val="single" w:sz="4" w:space="0" w:color="6F6652" w:themeColor="accent5"/>
            </w:tcBorders>
            <w:shd w:val="clear" w:color="auto" w:fill="E9E8E5" w:themeFill="background2"/>
            <w:hideMark/>
          </w:tcPr>
          <w:p w:rsidR="007C6A5F" w:rsidRDefault="007C6A5F" w:rsidP="00C36DA4">
            <w:pPr>
              <w:pStyle w:val="TableTextEntries"/>
              <w:jc w:val="center"/>
              <w:rPr>
                <w:lang w:bidi="fa-IR"/>
              </w:rPr>
            </w:pPr>
            <w:r>
              <w:rPr>
                <w:lang w:bidi="fa-IR"/>
              </w:rPr>
              <w:t>-</w:t>
            </w:r>
          </w:p>
        </w:tc>
        <w:tc>
          <w:tcPr>
            <w:tcW w:w="1985" w:type="dxa"/>
            <w:tcBorders>
              <w:top w:val="single" w:sz="8" w:space="0" w:color="FFFFFF" w:themeColor="background1"/>
              <w:bottom w:val="single" w:sz="4" w:space="0" w:color="6F6652" w:themeColor="accent5"/>
            </w:tcBorders>
            <w:shd w:val="clear" w:color="auto" w:fill="E9E8E5" w:themeFill="background2"/>
            <w:hideMark/>
          </w:tcPr>
          <w:p w:rsidR="007C6A5F" w:rsidRDefault="007C6A5F" w:rsidP="00C36DA4">
            <w:pPr>
              <w:pStyle w:val="TableTextEntries"/>
              <w:rPr>
                <w:lang w:bidi="fa-IR"/>
              </w:rPr>
            </w:pPr>
            <w:r>
              <w:rPr>
                <w:lang w:bidi="fa-IR"/>
              </w:rPr>
              <w:t>Internal controls must be operable with one from a sitting or standing position</w:t>
            </w:r>
          </w:p>
        </w:tc>
      </w:tr>
    </w:tbl>
    <w:p w:rsidR="007C6A5F" w:rsidRDefault="007C6A5F" w:rsidP="007C6A5F">
      <w:pPr>
        <w:pStyle w:val="Source"/>
        <w:rPr>
          <w:i/>
          <w:lang w:bidi="fa-IR"/>
        </w:rPr>
      </w:pPr>
      <w:r>
        <w:rPr>
          <w:i/>
          <w:lang w:bidi="fa-IR"/>
        </w:rPr>
        <w:t xml:space="preserve">Notes: </w:t>
      </w:r>
    </w:p>
    <w:p w:rsidR="007C6A5F" w:rsidRPr="00353ADF" w:rsidRDefault="007C6A5F" w:rsidP="007C6A5F">
      <w:pPr>
        <w:pStyle w:val="Note"/>
        <w:rPr>
          <w:rStyle w:val="NoteLabel"/>
          <w:rFonts w:ascii="Franklin Gothic Book" w:hAnsi="Franklin Gothic Book"/>
          <w:color w:val="auto"/>
          <w:position w:val="0"/>
        </w:rPr>
      </w:pPr>
      <w:r w:rsidRPr="00B46BCC">
        <w:rPr>
          <w:rStyle w:val="NoteLabel"/>
          <w:color w:val="000000" w:themeColor="text1"/>
        </w:rPr>
        <w:t>a</w:t>
      </w:r>
      <w:r w:rsidRPr="00353ADF">
        <w:rPr>
          <w:rStyle w:val="NoteLabel"/>
          <w:rFonts w:ascii="Franklin Gothic Book" w:hAnsi="Franklin Gothic Book"/>
          <w:color w:val="auto"/>
          <w:position w:val="0"/>
        </w:rPr>
        <w:t xml:space="preserve"> Except in garage top dwellings</w:t>
      </w:r>
    </w:p>
    <w:p w:rsidR="007C6A5F" w:rsidRDefault="007C6A5F" w:rsidP="007C6A5F">
      <w:pPr>
        <w:pStyle w:val="Source"/>
        <w:rPr>
          <w:lang w:bidi="fa-IR"/>
        </w:rPr>
      </w:pPr>
      <w:r w:rsidRPr="00B46BCC">
        <w:rPr>
          <w:rStyle w:val="NoteLabel"/>
          <w:color w:val="000000" w:themeColor="text1"/>
        </w:rPr>
        <w:t>b</w:t>
      </w:r>
      <w:r>
        <w:rPr>
          <w:i/>
          <w:lang w:bidi="fa-IR"/>
        </w:rPr>
        <w:t>.</w:t>
      </w:r>
      <w:r>
        <w:rPr>
          <w:lang w:bidi="fa-IR"/>
        </w:rPr>
        <w:t>‘minimum requirements’ are based on ‘deemed to satisfy requirements’; (which are common method of compliance in the residential building industry) as opposed to the Performance Requirements.</w:t>
      </w:r>
    </w:p>
    <w:p w:rsidR="007C6A5F" w:rsidRPr="00DF3AA9" w:rsidRDefault="007C6A5F" w:rsidP="007C6A5F">
      <w:pPr>
        <w:pStyle w:val="Source"/>
        <w:rPr>
          <w:lang w:bidi="fa-IR"/>
        </w:rPr>
      </w:pPr>
      <w:r w:rsidRPr="00B46BCC">
        <w:rPr>
          <w:rStyle w:val="NoteLabel"/>
          <w:color w:val="000000" w:themeColor="text1"/>
        </w:rPr>
        <w:t>c</w:t>
      </w:r>
      <w:r>
        <w:rPr>
          <w:lang w:bidi="fa-IR"/>
        </w:rPr>
        <w:t>.</w:t>
      </w:r>
      <w:r w:rsidRPr="00DF3AA9">
        <w:rPr>
          <w:lang w:bidi="fa-IR"/>
        </w:rPr>
        <w:t xml:space="preserve"> There are various exclusions, where new dwellings are not required to have step free access; these are described in a separate section (below);</w:t>
      </w:r>
    </w:p>
    <w:p w:rsidR="007C6A5F" w:rsidRDefault="007C6A5F" w:rsidP="007C6A5F">
      <w:pPr>
        <w:pStyle w:val="Note"/>
        <w:rPr>
          <w:i/>
          <w:lang w:bidi="fa-IR"/>
        </w:rPr>
      </w:pPr>
      <w:r w:rsidRPr="00B46BCC">
        <w:rPr>
          <w:rStyle w:val="NoteLabel"/>
          <w:color w:val="000000" w:themeColor="text1"/>
        </w:rPr>
        <w:t>d</w:t>
      </w:r>
      <w:r>
        <w:rPr>
          <w:i/>
          <w:lang w:bidi="fa-IR"/>
        </w:rPr>
        <w:t xml:space="preserve"> </w:t>
      </w:r>
      <w:r>
        <w:t>In some cases, requirements are more nuanced that what is implied here. The listed requirements are intended to capture the most important constraints.</w:t>
      </w:r>
    </w:p>
    <w:p w:rsidR="007C6A5F" w:rsidRDefault="007C6A5F" w:rsidP="007C6A5F">
      <w:pPr>
        <w:pStyle w:val="Source"/>
        <w:rPr>
          <w:lang w:bidi="fa-IR"/>
        </w:rPr>
      </w:pPr>
      <w:r>
        <w:rPr>
          <w:i/>
          <w:lang w:bidi="fa-IR"/>
        </w:rPr>
        <w:t>Source:</w:t>
      </w:r>
      <w:r>
        <w:rPr>
          <w:lang w:bidi="fa-IR"/>
        </w:rPr>
        <w:t xml:space="preserve"> ABCB; CIE</w:t>
      </w:r>
      <w:r w:rsidR="00C36DA4">
        <w:rPr>
          <w:lang w:bidi="fa-IR"/>
        </w:rPr>
        <w:t>.</w:t>
      </w:r>
    </w:p>
    <w:p w:rsidR="007C6A5F" w:rsidRDefault="007C6A5F" w:rsidP="007C6A5F">
      <w:pPr>
        <w:pStyle w:val="BodyText"/>
        <w:rPr>
          <w:lang w:bidi="fa-IR"/>
        </w:rPr>
      </w:pPr>
      <w:r>
        <w:rPr>
          <w:lang w:bidi="fa-IR"/>
        </w:rPr>
        <w:t xml:space="preserve">Under the ABCB’s proposed changes to the NCC, all new dwellings are required to have proposed accessibility features, other than proposed features that relate to step-free access. However, in cases where it is not practicable to include step-free access, a new </w:t>
      </w:r>
      <w:r>
        <w:rPr>
          <w:lang w:bidi="fa-IR"/>
        </w:rPr>
        <w:lastRenderedPageBreak/>
        <w:t>dwelling is excluded from the step-free access requirement (set out below). Therefore, there are some dwellings that will not have step-free access but will have other accessibility features. This is intended to stop new home builders from trying to avoid accessibility requirements all together by deliberately building homes where step-free access is not practicable.</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3</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3</w:instrText>
      </w:r>
      <w:r>
        <w:rPr>
          <w:noProof/>
        </w:rPr>
        <w:fldChar w:fldCharType="end"/>
      </w:r>
      <w:r w:rsidRPr="00695C93">
        <w:instrText xml:space="preserve">." </w:instrText>
      </w:r>
      <w:r w:rsidRPr="00695C93">
        <w:fldChar w:fldCharType="separate"/>
      </w:r>
      <w:r>
        <w:rPr>
          <w:noProof/>
        </w:rPr>
        <w:instrText>3</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3</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3</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2</w:instrText>
      </w:r>
      <w:r w:rsidRPr="00695C93">
        <w:fldChar w:fldCharType="end"/>
      </w:r>
      <w:r w:rsidRPr="00695C93">
        <w:instrText xml:space="preserve">" "" </w:instrText>
      </w:r>
      <w:r w:rsidRPr="00695C93">
        <w:fldChar w:fldCharType="separate"/>
      </w:r>
      <w:bookmarkStart w:id="3793" w:name="_Caption0021"/>
      <w:bookmarkStart w:id="3794" w:name="_Caption0823"/>
      <w:bookmarkStart w:id="3795" w:name="_Caption7425"/>
      <w:bookmarkStart w:id="3796" w:name="_Caption9324"/>
      <w:bookmarkStart w:id="3797" w:name="_Caption4989"/>
      <w:bookmarkStart w:id="3798" w:name="_Caption6965"/>
      <w:bookmarkStart w:id="3799" w:name="_Caption9421"/>
      <w:bookmarkStart w:id="3800" w:name="_Caption3234"/>
      <w:bookmarkStart w:id="3801" w:name="_Caption4332"/>
      <w:bookmarkStart w:id="3802" w:name="_Caption7486"/>
      <w:bookmarkStart w:id="3803" w:name="_Caption8335"/>
      <w:bookmarkStart w:id="3804" w:name="_Caption1094"/>
      <w:bookmarkStart w:id="3805" w:name="_Caption9886"/>
      <w:bookmarkStart w:id="3806" w:name="_Caption0296"/>
      <w:bookmarkStart w:id="3807" w:name="_Caption2623"/>
      <w:bookmarkStart w:id="3808" w:name="_Caption3506"/>
      <w:bookmarkStart w:id="3809" w:name="_Caption4695"/>
      <w:bookmarkStart w:id="3810" w:name="_Caption4471"/>
      <w:bookmarkStart w:id="3811" w:name="_Caption0001"/>
      <w:bookmarkStart w:id="3812" w:name="_Caption0051"/>
      <w:bookmarkStart w:id="3813" w:name="_Caption8808"/>
      <w:bookmarkStart w:id="3814" w:name="_Caption3309"/>
      <w:bookmarkStart w:id="3815" w:name="_Caption8729"/>
      <w:bookmarkStart w:id="3816" w:name="_Caption1025"/>
      <w:bookmarkStart w:id="3817" w:name="_Caption7217"/>
      <w:bookmarkStart w:id="3818" w:name="_Caption3332"/>
      <w:bookmarkStart w:id="3819" w:name="_Caption5989"/>
      <w:bookmarkStart w:id="3820" w:name="_Caption3363"/>
      <w:bookmarkStart w:id="3821" w:name="_Caption3060"/>
      <w:bookmarkStart w:id="3822" w:name="_Caption6861"/>
      <w:bookmarkStart w:id="3823" w:name="_Caption5592"/>
      <w:bookmarkStart w:id="3824" w:name="_Caption5483"/>
      <w:bookmarkStart w:id="3825" w:name="_Caption0206"/>
      <w:bookmarkStart w:id="3826" w:name="_Caption7624"/>
      <w:bookmarkStart w:id="3827" w:name="_Caption5100"/>
      <w:bookmarkStart w:id="3828" w:name="_Caption9306"/>
      <w:bookmarkStart w:id="3829" w:name="_Caption5511"/>
      <w:bookmarkStart w:id="3830" w:name="_Caption8930"/>
      <w:bookmarkStart w:id="3831" w:name="_Caption2797"/>
      <w:bookmarkStart w:id="3832" w:name="_Caption6486"/>
      <w:bookmarkStart w:id="3833" w:name="_Caption0330"/>
      <w:bookmarkStart w:id="3834" w:name="_Caption0662"/>
      <w:bookmarkStart w:id="3835" w:name="_Caption4017"/>
      <w:bookmarkStart w:id="3836" w:name="_Caption6260"/>
      <w:bookmarkStart w:id="3837" w:name="_Caption4240"/>
      <w:bookmarkStart w:id="3838" w:name="_Caption0639"/>
      <w:bookmarkStart w:id="3839" w:name="_Caption2743"/>
      <w:bookmarkStart w:id="3840" w:name="_Caption6862"/>
      <w:bookmarkStart w:id="3841" w:name="_Caption2242"/>
      <w:bookmarkStart w:id="3842" w:name="_Caption6270"/>
      <w:bookmarkStart w:id="3843" w:name="_Caption3585"/>
      <w:bookmarkStart w:id="3844" w:name="_Caption7129"/>
      <w:bookmarkStart w:id="3845" w:name="_Caption5790"/>
      <w:bookmarkStart w:id="3846" w:name="_Caption1597"/>
      <w:bookmarkStart w:id="3847" w:name="_Caption5542"/>
      <w:bookmarkStart w:id="3848" w:name="_Caption6847"/>
      <w:bookmarkStart w:id="3849" w:name="_Caption6045"/>
      <w:bookmarkStart w:id="3850" w:name="_Caption8758"/>
      <w:bookmarkStart w:id="3851" w:name="_Caption5910"/>
      <w:bookmarkStart w:id="3852" w:name="_Caption9932"/>
      <w:bookmarkStart w:id="3853" w:name="_Caption4502"/>
      <w:bookmarkStart w:id="3854" w:name="_Caption8623"/>
      <w:bookmarkStart w:id="3855" w:name="_Caption2366"/>
      <w:bookmarkStart w:id="3856" w:name="_Caption1934"/>
      <w:bookmarkStart w:id="3857" w:name="_Caption9361"/>
      <w:bookmarkStart w:id="3858" w:name="_Caption7133"/>
      <w:bookmarkStart w:id="3859" w:name="_Caption3584"/>
      <w:bookmarkStart w:id="3860" w:name="_Caption9846"/>
      <w:bookmarkStart w:id="3861" w:name="_Caption4030"/>
      <w:bookmarkStart w:id="3862" w:name="_Caption1026"/>
      <w:bookmarkStart w:id="3863" w:name="_Caption9025"/>
      <w:bookmarkStart w:id="3864" w:name="_Caption7209"/>
      <w:bookmarkStart w:id="3865" w:name="_Caption6624"/>
      <w:bookmarkStart w:id="3866" w:name="_Caption8156"/>
      <w:bookmarkStart w:id="3867" w:name="_Caption2364"/>
      <w:bookmarkStart w:id="3868" w:name="_Caption5383"/>
      <w:bookmarkStart w:id="3869" w:name="_Caption4491"/>
      <w:bookmarkStart w:id="3870" w:name="_Caption8360"/>
      <w:bookmarkStart w:id="3871" w:name="_Caption8137"/>
      <w:bookmarkStart w:id="3872" w:name="_Caption9862"/>
      <w:bookmarkStart w:id="3873" w:name="_Caption2388"/>
      <w:bookmarkStart w:id="3874" w:name="_Caption0158"/>
      <w:bookmarkStart w:id="3875" w:name="_Caption0670"/>
      <w:bookmarkStart w:id="3876" w:name="_Caption2824"/>
      <w:bookmarkStart w:id="3877" w:name="_Caption4347"/>
      <w:bookmarkStart w:id="3878" w:name="_Caption1520"/>
      <w:bookmarkStart w:id="3879" w:name="_Caption8546"/>
      <w:bookmarkStart w:id="3880" w:name="_Caption8495"/>
      <w:bookmarkStart w:id="3881" w:name="_Caption7562"/>
      <w:bookmarkStart w:id="3882" w:name="_Caption3196"/>
      <w:bookmarkStart w:id="3883" w:name="_Caption4921"/>
      <w:bookmarkStart w:id="3884" w:name="_Caption5596"/>
      <w:bookmarkStart w:id="3885" w:name="_Caption3995"/>
      <w:bookmarkStart w:id="3886" w:name="_Caption1153"/>
      <w:bookmarkStart w:id="3887" w:name="_Caption3814"/>
      <w:bookmarkStart w:id="3888" w:name="_Caption5179"/>
      <w:bookmarkStart w:id="3889" w:name="_Caption4298"/>
      <w:bookmarkStart w:id="3890" w:name="_Caption5833"/>
      <w:bookmarkStart w:id="3891" w:name="_Caption9895"/>
      <w:bookmarkStart w:id="3892" w:name="_Caption8863"/>
      <w:bookmarkStart w:id="3893" w:name="_Caption5111"/>
      <w:bookmarkStart w:id="3894" w:name="_Caption6132"/>
      <w:bookmarkStart w:id="3895" w:name="_Caption0074"/>
      <w:bookmarkStart w:id="3896" w:name="_Caption2841"/>
      <w:bookmarkStart w:id="3897" w:name="_Caption8944"/>
      <w:bookmarkStart w:id="3898" w:name="_Caption3053"/>
      <w:bookmarkStart w:id="3899" w:name="_Caption7925"/>
      <w:bookmarkStart w:id="3900" w:name="_Caption4995"/>
      <w:bookmarkStart w:id="3901" w:name="_Caption9617"/>
      <w:bookmarkStart w:id="3902" w:name="_Caption5648"/>
      <w:bookmarkStart w:id="3903" w:name="_Caption7906"/>
      <w:bookmarkStart w:id="3904" w:name="_Caption8361"/>
      <w:bookmarkStart w:id="3905" w:name="_Caption0912"/>
      <w:bookmarkStart w:id="3906" w:name="_Caption7681"/>
      <w:bookmarkStart w:id="3907" w:name="_Caption3224"/>
      <w:bookmarkStart w:id="3908" w:name="_Caption7289"/>
      <w:bookmarkStart w:id="3909" w:name="_Caption7082"/>
      <w:bookmarkStart w:id="3910" w:name="_Caption9981"/>
      <w:bookmarkStart w:id="3911" w:name="_Caption5534"/>
      <w:bookmarkStart w:id="3912" w:name="_Caption6721"/>
      <w:bookmarkStart w:id="3913" w:name="_Caption1229"/>
      <w:bookmarkStart w:id="3914" w:name="_Caption7776"/>
      <w:bookmarkStart w:id="3915" w:name="_Caption2079"/>
      <w:bookmarkStart w:id="3916" w:name="_Caption3293"/>
      <w:bookmarkStart w:id="3917" w:name="_Caption7315"/>
      <w:bookmarkStart w:id="3918" w:name="_Caption0429"/>
      <w:bookmarkStart w:id="3919" w:name="_Caption3176"/>
      <w:bookmarkStart w:id="3920" w:name="_Caption1358"/>
      <w:bookmarkStart w:id="3921" w:name="_Caption9125"/>
      <w:bookmarkStart w:id="3922" w:name="_Caption8092"/>
      <w:bookmarkStart w:id="3923" w:name="_Caption1332"/>
      <w:bookmarkStart w:id="3924" w:name="_Caption0167"/>
      <w:bookmarkStart w:id="3925" w:name="_Caption7179"/>
      <w:bookmarkStart w:id="3926" w:name="_Caption6460"/>
      <w:bookmarkStart w:id="3927" w:name="_Caption8107"/>
      <w:bookmarkStart w:id="3928" w:name="_Caption3139"/>
      <w:bookmarkStart w:id="3929" w:name="_Caption1415"/>
      <w:bookmarkStart w:id="3930" w:name="_Caption2473"/>
      <w:bookmarkStart w:id="3931" w:name="_Caption8253"/>
      <w:bookmarkStart w:id="3932" w:name="_Caption8151"/>
      <w:bookmarkStart w:id="3933" w:name="_Caption1966"/>
      <w:bookmarkStart w:id="3934" w:name="_Caption4690"/>
      <w:bookmarkStart w:id="3935" w:name="_Caption3494"/>
      <w:bookmarkStart w:id="3936" w:name="_Caption2795"/>
      <w:bookmarkStart w:id="3937" w:name="_Caption1676"/>
      <w:bookmarkStart w:id="3938" w:name="_Caption8390"/>
      <w:bookmarkStart w:id="3939" w:name="_Caption1417"/>
      <w:bookmarkStart w:id="3940" w:name="_Caption0801"/>
      <w:bookmarkStart w:id="3941" w:name="_Toc24977958"/>
      <w:bookmarkStart w:id="3942" w:name="_Toc32321820"/>
      <w:bookmarkStart w:id="3943" w:name="_Toc44598517"/>
      <w:bookmarkStart w:id="3944" w:name="_Toc45654148"/>
      <w:r w:rsidR="00272AF3">
        <w:rPr>
          <w:noProof/>
        </w:rPr>
        <w:t>3</w:t>
      </w:r>
      <w:r w:rsidR="00272AF3" w:rsidRPr="00695C93">
        <w:rPr>
          <w:noProof/>
        </w:rPr>
        <w:t>.</w:t>
      </w:r>
      <w:r w:rsidR="00272AF3">
        <w:rPr>
          <w:noProof/>
        </w:rPr>
        <w:t>2</w:t>
      </w:r>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r w:rsidRPr="00695C93">
        <w:fldChar w:fldCharType="end"/>
      </w:r>
      <w:r w:rsidRPr="00695C93">
        <w:tab/>
      </w:r>
      <w:r>
        <w:t xml:space="preserve">Cases where step-free </w:t>
      </w:r>
      <w:r w:rsidRPr="00317781">
        <w:t>access would not be required, or where exclusions apply</w:t>
      </w:r>
      <w:bookmarkEnd w:id="3941"/>
      <w:bookmarkEnd w:id="3942"/>
      <w:bookmarkEnd w:id="3943"/>
      <w:bookmarkEnd w:id="3944"/>
      <w:r w:rsidRPr="00317781">
        <w:t xml:space="preserve">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3.2"/>
        <w:tblDescription w:val="Cases where step-free access would not be required, or where exclusions apply "/>
      </w:tblPr>
      <w:tblGrid>
        <w:gridCol w:w="851"/>
        <w:gridCol w:w="3402"/>
        <w:gridCol w:w="3684"/>
      </w:tblGrid>
      <w:tr w:rsidR="007C6A5F" w:rsidTr="00621A6E">
        <w:trPr>
          <w:tblHeader/>
        </w:trPr>
        <w:tc>
          <w:tcPr>
            <w:tcW w:w="851" w:type="dxa"/>
            <w:tcBorders>
              <w:bottom w:val="single" w:sz="8" w:space="0" w:color="FFFFFF" w:themeColor="background1"/>
            </w:tcBorders>
            <w:shd w:val="clear" w:color="auto" w:fill="6F6652" w:themeFill="accent5"/>
          </w:tcPr>
          <w:p w:rsidR="007C6A5F" w:rsidRDefault="007C6A5F" w:rsidP="00C36DA4">
            <w:pPr>
              <w:pStyle w:val="TableTextColumnHeading"/>
              <w:rPr>
                <w:lang w:bidi="fa-IR"/>
              </w:rPr>
            </w:pPr>
            <w:r>
              <w:rPr>
                <w:lang w:bidi="fa-IR"/>
              </w:rPr>
              <w:t>Case</w:t>
            </w:r>
          </w:p>
        </w:tc>
        <w:tc>
          <w:tcPr>
            <w:tcW w:w="3402" w:type="dxa"/>
            <w:tcBorders>
              <w:bottom w:val="single" w:sz="8" w:space="0" w:color="FFFFFF" w:themeColor="background1"/>
            </w:tcBorders>
            <w:shd w:val="clear" w:color="auto" w:fill="6F6652" w:themeFill="accent5"/>
          </w:tcPr>
          <w:p w:rsidR="007C6A5F" w:rsidRDefault="007C6A5F" w:rsidP="00C36DA4">
            <w:pPr>
              <w:pStyle w:val="TableTextColumnHeading"/>
              <w:rPr>
                <w:lang w:bidi="fa-IR"/>
              </w:rPr>
            </w:pPr>
            <w:r>
              <w:rPr>
                <w:lang w:bidi="fa-IR"/>
              </w:rPr>
              <w:t>Exception</w:t>
            </w:r>
          </w:p>
        </w:tc>
        <w:tc>
          <w:tcPr>
            <w:tcW w:w="3684" w:type="dxa"/>
            <w:tcBorders>
              <w:bottom w:val="single" w:sz="8" w:space="0" w:color="FFFFFF" w:themeColor="background1"/>
            </w:tcBorders>
            <w:shd w:val="clear" w:color="auto" w:fill="6F6652" w:themeFill="accent5"/>
          </w:tcPr>
          <w:p w:rsidR="007C6A5F" w:rsidRDefault="007C6A5F" w:rsidP="00C36DA4">
            <w:pPr>
              <w:pStyle w:val="TableTextColumnHeading"/>
              <w:rPr>
                <w:lang w:bidi="fa-IR"/>
              </w:rPr>
            </w:pPr>
            <w:r>
              <w:rPr>
                <w:lang w:bidi="fa-IR"/>
              </w:rPr>
              <w:t>Discussion</w:t>
            </w:r>
          </w:p>
        </w:tc>
      </w:tr>
      <w:tr w:rsidR="007C6A5F" w:rsidTr="00B5160B">
        <w:tc>
          <w:tcPr>
            <w:tcW w:w="85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Class 2 dwellings</w:t>
            </w:r>
          </w:p>
        </w:tc>
        <w:tc>
          <w:tcPr>
            <w:tcW w:w="340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Class 2 dwellings are dwellings that sit on-top of another structure; it mostly covers:</w:t>
            </w:r>
          </w:p>
          <w:p w:rsidR="007C6A5F" w:rsidRDefault="007C6A5F" w:rsidP="00C36DA4">
            <w:pPr>
              <w:pStyle w:val="TableListBullet"/>
              <w:rPr>
                <w:lang w:bidi="fa-IR"/>
              </w:rPr>
            </w:pPr>
            <w:r>
              <w:rPr>
                <w:lang w:bidi="fa-IR"/>
              </w:rPr>
              <w:t xml:space="preserve">All types of apartments (buildings of 4 or more stories, which include lifts, and 3 or fewer stories, which do not or usually do not include lifts) </w:t>
            </w:r>
          </w:p>
          <w:p w:rsidR="007C6A5F" w:rsidRDefault="007C6A5F" w:rsidP="00C36DA4">
            <w:pPr>
              <w:pStyle w:val="TableListBullet"/>
              <w:rPr>
                <w:lang w:bidi="fa-IR"/>
              </w:rPr>
            </w:pPr>
            <w:r>
              <w:rPr>
                <w:lang w:bidi="fa-IR"/>
              </w:rPr>
              <w:t>Townhouses (or single level apartments) that sit on-top of an underground, shared carpark (as the carpark itself is a structure)</w:t>
            </w:r>
          </w:p>
        </w:tc>
        <w:tc>
          <w:tcPr>
            <w:tcW w:w="36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The proposed changes to the NCC do not alter the ‘status quo’ for Class 2 dwellings, as existing NCC Table D3.1</w:t>
            </w:r>
          </w:p>
          <w:p w:rsidR="007C6A5F" w:rsidRDefault="007C6A5F" w:rsidP="00C36DA4">
            <w:pPr>
              <w:pStyle w:val="TableTextEntries"/>
              <w:rPr>
                <w:lang w:bidi="fa-IR"/>
              </w:rPr>
            </w:pPr>
            <w:r>
              <w:rPr>
                <w:lang w:bidi="fa-IR"/>
              </w:rPr>
              <w:t>This means where there is no lift (townhouses on top of shared carparks, apartment buildings of 3 or fewer stories), only dwellings on the entry level require step-free access to dwellings (via ground level entrance; not via carpark); dwellings on other stories do not require step-free access</w:t>
            </w:r>
          </w:p>
          <w:p w:rsidR="007C6A5F" w:rsidRPr="00421F26" w:rsidRDefault="007C6A5F" w:rsidP="00C36DA4">
            <w:pPr>
              <w:pStyle w:val="TableTextEntries"/>
              <w:rPr>
                <w:rStyle w:val="DraftingNote"/>
              </w:rPr>
            </w:pPr>
            <w:r>
              <w:rPr>
                <w:lang w:bidi="fa-IR"/>
              </w:rPr>
              <w:t>Where there is a lift (generally in buildings of four or more stories) dwellings require step-free access (if the lift serves all 4 storeys)</w:t>
            </w:r>
          </w:p>
        </w:tc>
      </w:tr>
      <w:tr w:rsidR="007C6A5F" w:rsidTr="00B5160B">
        <w:tc>
          <w:tcPr>
            <w:tcW w:w="851"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TextEntries"/>
              <w:rPr>
                <w:lang w:bidi="fa-IR"/>
              </w:rPr>
            </w:pPr>
            <w:r>
              <w:rPr>
                <w:lang w:bidi="fa-IR"/>
              </w:rPr>
              <w:t>Class 1A dwellings</w:t>
            </w:r>
          </w:p>
        </w:tc>
        <w:tc>
          <w:tcPr>
            <w:tcW w:w="3402"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TextEntries"/>
              <w:rPr>
                <w:lang w:bidi="fa-IR"/>
              </w:rPr>
            </w:pPr>
            <w:r>
              <w:rPr>
                <w:lang w:bidi="fa-IR"/>
              </w:rPr>
              <w:t>1a dwellings are detached houses and attached houses (including: townhouses, row/terrace houses, etc)</w:t>
            </w:r>
          </w:p>
          <w:p w:rsidR="007C6A5F" w:rsidRDefault="007C6A5F" w:rsidP="00C36DA4">
            <w:pPr>
              <w:pStyle w:val="TableTextEntries"/>
              <w:rPr>
                <w:lang w:bidi="fa-IR"/>
              </w:rPr>
            </w:pPr>
            <w:r>
              <w:rPr>
                <w:lang w:bidi="fa-IR"/>
              </w:rPr>
              <w:t>There are six cases where 1a houses do not require step-free access:</w:t>
            </w:r>
          </w:p>
          <w:p w:rsidR="007C6A5F" w:rsidRDefault="007C6A5F" w:rsidP="00C36DA4">
            <w:pPr>
              <w:pStyle w:val="TableListBullet"/>
              <w:rPr>
                <w:lang w:bidi="fa-IR"/>
              </w:rPr>
            </w:pPr>
            <w:r>
              <w:rPr>
                <w:lang w:bidi="fa-IR"/>
              </w:rPr>
              <w:t>Where the slope of the path of entry is steeper than 1:14</w:t>
            </w:r>
          </w:p>
          <w:p w:rsidR="007C6A5F" w:rsidRDefault="007C6A5F" w:rsidP="00C36DA4">
            <w:pPr>
              <w:pStyle w:val="TableListBullet"/>
              <w:rPr>
                <w:lang w:bidi="fa-IR"/>
              </w:rPr>
            </w:pPr>
            <w:r>
              <w:rPr>
                <w:lang w:bidi="fa-IR"/>
              </w:rPr>
              <w:t xml:space="preserve">High floor homes e.g.‘Queenslanders’ </w:t>
            </w:r>
          </w:p>
          <w:p w:rsidR="007C6A5F" w:rsidRDefault="007C6A5F" w:rsidP="00C36DA4">
            <w:pPr>
              <w:pStyle w:val="TableListBullet"/>
              <w:rPr>
                <w:lang w:bidi="fa-IR"/>
              </w:rPr>
            </w:pPr>
            <w:r>
              <w:rPr>
                <w:lang w:bidi="fa-IR"/>
              </w:rPr>
              <w:t>‘Smaller blocks’</w:t>
            </w:r>
          </w:p>
          <w:p w:rsidR="007C6A5F" w:rsidRDefault="007C6A5F" w:rsidP="00C36DA4">
            <w:pPr>
              <w:pStyle w:val="TableListBullet"/>
              <w:rPr>
                <w:lang w:bidi="fa-IR"/>
              </w:rPr>
            </w:pPr>
            <w:r>
              <w:rPr>
                <w:lang w:bidi="fa-IR"/>
              </w:rPr>
              <w:t>‘Dwellings on top of garages’</w:t>
            </w:r>
          </w:p>
          <w:p w:rsidR="007C6A5F" w:rsidRDefault="007C6A5F" w:rsidP="00C36DA4">
            <w:pPr>
              <w:pStyle w:val="TableListBullet"/>
              <w:rPr>
                <w:lang w:bidi="fa-IR"/>
              </w:rPr>
            </w:pPr>
            <w:r>
              <w:rPr>
                <w:lang w:bidi="fa-IR"/>
              </w:rPr>
              <w:t>The dwelling is located in a flood hazard area</w:t>
            </w:r>
          </w:p>
          <w:p w:rsidR="007C6A5F" w:rsidRDefault="007C6A5F" w:rsidP="00C36DA4">
            <w:pPr>
              <w:pStyle w:val="TableListBullet"/>
              <w:rPr>
                <w:lang w:bidi="fa-IR"/>
              </w:rPr>
            </w:pPr>
            <w:r>
              <w:rPr>
                <w:lang w:bidi="fa-IR"/>
              </w:rPr>
              <w:t>The dwelling is located in an alpine area</w:t>
            </w:r>
          </w:p>
        </w:tc>
        <w:tc>
          <w:tcPr>
            <w:tcW w:w="3684"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TextEntries"/>
              <w:rPr>
                <w:lang w:bidi="fa-IR"/>
              </w:rPr>
            </w:pPr>
            <w:r>
              <w:rPr>
                <w:lang w:bidi="fa-IR"/>
              </w:rPr>
              <w:t>Queenslander style homes are raised for ventilation; where the required ramping would exceed the interval limits set-out in the proposed changes, this ramping is not required (step-free access is not required)</w:t>
            </w:r>
          </w:p>
          <w:p w:rsidR="007C6A5F" w:rsidRDefault="007C6A5F" w:rsidP="00C36DA4">
            <w:pPr>
              <w:pStyle w:val="TableTextEntries"/>
              <w:rPr>
                <w:lang w:bidi="fa-IR"/>
              </w:rPr>
            </w:pPr>
            <w:r>
              <w:rPr>
                <w:lang w:bidi="fa-IR"/>
              </w:rPr>
              <w:t>‘Smaller blocks’ (usually inner-city) where dwelling access is via a step that is right on the edge of the lot (required by planning authorities), ramping is not practicable and is therefore not required (step free access is not required)</w:t>
            </w:r>
          </w:p>
          <w:p w:rsidR="007C6A5F" w:rsidRDefault="007C6A5F" w:rsidP="00C36DA4">
            <w:pPr>
              <w:pStyle w:val="TableTextEntries"/>
              <w:rPr>
                <w:lang w:bidi="fa-IR"/>
              </w:rPr>
            </w:pPr>
            <w:r>
              <w:rPr>
                <w:lang w:bidi="fa-IR"/>
              </w:rPr>
              <w:t xml:space="preserve">Where the ground floor of a dwelling is a garage, step-free access to the rest of the dwelling is not required </w:t>
            </w:r>
          </w:p>
        </w:tc>
      </w:tr>
    </w:tbl>
    <w:p w:rsidR="007C6A5F" w:rsidRDefault="007C6A5F" w:rsidP="007C6A5F">
      <w:pPr>
        <w:pStyle w:val="Source"/>
        <w:rPr>
          <w:lang w:bidi="fa-IR"/>
        </w:rPr>
      </w:pPr>
      <w:r w:rsidRPr="00DD48DA">
        <w:rPr>
          <w:i/>
          <w:lang w:bidi="fa-IR"/>
        </w:rPr>
        <w:t>Source:</w:t>
      </w:r>
      <w:r>
        <w:rPr>
          <w:lang w:bidi="fa-IR"/>
        </w:rPr>
        <w:t xml:space="preserve"> CIE</w:t>
      </w:r>
      <w:r w:rsidR="00C36DA4">
        <w:rPr>
          <w:lang w:bidi="fa-IR"/>
        </w:rPr>
        <w:t>.</w:t>
      </w:r>
    </w:p>
    <w:p w:rsidR="007C6A5F" w:rsidRDefault="007C6A5F" w:rsidP="007C6A5F">
      <w:pPr>
        <w:pStyle w:val="Heading3"/>
        <w:numPr>
          <w:ilvl w:val="2"/>
          <w:numId w:val="5"/>
        </w:numPr>
        <w:rPr>
          <w:lang w:bidi="fa-IR"/>
        </w:rPr>
      </w:pPr>
      <w:bookmarkStart w:id="3945" w:name="_Toc24977929"/>
      <w:r>
        <w:rPr>
          <w:lang w:bidi="fa-IR"/>
        </w:rPr>
        <w:t>Other options</w:t>
      </w:r>
      <w:bookmarkEnd w:id="3945"/>
    </w:p>
    <w:p w:rsidR="007C6A5F" w:rsidRDefault="007C6A5F" w:rsidP="007C6A5F">
      <w:pPr>
        <w:pStyle w:val="BodyText"/>
        <w:rPr>
          <w:lang w:bidi="fa-IR"/>
        </w:rPr>
      </w:pPr>
      <w:r>
        <w:rPr>
          <w:lang w:bidi="fa-IR"/>
        </w:rPr>
        <w:t>As identified above, there are a range of existing programs to address the aspects of the problem identified above. To the extent that existing measures do not fully address the issues, it is possible that expanding some existing programs could reduce the extent of the problem.</w:t>
      </w:r>
    </w:p>
    <w:p w:rsidR="007C6A5F" w:rsidRDefault="007C6A5F" w:rsidP="007C6A5F">
      <w:pPr>
        <w:pStyle w:val="BodyText"/>
        <w:rPr>
          <w:lang w:bidi="fa-IR"/>
        </w:rPr>
      </w:pPr>
      <w:r>
        <w:rPr>
          <w:lang w:bidi="fa-IR"/>
        </w:rPr>
        <w:t xml:space="preserve">A key question raised by industry stakeholders during targeted consultations is whether there is a need to apply accessibility standards to </w:t>
      </w:r>
      <w:r w:rsidRPr="00BA4B5F">
        <w:rPr>
          <w:b/>
          <w:bCs/>
          <w:lang w:bidi="fa-IR"/>
        </w:rPr>
        <w:t>all</w:t>
      </w:r>
      <w:r>
        <w:rPr>
          <w:lang w:bidi="fa-IR"/>
        </w:rPr>
        <w:t xml:space="preserve"> new dwellings.</w:t>
      </w:r>
    </w:p>
    <w:p w:rsidR="007C6A5F" w:rsidRDefault="007C6A5F" w:rsidP="007C6A5F">
      <w:pPr>
        <w:pStyle w:val="Heading4"/>
        <w:numPr>
          <w:ilvl w:val="3"/>
          <w:numId w:val="5"/>
        </w:numPr>
        <w:rPr>
          <w:lang w:bidi="fa-IR"/>
        </w:rPr>
      </w:pPr>
      <w:r>
        <w:rPr>
          <w:lang w:bidi="fa-IR"/>
        </w:rPr>
        <w:t>Other options through the NCC</w:t>
      </w:r>
    </w:p>
    <w:p w:rsidR="007C6A5F" w:rsidRDefault="007C6A5F" w:rsidP="007C6A5F">
      <w:pPr>
        <w:pStyle w:val="BodyText"/>
        <w:rPr>
          <w:lang w:bidi="fa-IR"/>
        </w:rPr>
      </w:pPr>
      <w:r>
        <w:rPr>
          <w:lang w:bidi="fa-IR"/>
        </w:rPr>
        <w:t xml:space="preserve">As the NCC applies to all new buildings, there is generally limited scope to impose accessibility standards on only a proportion of new dwellings through the NCC. The </w:t>
      </w:r>
      <w:r>
        <w:rPr>
          <w:lang w:bidi="fa-IR"/>
        </w:rPr>
        <w:lastRenderedPageBreak/>
        <w:t>proposed options currently include some exemptions; however, these generally apply where it is either not possible or impractical to apply all of the accessible design elements.</w:t>
      </w:r>
    </w:p>
    <w:p w:rsidR="007C6A5F" w:rsidRDefault="007C6A5F" w:rsidP="007C6A5F">
      <w:pPr>
        <w:pStyle w:val="BodyText"/>
        <w:rPr>
          <w:lang w:bidi="fa-IR"/>
        </w:rPr>
      </w:pPr>
      <w:r>
        <w:rPr>
          <w:lang w:bidi="fa-IR"/>
        </w:rPr>
        <w:t>Some alternative policy options for addressing the problem, include applying accessibility standards to either:</w:t>
      </w:r>
    </w:p>
    <w:p w:rsidR="007C6A5F" w:rsidRDefault="007C6A5F" w:rsidP="005A6F87">
      <w:pPr>
        <w:pStyle w:val="ListBullet"/>
        <w:numPr>
          <w:ilvl w:val="0"/>
          <w:numId w:val="17"/>
        </w:numPr>
        <w:rPr>
          <w:lang w:bidi="fa-IR"/>
        </w:rPr>
      </w:pPr>
      <w:r>
        <w:rPr>
          <w:lang w:bidi="fa-IR"/>
        </w:rPr>
        <w:t>Class 1a dwellings only, or</w:t>
      </w:r>
    </w:p>
    <w:p w:rsidR="007C6A5F" w:rsidRDefault="007C6A5F" w:rsidP="005A6F87">
      <w:pPr>
        <w:pStyle w:val="ListBullet"/>
        <w:numPr>
          <w:ilvl w:val="0"/>
          <w:numId w:val="17"/>
        </w:numPr>
        <w:rPr>
          <w:lang w:bidi="fa-IR"/>
        </w:rPr>
      </w:pPr>
      <w:r>
        <w:rPr>
          <w:lang w:bidi="fa-IR"/>
        </w:rPr>
        <w:t>Class 2 dwellings only.</w:t>
      </w:r>
    </w:p>
    <w:p w:rsidR="007C6A5F" w:rsidRDefault="007C6A5F" w:rsidP="007C6A5F">
      <w:pPr>
        <w:pStyle w:val="Heading4"/>
        <w:numPr>
          <w:ilvl w:val="3"/>
          <w:numId w:val="5"/>
        </w:numPr>
        <w:rPr>
          <w:lang w:bidi="fa-IR"/>
        </w:rPr>
      </w:pPr>
      <w:r>
        <w:rPr>
          <w:lang w:bidi="fa-IR"/>
        </w:rPr>
        <w:t>Planning requirements</w:t>
      </w:r>
    </w:p>
    <w:p w:rsidR="007C6A5F" w:rsidRDefault="007C6A5F" w:rsidP="007C6A5F">
      <w:pPr>
        <w:pStyle w:val="BodyText"/>
        <w:rPr>
          <w:lang w:bidi="fa-IR"/>
        </w:rPr>
      </w:pPr>
      <w:r>
        <w:rPr>
          <w:lang w:bidi="fa-IR"/>
        </w:rPr>
        <w:t>As noted above, some states increase the supply of accessible dwellings through mandated planning requirements or incentives through the planning system.</w:t>
      </w:r>
    </w:p>
    <w:p w:rsidR="007C6A5F" w:rsidRDefault="007C6A5F" w:rsidP="005A6F87">
      <w:pPr>
        <w:pStyle w:val="ListBullet"/>
        <w:numPr>
          <w:ilvl w:val="0"/>
          <w:numId w:val="17"/>
        </w:numPr>
        <w:rPr>
          <w:lang w:bidi="fa-IR"/>
        </w:rPr>
      </w:pPr>
      <w:r>
        <w:rPr>
          <w:lang w:bidi="fa-IR"/>
        </w:rPr>
        <w:t>Mandated requirements generally apply to a proportion of dwellings and as such, can only be applied to multi</w:t>
      </w:r>
      <w:r>
        <w:rPr>
          <w:lang w:bidi="fa-IR"/>
        </w:rPr>
        <w:noBreakHyphen/>
        <w:t xml:space="preserve">dwelling developments. </w:t>
      </w:r>
    </w:p>
    <w:p w:rsidR="007C6A5F" w:rsidRDefault="007C6A5F" w:rsidP="005A6F87">
      <w:pPr>
        <w:pStyle w:val="ListBullet2"/>
        <w:numPr>
          <w:ilvl w:val="1"/>
          <w:numId w:val="17"/>
        </w:numPr>
        <w:ind w:left="568" w:hanging="284"/>
        <w:rPr>
          <w:lang w:bidi="fa-IR"/>
        </w:rPr>
      </w:pPr>
      <w:r>
        <w:rPr>
          <w:lang w:bidi="fa-IR"/>
        </w:rPr>
        <w:t>One potential advantage of this approach (compared with the NCC) is that applying accessibility requirements to a proportion of dwellings can reduce compliance costs (as it is more targeted not all dwellings would need to comply).</w:t>
      </w:r>
    </w:p>
    <w:p w:rsidR="007C6A5F" w:rsidRDefault="007C6A5F" w:rsidP="005A6F87">
      <w:pPr>
        <w:pStyle w:val="ListBullet2"/>
        <w:numPr>
          <w:ilvl w:val="1"/>
          <w:numId w:val="17"/>
        </w:numPr>
        <w:ind w:left="568" w:hanging="284"/>
        <w:rPr>
          <w:lang w:bidi="fa-IR"/>
        </w:rPr>
      </w:pPr>
      <w:r>
        <w:rPr>
          <w:lang w:bidi="fa-IR"/>
        </w:rPr>
        <w:t>On the downside, this approach will be less effective in increasing the stock of accessible dwellings.</w:t>
      </w:r>
    </w:p>
    <w:p w:rsidR="007C6A5F" w:rsidRDefault="007C6A5F" w:rsidP="005A6F87">
      <w:pPr>
        <w:pStyle w:val="ListBullet2"/>
        <w:numPr>
          <w:ilvl w:val="1"/>
          <w:numId w:val="17"/>
        </w:numPr>
        <w:ind w:left="568" w:hanging="284"/>
        <w:rPr>
          <w:lang w:bidi="fa-IR"/>
        </w:rPr>
      </w:pPr>
      <w:r>
        <w:rPr>
          <w:lang w:bidi="fa-IR"/>
        </w:rPr>
        <w:t>Variations across LGAs can also increase costs for builders and designers.</w:t>
      </w:r>
    </w:p>
    <w:p w:rsidR="007C6A5F" w:rsidRDefault="007C6A5F" w:rsidP="005A6F87">
      <w:pPr>
        <w:pStyle w:val="ListBullet"/>
        <w:numPr>
          <w:ilvl w:val="0"/>
          <w:numId w:val="17"/>
        </w:numPr>
        <w:rPr>
          <w:lang w:bidi="fa-IR"/>
        </w:rPr>
      </w:pPr>
      <w:r>
        <w:rPr>
          <w:lang w:bidi="fa-IR"/>
        </w:rPr>
        <w:t>Other incentives through the planning system could include:</w:t>
      </w:r>
    </w:p>
    <w:p w:rsidR="007C6A5F" w:rsidRDefault="007C6A5F" w:rsidP="005A6F87">
      <w:pPr>
        <w:pStyle w:val="ListBullet2"/>
        <w:numPr>
          <w:ilvl w:val="1"/>
          <w:numId w:val="17"/>
        </w:numPr>
        <w:ind w:left="568" w:hanging="284"/>
        <w:rPr>
          <w:lang w:bidi="fa-IR"/>
        </w:rPr>
      </w:pPr>
      <w:r>
        <w:rPr>
          <w:lang w:bidi="fa-IR"/>
        </w:rPr>
        <w:t>exemptions from infrastructure charges</w:t>
      </w:r>
    </w:p>
    <w:p w:rsidR="007C6A5F" w:rsidRDefault="007C6A5F" w:rsidP="005A6F87">
      <w:pPr>
        <w:pStyle w:val="ListBullet2"/>
        <w:numPr>
          <w:ilvl w:val="1"/>
          <w:numId w:val="17"/>
        </w:numPr>
        <w:ind w:left="568" w:hanging="284"/>
        <w:rPr>
          <w:lang w:bidi="fa-IR"/>
        </w:rPr>
      </w:pPr>
      <w:r>
        <w:rPr>
          <w:lang w:bidi="fa-IR"/>
        </w:rPr>
        <w:t>preferential approval pathways</w:t>
      </w:r>
    </w:p>
    <w:p w:rsidR="007C6A5F" w:rsidRDefault="007C6A5F" w:rsidP="005A6F87">
      <w:pPr>
        <w:pStyle w:val="ListBullet2"/>
        <w:numPr>
          <w:ilvl w:val="1"/>
          <w:numId w:val="17"/>
        </w:numPr>
        <w:ind w:left="568" w:hanging="284"/>
        <w:rPr>
          <w:lang w:bidi="fa-IR"/>
        </w:rPr>
      </w:pPr>
      <w:r>
        <w:rPr>
          <w:lang w:bidi="fa-IR"/>
        </w:rPr>
        <w:t>density bonuses (or similar).</w:t>
      </w:r>
    </w:p>
    <w:p w:rsidR="007C6A5F" w:rsidRDefault="007C6A5F" w:rsidP="007C6A5F">
      <w:pPr>
        <w:pStyle w:val="BodyText"/>
        <w:rPr>
          <w:lang w:bidi="fa-IR"/>
        </w:rPr>
      </w:pPr>
      <w:r>
        <w:rPr>
          <w:lang w:bidi="fa-IR"/>
        </w:rPr>
        <w:t>Unlike the intention of the NCC, planning requirements vary across states and in some cases local government areas (LGAs). Planning frameworks vary significantly across states, making national consistency difficult to achieve. For example, in some states accessibility requirements for multi</w:t>
      </w:r>
      <w:r>
        <w:rPr>
          <w:lang w:bidi="fa-IR"/>
        </w:rPr>
        <w:noBreakHyphen/>
        <w:t xml:space="preserve">dwelling developments are applied through apartment design guidelines. However, not all </w:t>
      </w:r>
      <w:r w:rsidR="00C36DA4">
        <w:rPr>
          <w:lang w:bidi="fa-IR"/>
        </w:rPr>
        <w:t>s</w:t>
      </w:r>
      <w:r>
        <w:rPr>
          <w:lang w:bidi="fa-IR"/>
        </w:rPr>
        <w:t>tate</w:t>
      </w:r>
      <w:r w:rsidR="00C36DA4">
        <w:rPr>
          <w:lang w:bidi="fa-IR"/>
        </w:rPr>
        <w:t>s</w:t>
      </w:r>
      <w:r>
        <w:rPr>
          <w:lang w:bidi="fa-IR"/>
        </w:rPr>
        <w:t xml:space="preserve"> have apartment design guidelines.</w:t>
      </w:r>
    </w:p>
    <w:p w:rsidR="007C6A5F" w:rsidRDefault="007C6A5F" w:rsidP="007C6A5F">
      <w:pPr>
        <w:pStyle w:val="BodyText"/>
        <w:rPr>
          <w:lang w:bidi="fa-IR"/>
        </w:rPr>
      </w:pPr>
      <w:r>
        <w:rPr>
          <w:lang w:bidi="fa-IR"/>
        </w:rPr>
        <w:t>There is currently no mechanism to apply nationally consistent planning requirements. Implementing this approach would therefore require each state governments to reach agreement and apply the agreed nationally consistent requirements through each state or territories’ own planning framework.</w:t>
      </w:r>
    </w:p>
    <w:p w:rsidR="007C6A5F" w:rsidRDefault="007C6A5F" w:rsidP="007C6A5F">
      <w:pPr>
        <w:pStyle w:val="Heading4"/>
        <w:numPr>
          <w:ilvl w:val="3"/>
          <w:numId w:val="5"/>
        </w:numPr>
        <w:rPr>
          <w:lang w:bidi="fa-IR"/>
        </w:rPr>
      </w:pPr>
      <w:r>
        <w:rPr>
          <w:lang w:bidi="fa-IR"/>
        </w:rPr>
        <w:t>Social housing</w:t>
      </w:r>
    </w:p>
    <w:p w:rsidR="007C6A5F" w:rsidRDefault="007C6A5F" w:rsidP="007C6A5F">
      <w:pPr>
        <w:pStyle w:val="BodyText"/>
        <w:rPr>
          <w:lang w:bidi="fa-IR"/>
        </w:rPr>
      </w:pPr>
      <w:r>
        <w:rPr>
          <w:lang w:bidi="fa-IR"/>
        </w:rPr>
        <w:t>One approach to improving the availability of accessible housing for people with a mobility</w:t>
      </w:r>
      <w:r>
        <w:rPr>
          <w:lang w:bidi="fa-IR"/>
        </w:rPr>
        <w:noBreakHyphen/>
        <w:t xml:space="preserve">related disability is through expanding accessible social housing. </w:t>
      </w:r>
    </w:p>
    <w:p w:rsidR="007C6A5F" w:rsidRDefault="007C6A5F" w:rsidP="005A6F87">
      <w:pPr>
        <w:pStyle w:val="ListBullet"/>
        <w:numPr>
          <w:ilvl w:val="0"/>
          <w:numId w:val="17"/>
        </w:numPr>
        <w:rPr>
          <w:lang w:bidi="fa-IR"/>
        </w:rPr>
      </w:pPr>
      <w:r>
        <w:rPr>
          <w:lang w:bidi="fa-IR"/>
        </w:rPr>
        <w:t>A key advantage of this approach is it is potentially more targeted at addressing the problem as state and territory housing authorities would be able to ensure that new accessible housing is allocated to people with a mobility impairments.</w:t>
      </w:r>
    </w:p>
    <w:p w:rsidR="007C6A5F" w:rsidRDefault="007C6A5F" w:rsidP="005A6F87">
      <w:pPr>
        <w:pStyle w:val="ListBullet"/>
        <w:numPr>
          <w:ilvl w:val="0"/>
          <w:numId w:val="17"/>
        </w:numPr>
        <w:rPr>
          <w:lang w:bidi="fa-IR"/>
        </w:rPr>
      </w:pPr>
      <w:r>
        <w:rPr>
          <w:lang w:bidi="fa-IR"/>
        </w:rPr>
        <w:t xml:space="preserve">However, increased provision of accessible social housing would address only one aspect of the problem — the lack of accessible rental properties for those who are eligible for social housing. </w:t>
      </w:r>
    </w:p>
    <w:p w:rsidR="007C6A5F" w:rsidRPr="006A3756" w:rsidRDefault="007C6A5F" w:rsidP="007C6A5F">
      <w:pPr>
        <w:pStyle w:val="Heading4"/>
        <w:numPr>
          <w:ilvl w:val="3"/>
          <w:numId w:val="5"/>
        </w:numPr>
        <w:rPr>
          <w:lang w:bidi="fa-IR"/>
        </w:rPr>
      </w:pPr>
      <w:r>
        <w:rPr>
          <w:lang w:bidi="fa-IR"/>
        </w:rPr>
        <w:lastRenderedPageBreak/>
        <w:t>Direct subsidies</w:t>
      </w:r>
    </w:p>
    <w:p w:rsidR="007C6A5F" w:rsidRDefault="007C6A5F" w:rsidP="007C6A5F">
      <w:pPr>
        <w:pStyle w:val="BodyText"/>
        <w:rPr>
          <w:lang w:bidi="fa-IR"/>
        </w:rPr>
      </w:pPr>
      <w:r>
        <w:rPr>
          <w:lang w:bidi="fa-IR"/>
        </w:rPr>
        <w:t xml:space="preserve">During ABCB’s consultations, some stakeholders expressed a preference for direct subsidies to </w:t>
      </w:r>
      <w:r w:rsidRPr="00D130F6">
        <w:rPr>
          <w:lang w:bidi="fa-IR"/>
        </w:rPr>
        <w:t>build accessible dwellings</w:t>
      </w:r>
      <w:r>
        <w:rPr>
          <w:lang w:bidi="fa-IR"/>
        </w:rPr>
        <w:t xml:space="preserve">. Presumably, this approach would involve either the Commonwealth or state governments </w:t>
      </w:r>
      <w:r w:rsidRPr="00D130F6">
        <w:rPr>
          <w:lang w:bidi="fa-IR"/>
        </w:rPr>
        <w:t>funding developers or individuals</w:t>
      </w:r>
      <w:r>
        <w:rPr>
          <w:lang w:bidi="fa-IR"/>
        </w:rPr>
        <w:t xml:space="preserve"> to build dwellings that meet a specified accessibility standard.</w:t>
      </w:r>
    </w:p>
    <w:p w:rsidR="007C6A5F" w:rsidRDefault="007C6A5F" w:rsidP="007C6A5F">
      <w:pPr>
        <w:pStyle w:val="BodyText"/>
        <w:rPr>
          <w:lang w:bidi="fa-IR"/>
        </w:rPr>
      </w:pPr>
      <w:r>
        <w:rPr>
          <w:lang w:bidi="fa-IR"/>
        </w:rPr>
        <w:t xml:space="preserve">While regulatory options would generally apply to all new buildings (unless specifically exempt), subsidies can have the advantage of being a more targeted approach to achieving the objectives. In particular, a subsidy program can potentially ensure that </w:t>
      </w:r>
      <w:r w:rsidRPr="00D130F6">
        <w:rPr>
          <w:lang w:bidi="fa-IR"/>
        </w:rPr>
        <w:t>accessible dwellings are allocated to households with accessibility needs</w:t>
      </w:r>
      <w:r>
        <w:rPr>
          <w:lang w:bidi="fa-IR"/>
        </w:rPr>
        <w:t xml:space="preserve"> through an administrative process.</w:t>
      </w:r>
    </w:p>
    <w:p w:rsidR="007C6A5F" w:rsidRDefault="007C6A5F" w:rsidP="007C6A5F">
      <w:pPr>
        <w:pStyle w:val="BodyText"/>
        <w:rPr>
          <w:lang w:bidi="fa-IR"/>
        </w:rPr>
      </w:pPr>
      <w:r>
        <w:rPr>
          <w:lang w:bidi="fa-IR"/>
        </w:rPr>
        <w:t>Providing subsidies to owner</w:t>
      </w:r>
      <w:r>
        <w:rPr>
          <w:lang w:bidi="fa-IR"/>
        </w:rPr>
        <w:noBreakHyphen/>
        <w:t>occupiers would not make additional accessible housing available to households with accessibility needs in the short</w:t>
      </w:r>
      <w:r>
        <w:rPr>
          <w:lang w:bidi="fa-IR"/>
        </w:rPr>
        <w:noBreakHyphen/>
        <w:t>term. Any owner</w:t>
      </w:r>
      <w:r>
        <w:rPr>
          <w:lang w:bidi="fa-IR"/>
        </w:rPr>
        <w:noBreakHyphen/>
        <w:t>occupiers that are encouraged to apply universal design principles as a result of the subsidy are unlikely to have current accessibility needs. Logically, if they had current accessibility needs they would have incorporated accessible design features into the housing design, even without the subsidy. Consequently, additional accessible housing would not become available to those with accessibility needs, unless offered for rent, or until the original owner moved out (or a household member acquires a disability). For these reasons, subsidising owner</w:t>
      </w:r>
      <w:r>
        <w:rPr>
          <w:lang w:bidi="fa-IR"/>
        </w:rPr>
        <w:noBreakHyphen/>
        <w:t>occupiers to incorporate universal design principles into their dwelling design would not be a targeted approach to achieving the objectives.</w:t>
      </w:r>
    </w:p>
    <w:p w:rsidR="007C6A5F" w:rsidRDefault="007C6A5F" w:rsidP="007C6A5F">
      <w:pPr>
        <w:pStyle w:val="BodyText"/>
        <w:rPr>
          <w:lang w:bidi="fa-IR"/>
        </w:rPr>
      </w:pPr>
      <w:r>
        <w:rPr>
          <w:lang w:bidi="fa-IR"/>
        </w:rPr>
        <w:t xml:space="preserve">Given the different nature of the barriers to the uptake of universal design principles for apartments, there is more logic in subsidising developers to build accessible apartments; however, there is unlikely to be an effective mechanism to ensure that these apartments are </w:t>
      </w:r>
      <w:r w:rsidRPr="00D130F6">
        <w:rPr>
          <w:lang w:bidi="fa-IR"/>
        </w:rPr>
        <w:t>a</w:t>
      </w:r>
      <w:r>
        <w:rPr>
          <w:lang w:bidi="fa-IR"/>
        </w:rPr>
        <w:t>ctually occupied by</w:t>
      </w:r>
      <w:r w:rsidRPr="00D130F6">
        <w:rPr>
          <w:lang w:bidi="fa-IR"/>
        </w:rPr>
        <w:t xml:space="preserve"> people with accessibility</w:t>
      </w:r>
      <w:r>
        <w:rPr>
          <w:lang w:bidi="fa-IR"/>
        </w:rPr>
        <w:t xml:space="preserve"> needs over the longer</w:t>
      </w:r>
      <w:r>
        <w:rPr>
          <w:lang w:bidi="fa-IR"/>
        </w:rPr>
        <w:noBreakHyphen/>
        <w:t>term.</w:t>
      </w:r>
    </w:p>
    <w:p w:rsidR="007C6A5F" w:rsidRDefault="007C6A5F" w:rsidP="007C6A5F">
      <w:pPr>
        <w:pStyle w:val="BodyText"/>
        <w:rPr>
          <w:lang w:bidi="fa-IR"/>
        </w:rPr>
      </w:pPr>
      <w:r>
        <w:rPr>
          <w:lang w:bidi="fa-IR"/>
        </w:rPr>
        <w:t>The most targeted approach would be to provide a subsidy to landlords that provide rental accommodation to households with specific accessibility needs. This is similar to the approach used for SDA, although presumably these subsidies would apply to some households that are not eligible for SDA (SDA is an insurance scheme that has stringent eligibility requirements).</w:t>
      </w:r>
    </w:p>
    <w:p w:rsidR="007C6A5F" w:rsidRDefault="007C6A5F" w:rsidP="005A6F87">
      <w:pPr>
        <w:pStyle w:val="ListBullet"/>
        <w:numPr>
          <w:ilvl w:val="0"/>
          <w:numId w:val="17"/>
        </w:numPr>
        <w:rPr>
          <w:lang w:bidi="fa-IR"/>
        </w:rPr>
      </w:pPr>
      <w:r>
        <w:rPr>
          <w:lang w:bidi="fa-IR"/>
        </w:rPr>
        <w:t>This approach would be specifically targeted at addressing the issue associated with a lack of accessible private rental properties.</w:t>
      </w:r>
    </w:p>
    <w:p w:rsidR="007C6A5F" w:rsidRDefault="007C6A5F" w:rsidP="005A6F87">
      <w:pPr>
        <w:pStyle w:val="ListBullet"/>
        <w:numPr>
          <w:ilvl w:val="0"/>
          <w:numId w:val="17"/>
        </w:numPr>
        <w:rPr>
          <w:lang w:bidi="fa-IR"/>
        </w:rPr>
      </w:pPr>
      <w:r>
        <w:rPr>
          <w:lang w:bidi="fa-IR"/>
        </w:rPr>
        <w:t xml:space="preserve">As there are already policies in place to support low income households with accessibility needs (i.e. social housing) and households with care needs (i.e. SDA), this subsidy </w:t>
      </w:r>
      <w:r w:rsidR="005F5B77">
        <w:rPr>
          <w:lang w:bidi="fa-IR"/>
        </w:rPr>
        <w:t>c</w:t>
      </w:r>
      <w:r>
        <w:rPr>
          <w:lang w:bidi="fa-IR"/>
        </w:rPr>
        <w:t>ould be targeted at ensuring accessible rental stock is available, implying that rents could be charged at rates reflecting rents charged for similar properties (which may not have relevant accessibility features). That is, the subsidy would be designed to stimulate the market for accessible rental properties and would only cover the additional cost of the relevant accessibility features.</w:t>
      </w:r>
    </w:p>
    <w:p w:rsidR="007C6A5F" w:rsidRPr="00D130F6" w:rsidRDefault="007C6A5F" w:rsidP="005A6F87">
      <w:pPr>
        <w:pStyle w:val="ListBullet"/>
        <w:numPr>
          <w:ilvl w:val="0"/>
          <w:numId w:val="17"/>
        </w:numPr>
        <w:rPr>
          <w:lang w:bidi="fa-IR"/>
        </w:rPr>
      </w:pPr>
      <w:r w:rsidRPr="00D130F6">
        <w:rPr>
          <w:lang w:bidi="fa-IR"/>
        </w:rPr>
        <w:t>A subsidy on accessible rental properties is a way of providing assistance to renters that in many cases are unable to access the subsidies on home modifications provided to owner</w:t>
      </w:r>
      <w:r w:rsidRPr="00D130F6">
        <w:rPr>
          <w:lang w:bidi="fa-IR"/>
        </w:rPr>
        <w:noBreakHyphen/>
        <w:t>occupiers.</w:t>
      </w:r>
    </w:p>
    <w:p w:rsidR="007C6A5F" w:rsidRDefault="007C6A5F" w:rsidP="007C6A5F">
      <w:pPr>
        <w:pStyle w:val="Heading4"/>
        <w:numPr>
          <w:ilvl w:val="3"/>
          <w:numId w:val="5"/>
        </w:numPr>
        <w:rPr>
          <w:lang w:bidi="fa-IR"/>
        </w:rPr>
      </w:pPr>
      <w:r>
        <w:rPr>
          <w:lang w:bidi="fa-IR"/>
        </w:rPr>
        <w:lastRenderedPageBreak/>
        <w:t>Enhanced voluntary Guidance</w:t>
      </w:r>
    </w:p>
    <w:p w:rsidR="007C6A5F" w:rsidRDefault="007C6A5F" w:rsidP="007C6A5F">
      <w:pPr>
        <w:pStyle w:val="BodyText"/>
        <w:rPr>
          <w:lang w:bidi="fa-IR"/>
        </w:rPr>
      </w:pPr>
      <w:r>
        <w:rPr>
          <w:lang w:bidi="fa-IR"/>
        </w:rPr>
        <w:t>During the targeted consultations, some stakeholders argued that options for encouraging voluntary uptake of accessible housing designs had not yet been fully explored. In particular, few resources have been allocated to:</w:t>
      </w:r>
    </w:p>
    <w:p w:rsidR="007C6A5F" w:rsidRDefault="007C6A5F" w:rsidP="005A6F87">
      <w:pPr>
        <w:pStyle w:val="ListBullet"/>
        <w:numPr>
          <w:ilvl w:val="0"/>
          <w:numId w:val="17"/>
        </w:numPr>
        <w:rPr>
          <w:lang w:bidi="fa-IR"/>
        </w:rPr>
      </w:pPr>
      <w:r>
        <w:rPr>
          <w:lang w:bidi="fa-IR"/>
        </w:rPr>
        <w:t>promoting the LHDG to both:</w:t>
      </w:r>
    </w:p>
    <w:p w:rsidR="007C6A5F" w:rsidRDefault="007C6A5F" w:rsidP="005A6F87">
      <w:pPr>
        <w:pStyle w:val="ListBullet2"/>
        <w:numPr>
          <w:ilvl w:val="1"/>
          <w:numId w:val="17"/>
        </w:numPr>
        <w:ind w:left="568" w:hanging="284"/>
        <w:rPr>
          <w:lang w:bidi="fa-IR"/>
        </w:rPr>
      </w:pPr>
      <w:r>
        <w:rPr>
          <w:lang w:bidi="fa-IR"/>
        </w:rPr>
        <w:t>builders/developers</w:t>
      </w:r>
      <w:r w:rsidR="00C36DA4">
        <w:rPr>
          <w:lang w:bidi="fa-IR"/>
        </w:rPr>
        <w:t xml:space="preserve">, </w:t>
      </w:r>
      <w:r>
        <w:rPr>
          <w:lang w:bidi="fa-IR"/>
        </w:rPr>
        <w:t>and</w:t>
      </w:r>
    </w:p>
    <w:p w:rsidR="007C6A5F" w:rsidRDefault="007C6A5F" w:rsidP="005A6F87">
      <w:pPr>
        <w:pStyle w:val="ListBullet2"/>
        <w:numPr>
          <w:ilvl w:val="1"/>
          <w:numId w:val="17"/>
        </w:numPr>
        <w:ind w:left="568" w:hanging="284"/>
        <w:rPr>
          <w:lang w:bidi="fa-IR"/>
        </w:rPr>
      </w:pPr>
      <w:r>
        <w:rPr>
          <w:lang w:bidi="fa-IR"/>
        </w:rPr>
        <w:t>potential buyers</w:t>
      </w:r>
    </w:p>
    <w:p w:rsidR="007C6A5F" w:rsidRDefault="007C6A5F" w:rsidP="005A6F87">
      <w:pPr>
        <w:pStyle w:val="ListBullet"/>
        <w:numPr>
          <w:ilvl w:val="0"/>
          <w:numId w:val="17"/>
        </w:numPr>
        <w:rPr>
          <w:lang w:bidi="fa-IR"/>
        </w:rPr>
      </w:pPr>
      <w:r>
        <w:rPr>
          <w:lang w:bidi="fa-IR"/>
        </w:rPr>
        <w:t>promoting the existing certification scheme.</w:t>
      </w:r>
    </w:p>
    <w:p w:rsidR="007C6A5F" w:rsidRDefault="007C6A5F" w:rsidP="007C6A5F">
      <w:pPr>
        <w:pStyle w:val="BodyText"/>
        <w:rPr>
          <w:lang w:bidi="fa-IR"/>
        </w:rPr>
      </w:pPr>
      <w:r>
        <w:rPr>
          <w:lang w:bidi="fa-IR"/>
        </w:rPr>
        <w:t>An enhanced voluntary option could include the following elements.</w:t>
      </w:r>
    </w:p>
    <w:p w:rsidR="007C6A5F" w:rsidRDefault="007C6A5F" w:rsidP="005A6F87">
      <w:pPr>
        <w:pStyle w:val="ListBullet"/>
        <w:numPr>
          <w:ilvl w:val="0"/>
          <w:numId w:val="17"/>
        </w:numPr>
        <w:rPr>
          <w:lang w:bidi="fa-IR"/>
        </w:rPr>
      </w:pPr>
      <w:r>
        <w:rPr>
          <w:lang w:bidi="fa-IR"/>
        </w:rPr>
        <w:t xml:space="preserve">A voluntary ABCB handbook </w:t>
      </w:r>
      <w:r w:rsidR="00C36DA4">
        <w:rPr>
          <w:lang w:bidi="fa-IR"/>
        </w:rPr>
        <w:t>—</w:t>
      </w:r>
      <w:r>
        <w:rPr>
          <w:lang w:bidi="fa-IR"/>
        </w:rPr>
        <w:t xml:space="preserve"> some stakeholders argued that this would raise the profile of accessible housing and encourage uptake. Furthermore, where state or local government do apply accessibility requirements, there is no consistency in the standards applied. If a voluntary ABCB handbook was developed, any state or local government requirement could refer to the voluntary standard. This could improve the consistency of the standards applied.</w:t>
      </w:r>
    </w:p>
    <w:p w:rsidR="007C6A5F" w:rsidRDefault="007C6A5F" w:rsidP="005A6F87">
      <w:pPr>
        <w:pStyle w:val="ListBullet"/>
        <w:numPr>
          <w:ilvl w:val="0"/>
          <w:numId w:val="17"/>
        </w:numPr>
        <w:rPr>
          <w:lang w:bidi="fa-IR"/>
        </w:rPr>
      </w:pPr>
      <w:r>
        <w:rPr>
          <w:lang w:bidi="fa-IR"/>
        </w:rPr>
        <w:t xml:space="preserve">Information provision at the point of sale </w:t>
      </w:r>
      <w:r w:rsidR="00C36DA4">
        <w:rPr>
          <w:lang w:bidi="fa-IR"/>
        </w:rPr>
        <w:t>—</w:t>
      </w:r>
      <w:r>
        <w:rPr>
          <w:lang w:bidi="fa-IR"/>
        </w:rPr>
        <w:t xml:space="preserve"> more information on the benefits of accessible housing could be provided at the point of sale to encourage more demand for accessible housing.</w:t>
      </w:r>
    </w:p>
    <w:p w:rsidR="007C6A5F" w:rsidRDefault="007C6A5F" w:rsidP="005A6F87">
      <w:pPr>
        <w:pStyle w:val="ListBullet"/>
        <w:numPr>
          <w:ilvl w:val="0"/>
          <w:numId w:val="17"/>
        </w:numPr>
        <w:rPr>
          <w:lang w:bidi="fa-IR"/>
        </w:rPr>
      </w:pPr>
      <w:r>
        <w:rPr>
          <w:lang w:bidi="fa-IR"/>
        </w:rPr>
        <w:t>Better matching services — although there are some services available, matching buyers/sellers nevertheless has been identified as a problem. Options to improve these services could include</w:t>
      </w:r>
      <w:r w:rsidR="005F5B77">
        <w:rPr>
          <w:lang w:bidi="fa-IR"/>
        </w:rPr>
        <w:t xml:space="preserve"> the following.</w:t>
      </w:r>
    </w:p>
    <w:p w:rsidR="007C6A5F" w:rsidRDefault="007C6A5F" w:rsidP="005A6F87">
      <w:pPr>
        <w:pStyle w:val="ListBullet2"/>
        <w:numPr>
          <w:ilvl w:val="1"/>
          <w:numId w:val="17"/>
        </w:numPr>
        <w:ind w:left="568" w:hanging="284"/>
        <w:rPr>
          <w:lang w:bidi="fa-IR"/>
        </w:rPr>
      </w:pPr>
      <w:r>
        <w:rPr>
          <w:lang w:bidi="fa-IR"/>
        </w:rPr>
        <w:t>Developing a specialised web-based search facility</w:t>
      </w:r>
      <w:r w:rsidR="005F5B77">
        <w:rPr>
          <w:lang w:bidi="fa-IR"/>
        </w:rPr>
        <w:t>.</w:t>
      </w:r>
    </w:p>
    <w:p w:rsidR="007C6A5F" w:rsidRDefault="007C6A5F" w:rsidP="005A6F87">
      <w:pPr>
        <w:pStyle w:val="ListBullet2"/>
        <w:numPr>
          <w:ilvl w:val="1"/>
          <w:numId w:val="17"/>
        </w:numPr>
        <w:ind w:left="568" w:hanging="284"/>
        <w:rPr>
          <w:lang w:bidi="fa-IR"/>
        </w:rPr>
      </w:pPr>
      <w:r>
        <w:rPr>
          <w:lang w:bidi="fa-IR"/>
        </w:rPr>
        <w:t>Working with mainstream websites (such as realestate.com or domain) to enable people to search for certified accessible dwellings. This would also help to encourage better awareness and greater uptake of the certification scheme.</w:t>
      </w:r>
    </w:p>
    <w:p w:rsidR="007C6A5F" w:rsidRDefault="007C6A5F" w:rsidP="007C6A5F">
      <w:pPr>
        <w:pStyle w:val="Heading2"/>
        <w:numPr>
          <w:ilvl w:val="1"/>
          <w:numId w:val="5"/>
        </w:numPr>
        <w:rPr>
          <w:lang w:bidi="fa-IR"/>
        </w:rPr>
      </w:pPr>
      <w:bookmarkStart w:id="3946" w:name="_Toc32321755"/>
      <w:bookmarkStart w:id="3947" w:name="_Toc44598443"/>
      <w:bookmarkStart w:id="3948" w:name="_Toc45654074"/>
      <w:r>
        <w:rPr>
          <w:lang w:bidi="fa-IR"/>
        </w:rPr>
        <w:t>Summary of options to be considered</w:t>
      </w:r>
      <w:bookmarkEnd w:id="3946"/>
      <w:bookmarkEnd w:id="3947"/>
      <w:bookmarkEnd w:id="3948"/>
    </w:p>
    <w:p w:rsidR="007C6A5F" w:rsidRDefault="007C6A5F" w:rsidP="007C6A5F">
      <w:pPr>
        <w:pStyle w:val="BodyText"/>
        <w:rPr>
          <w:lang w:bidi="fa-IR"/>
        </w:rPr>
      </w:pPr>
      <w:r>
        <w:rPr>
          <w:lang w:bidi="fa-IR"/>
        </w:rPr>
        <w:t>A range of options have been developed based on those proposed through stakeholder consultation, including some not within ABCB’s broad area of responsibility (e.g. Option 5 and the information provision and matching aspects of Option 6) and non-regulatory alternatives as required under best practice guidelines. The Consultation RIS explicitly considers the impacts of the following options (measured from the status quo baseline).</w:t>
      </w:r>
    </w:p>
    <w:p w:rsidR="007C6A5F" w:rsidRPr="003758B7" w:rsidRDefault="007C6A5F" w:rsidP="005A6F87">
      <w:pPr>
        <w:pStyle w:val="ListBullet"/>
        <w:numPr>
          <w:ilvl w:val="0"/>
          <w:numId w:val="17"/>
        </w:numPr>
        <w:rPr>
          <w:b/>
          <w:lang w:bidi="fa-IR"/>
        </w:rPr>
      </w:pPr>
      <w:r w:rsidRPr="00B720B6">
        <w:rPr>
          <w:b/>
          <w:lang w:bidi="fa-IR"/>
        </w:rPr>
        <w:t>Status quo</w:t>
      </w:r>
    </w:p>
    <w:p w:rsidR="007C6A5F" w:rsidRDefault="007C6A5F" w:rsidP="005A6F87">
      <w:pPr>
        <w:pStyle w:val="ListBullet"/>
        <w:numPr>
          <w:ilvl w:val="0"/>
          <w:numId w:val="17"/>
        </w:numPr>
        <w:rPr>
          <w:lang w:bidi="fa-IR"/>
        </w:rPr>
      </w:pPr>
      <w:r w:rsidRPr="00AE0FB4">
        <w:rPr>
          <w:b/>
          <w:bCs/>
          <w:lang w:bidi="fa-IR"/>
        </w:rPr>
        <w:t>Option 1:</w:t>
      </w:r>
      <w:r>
        <w:rPr>
          <w:lang w:bidi="fa-IR"/>
        </w:rPr>
        <w:t xml:space="preserve"> Accessibility standard, broadly reflecting LHDG silver standard, in the NCC applying to all new Class 1a and Class 2 buildings.</w:t>
      </w:r>
    </w:p>
    <w:p w:rsidR="007C6A5F" w:rsidRDefault="007C6A5F" w:rsidP="005A6F87">
      <w:pPr>
        <w:pStyle w:val="ListBullet"/>
        <w:numPr>
          <w:ilvl w:val="0"/>
          <w:numId w:val="17"/>
        </w:numPr>
        <w:rPr>
          <w:lang w:bidi="fa-IR"/>
        </w:rPr>
      </w:pPr>
      <w:r w:rsidRPr="00AE0FB4">
        <w:rPr>
          <w:b/>
          <w:bCs/>
          <w:lang w:bidi="fa-IR"/>
        </w:rPr>
        <w:t>Option 2:</w:t>
      </w:r>
      <w:r>
        <w:rPr>
          <w:lang w:bidi="fa-IR"/>
        </w:rPr>
        <w:t xml:space="preserve"> Accessibility standard, broadly reflecting LHDG gold standard, in the NCC applying to all new Class 1a and Class 2 buildings.</w:t>
      </w:r>
    </w:p>
    <w:p w:rsidR="007C6A5F" w:rsidRDefault="007C6A5F" w:rsidP="005A6F87">
      <w:pPr>
        <w:pStyle w:val="ListBullet"/>
        <w:numPr>
          <w:ilvl w:val="0"/>
          <w:numId w:val="17"/>
        </w:numPr>
        <w:rPr>
          <w:lang w:bidi="fa-IR"/>
        </w:rPr>
      </w:pPr>
      <w:r w:rsidRPr="00AE0FB4">
        <w:rPr>
          <w:b/>
          <w:bCs/>
          <w:lang w:bidi="fa-IR"/>
        </w:rPr>
        <w:t>Option 3:</w:t>
      </w:r>
      <w:r>
        <w:rPr>
          <w:lang w:bidi="fa-IR"/>
        </w:rPr>
        <w:t xml:space="preserve"> Accessibility standard, broadly reflecting LHDG gold standard (plus some platinum features), in the NCC applying to all new Class 1a and Class 2 buildings.</w:t>
      </w:r>
    </w:p>
    <w:p w:rsidR="007C6A5F" w:rsidRDefault="007C6A5F" w:rsidP="005A6F87">
      <w:pPr>
        <w:pStyle w:val="ListBullet"/>
        <w:numPr>
          <w:ilvl w:val="0"/>
          <w:numId w:val="17"/>
        </w:numPr>
        <w:rPr>
          <w:lang w:bidi="fa-IR"/>
        </w:rPr>
      </w:pPr>
      <w:r w:rsidRPr="00AE0FB4">
        <w:rPr>
          <w:b/>
          <w:bCs/>
          <w:lang w:bidi="fa-IR"/>
        </w:rPr>
        <w:t>Option 4:</w:t>
      </w:r>
      <w:r>
        <w:rPr>
          <w:lang w:bidi="fa-IR"/>
        </w:rPr>
        <w:t xml:space="preserve"> Accessibility standard, broadly reflecting LHDG gold standard, in the NCC applying to all new Class 2 buildings.</w:t>
      </w:r>
    </w:p>
    <w:p w:rsidR="007C6A5F" w:rsidRDefault="007C6A5F" w:rsidP="005A6F87">
      <w:pPr>
        <w:pStyle w:val="ListBullet"/>
        <w:numPr>
          <w:ilvl w:val="0"/>
          <w:numId w:val="17"/>
        </w:numPr>
        <w:rPr>
          <w:lang w:bidi="fa-IR"/>
        </w:rPr>
      </w:pPr>
      <w:r w:rsidRPr="00AE0FB4">
        <w:rPr>
          <w:b/>
          <w:bCs/>
          <w:lang w:bidi="fa-IR"/>
        </w:rPr>
        <w:lastRenderedPageBreak/>
        <w:t>Option 5:</w:t>
      </w:r>
      <w:r>
        <w:rPr>
          <w:lang w:bidi="fa-IR"/>
        </w:rPr>
        <w:t xml:space="preserve"> A subsidy program to encourage additional availability of accessible rental properties to LHDG Gold standard.</w:t>
      </w:r>
    </w:p>
    <w:p w:rsidR="007C6A5F" w:rsidRDefault="007C6A5F" w:rsidP="005A6F87">
      <w:pPr>
        <w:pStyle w:val="ListBullet"/>
        <w:numPr>
          <w:ilvl w:val="0"/>
          <w:numId w:val="17"/>
        </w:numPr>
        <w:rPr>
          <w:lang w:bidi="fa-IR"/>
        </w:rPr>
      </w:pPr>
      <w:r w:rsidRPr="00AE0FB4">
        <w:rPr>
          <w:b/>
          <w:bCs/>
          <w:lang w:bidi="fa-IR"/>
        </w:rPr>
        <w:t>Option 6:</w:t>
      </w:r>
      <w:r>
        <w:rPr>
          <w:lang w:bidi="fa-IR"/>
        </w:rPr>
        <w:t xml:space="preserve"> An enhanced approach to voluntary guidance, including:</w:t>
      </w:r>
    </w:p>
    <w:p w:rsidR="007C6A5F" w:rsidRDefault="007C6A5F" w:rsidP="005A6F87">
      <w:pPr>
        <w:pStyle w:val="ListBullet2"/>
        <w:numPr>
          <w:ilvl w:val="1"/>
          <w:numId w:val="17"/>
        </w:numPr>
        <w:ind w:left="568" w:hanging="284"/>
        <w:rPr>
          <w:lang w:bidi="fa-IR"/>
        </w:rPr>
      </w:pPr>
      <w:r>
        <w:rPr>
          <w:lang w:bidi="fa-IR"/>
        </w:rPr>
        <w:t>a non-regulatory ABCB handbook</w:t>
      </w:r>
    </w:p>
    <w:p w:rsidR="007C6A5F" w:rsidRDefault="007C6A5F" w:rsidP="005A6F87">
      <w:pPr>
        <w:pStyle w:val="ListBullet2"/>
        <w:numPr>
          <w:ilvl w:val="1"/>
          <w:numId w:val="17"/>
        </w:numPr>
        <w:ind w:left="568" w:hanging="284"/>
        <w:rPr>
          <w:lang w:bidi="fa-IR"/>
        </w:rPr>
      </w:pPr>
      <w:r>
        <w:rPr>
          <w:lang w:bidi="fa-IR"/>
        </w:rPr>
        <w:t>information provision at the point of sale</w:t>
      </w:r>
    </w:p>
    <w:p w:rsidR="007C6A5F" w:rsidRDefault="007C6A5F" w:rsidP="005A6F87">
      <w:pPr>
        <w:pStyle w:val="ListBullet2"/>
        <w:numPr>
          <w:ilvl w:val="1"/>
          <w:numId w:val="17"/>
        </w:numPr>
        <w:ind w:left="568" w:hanging="284"/>
        <w:rPr>
          <w:lang w:bidi="fa-IR"/>
        </w:rPr>
      </w:pPr>
      <w:r>
        <w:rPr>
          <w:lang w:bidi="fa-IR"/>
        </w:rPr>
        <w:t>better matching services.</w:t>
      </w:r>
    </w:p>
    <w:p w:rsidR="007C6A5F" w:rsidRDefault="007C6A5F" w:rsidP="007C6A5F">
      <w:pPr>
        <w:pStyle w:val="BodyText"/>
        <w:rPr>
          <w:lang w:bidi="fa-IR"/>
        </w:rPr>
      </w:pPr>
      <w:r>
        <w:rPr>
          <w:lang w:bidi="fa-IR"/>
        </w:rPr>
        <w:t>We include options 1</w:t>
      </w:r>
      <w:r>
        <w:rPr>
          <w:lang w:bidi="fa-IR"/>
        </w:rPr>
        <w:noBreakHyphen/>
        <w:t>5 in the CBA. We consider Option 6 qualitatively, but do not quantify the costs and benefits.</w:t>
      </w:r>
    </w:p>
    <w:p w:rsidR="007C6A5F" w:rsidRDefault="007C6A5F" w:rsidP="007C6A5F">
      <w:pPr>
        <w:pStyle w:val="Invisiblepara"/>
      </w:pPr>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Box 3.3"/>
        <w:tblDescription w:val="Questions for stakeholders"/>
      </w:tblPr>
      <w:tblGrid>
        <w:gridCol w:w="7938"/>
      </w:tblGrid>
      <w:tr w:rsidR="007C6A5F" w:rsidRPr="00E05C8C" w:rsidTr="00821B44">
        <w:trPr>
          <w:tblHeader/>
        </w:trPr>
        <w:tc>
          <w:tcPr>
            <w:tcW w:w="7938" w:type="dxa"/>
            <w:shd w:val="clear" w:color="auto" w:fill="C6BFAB" w:themeFill="accent3"/>
          </w:tcPr>
          <w:bookmarkStart w:id="3949" w:name="_Toc32321821"/>
          <w:bookmarkStart w:id="3950" w:name="_Caption1709"/>
          <w:bookmarkStart w:id="3951" w:name="_Caption5407"/>
          <w:p w:rsidR="007C6A5F" w:rsidRPr="00E05C8C" w:rsidRDefault="007C6A5F" w:rsidP="005A6F87">
            <w:pPr>
              <w:pStyle w:val="Caption"/>
              <w:numPr>
                <w:ilvl w:val="0"/>
                <w:numId w:val="13"/>
              </w:numPr>
              <w:spacing w:before="120" w:after="100"/>
            </w:pPr>
            <w:r w:rsidRPr="00E05C8C">
              <w:fldChar w:fldCharType="begin"/>
            </w:r>
            <w:bookmarkEnd w:id="3949"/>
            <w:bookmarkEnd w:id="3950"/>
            <w:bookmarkEnd w:id="3951"/>
            <w:r w:rsidRPr="00E05C8C">
              <w:instrText xml:space="preserve"> IF 1 = 1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3</w:instrText>
            </w:r>
            <w:r>
              <w:rPr>
                <w:noProof/>
              </w:rPr>
              <w:fldChar w:fldCharType="end"/>
            </w:r>
            <w:r w:rsidRPr="00E05C8C">
              <w:instrText xml:space="preserve"> = 0 "" "</w:instrText>
            </w:r>
            <w:r>
              <w:rPr>
                <w:noProof/>
              </w:rPr>
              <w:fldChar w:fldCharType="begin"/>
            </w:r>
            <w:r>
              <w:rPr>
                <w:noProof/>
              </w:rPr>
              <w:instrText xml:space="preserve"> STYLEREF "Heading 1" \l \n </w:instrText>
            </w:r>
            <w:r>
              <w:rPr>
                <w:noProof/>
              </w:rPr>
              <w:fldChar w:fldCharType="separate"/>
            </w:r>
            <w:r>
              <w:rPr>
                <w:noProof/>
              </w:rPr>
              <w:instrText>3</w:instrText>
            </w:r>
            <w:r>
              <w:rPr>
                <w:noProof/>
              </w:rPr>
              <w:fldChar w:fldCharType="end"/>
            </w:r>
            <w:r w:rsidRPr="00E05C8C">
              <w:instrText xml:space="preserve">." </w:instrText>
            </w:r>
            <w:r w:rsidRPr="00E05C8C">
              <w:fldChar w:fldCharType="separate"/>
            </w:r>
            <w:r>
              <w:rPr>
                <w:noProof/>
              </w:rPr>
              <w:instrText>3</w:instrText>
            </w:r>
            <w:r w:rsidRPr="00E05C8C">
              <w:rPr>
                <w:noProof/>
              </w:rPr>
              <w:instrText>.</w:instrText>
            </w:r>
            <w:r w:rsidRPr="00E05C8C">
              <w:fldChar w:fldCharType="end"/>
            </w:r>
            <w:r w:rsidRPr="00E05C8C">
              <w:instrText>" "</w:instrText>
            </w:r>
            <w:r w:rsidR="00F56BFF">
              <w:fldChar w:fldCharType="begin"/>
            </w:r>
            <w:r w:rsidR="00F56BFF">
              <w:instrText xml:space="preserve"> STYLEREF "Heading 6" \l \n </w:instrText>
            </w:r>
            <w:r w:rsidR="00F56BFF">
              <w:fldChar w:fldCharType="separate"/>
            </w:r>
            <w:r w:rsidRPr="00E05C8C">
              <w:instrText>B</w:instrText>
            </w:r>
            <w:r w:rsidR="00F56BFF">
              <w:fldChar w:fldCharType="end"/>
            </w:r>
            <w:r w:rsidRPr="00E05C8C">
              <w:instrText xml:space="preserve">." </w:instrText>
            </w:r>
            <w:r w:rsidRPr="00E05C8C">
              <w:fldChar w:fldCharType="separate"/>
            </w:r>
            <w:r w:rsidR="00272AF3">
              <w:rPr>
                <w:noProof/>
              </w:rPr>
              <w:instrText>3</w:instrText>
            </w:r>
            <w:r w:rsidR="00272AF3"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3</w:instrText>
            </w:r>
            <w:r>
              <w:rPr>
                <w:noProof/>
              </w:rPr>
              <w:fldChar w:fldCharType="end"/>
            </w:r>
            <w:r w:rsidRPr="00E05C8C">
              <w:instrText xml:space="preserve"> = 0 "" "1" </w:instrText>
            </w:r>
            <w:r w:rsidRPr="00E05C8C">
              <w:fldChar w:fldCharType="separate"/>
            </w:r>
            <w:r w:rsidR="00272AF3" w:rsidRPr="00E05C8C">
              <w:rPr>
                <w:noProof/>
              </w:rPr>
              <w:instrText>1</w:instrText>
            </w:r>
            <w:r w:rsidRPr="00E05C8C">
              <w:fldChar w:fldCharType="end"/>
            </w:r>
            <w:r w:rsidRPr="00E05C8C">
              <w:instrText xml:space="preserve">" "6" </w:instrText>
            </w:r>
            <w:r w:rsidRPr="00E05C8C">
              <w:fldChar w:fldCharType="separate"/>
            </w:r>
            <w:r w:rsidR="00272AF3" w:rsidRPr="00E05C8C">
              <w:rPr>
                <w:noProof/>
              </w:rPr>
              <w:instrText>1</w:instrText>
            </w:r>
            <w:r w:rsidRPr="00E05C8C">
              <w:fldChar w:fldCharType="end"/>
            </w:r>
            <w:r w:rsidRPr="00E05C8C">
              <w:instrText xml:space="preserve"> </w:instrText>
            </w:r>
            <w:r w:rsidRPr="00E05C8C">
              <w:fldChar w:fldCharType="separate"/>
            </w:r>
            <w:r>
              <w:rPr>
                <w:noProof/>
              </w:rPr>
              <w:instrText>3</w:instrText>
            </w:r>
            <w:r w:rsidRPr="00E05C8C">
              <w:fldChar w:fldCharType="end"/>
            </w:r>
            <w:r w:rsidRPr="00E05C8C">
              <w:instrText xml:space="preserve">" "" </w:instrText>
            </w:r>
            <w:r w:rsidRPr="00E05C8C">
              <w:fldChar w:fldCharType="separate"/>
            </w:r>
            <w:bookmarkStart w:id="3952" w:name="_Caption3401"/>
            <w:bookmarkStart w:id="3953" w:name="_Caption5445"/>
            <w:bookmarkStart w:id="3954" w:name="_Caption6375"/>
            <w:bookmarkStart w:id="3955" w:name="_Caption9578"/>
            <w:bookmarkStart w:id="3956" w:name="_Caption0448"/>
            <w:bookmarkStart w:id="3957" w:name="_Caption1474"/>
            <w:bookmarkStart w:id="3958" w:name="_Caption2346"/>
            <w:bookmarkStart w:id="3959" w:name="_Caption1564"/>
            <w:bookmarkStart w:id="3960" w:name="_Caption3997"/>
            <w:bookmarkStart w:id="3961" w:name="_Caption0275"/>
            <w:bookmarkStart w:id="3962" w:name="_Caption3326"/>
            <w:bookmarkStart w:id="3963" w:name="_Caption3157"/>
            <w:bookmarkStart w:id="3964" w:name="_Caption8351"/>
            <w:bookmarkStart w:id="3965" w:name="_Caption2586"/>
            <w:bookmarkStart w:id="3966" w:name="_Caption5420"/>
            <w:bookmarkStart w:id="3967" w:name="_Caption7609"/>
            <w:bookmarkStart w:id="3968" w:name="_Caption5942"/>
            <w:bookmarkStart w:id="3969" w:name="_Caption6139"/>
            <w:bookmarkStart w:id="3970" w:name="_Caption2690"/>
            <w:bookmarkStart w:id="3971" w:name="_Caption1187"/>
            <w:bookmarkStart w:id="3972" w:name="_Caption2188"/>
            <w:bookmarkStart w:id="3973" w:name="_Caption6513"/>
            <w:bookmarkStart w:id="3974" w:name="_Caption3109"/>
            <w:bookmarkStart w:id="3975" w:name="_Caption2301"/>
            <w:bookmarkStart w:id="3976" w:name="_Caption0169"/>
            <w:bookmarkStart w:id="3977" w:name="_Caption5044"/>
            <w:bookmarkStart w:id="3978" w:name="_Caption8374"/>
            <w:bookmarkStart w:id="3979" w:name="_Caption6800"/>
            <w:bookmarkStart w:id="3980" w:name="_Caption6344"/>
            <w:bookmarkStart w:id="3981" w:name="_Caption3329"/>
            <w:bookmarkStart w:id="3982" w:name="_Caption1258"/>
            <w:bookmarkStart w:id="3983" w:name="_Caption4622"/>
            <w:bookmarkStart w:id="3984" w:name="_Caption1218"/>
            <w:bookmarkStart w:id="3985" w:name="_Caption1850"/>
            <w:bookmarkStart w:id="3986" w:name="_Caption4520"/>
            <w:bookmarkStart w:id="3987" w:name="_Caption8856"/>
            <w:bookmarkStart w:id="3988" w:name="_Caption4776"/>
            <w:bookmarkStart w:id="3989" w:name="_Caption8839"/>
            <w:bookmarkStart w:id="3990" w:name="_Caption6893"/>
            <w:bookmarkStart w:id="3991" w:name="_Caption1939"/>
            <w:bookmarkStart w:id="3992" w:name="_Caption6524"/>
            <w:bookmarkStart w:id="3993" w:name="_Caption4992"/>
            <w:bookmarkStart w:id="3994" w:name="_Caption5204"/>
            <w:bookmarkStart w:id="3995" w:name="_Caption0335"/>
            <w:bookmarkStart w:id="3996" w:name="_Caption3070"/>
            <w:bookmarkStart w:id="3997" w:name="_Caption6967"/>
            <w:bookmarkStart w:id="3998" w:name="_Caption9167"/>
            <w:bookmarkStart w:id="3999" w:name="_Caption7615"/>
            <w:bookmarkStart w:id="4000" w:name="_Caption0280"/>
            <w:bookmarkStart w:id="4001" w:name="_Caption7538"/>
            <w:bookmarkStart w:id="4002" w:name="_Caption6322"/>
            <w:bookmarkStart w:id="4003" w:name="_Caption6668"/>
            <w:bookmarkStart w:id="4004" w:name="_Caption4062"/>
            <w:bookmarkStart w:id="4005" w:name="_Caption8379"/>
            <w:bookmarkStart w:id="4006" w:name="_Caption9121"/>
            <w:bookmarkStart w:id="4007" w:name="_Caption9902"/>
            <w:bookmarkStart w:id="4008" w:name="_Caption3391"/>
            <w:bookmarkStart w:id="4009" w:name="_Caption0816"/>
            <w:bookmarkStart w:id="4010" w:name="_Caption9831"/>
            <w:bookmarkStart w:id="4011" w:name="_Caption4465"/>
            <w:bookmarkStart w:id="4012" w:name="_Caption5622"/>
            <w:bookmarkStart w:id="4013" w:name="_Caption8618"/>
            <w:bookmarkStart w:id="4014" w:name="_Caption5999"/>
            <w:bookmarkStart w:id="4015" w:name="_Caption8180"/>
            <w:bookmarkStart w:id="4016" w:name="_Caption3587"/>
            <w:bookmarkStart w:id="4017" w:name="_Caption0681"/>
            <w:bookmarkStart w:id="4018" w:name="_Caption4185"/>
            <w:bookmarkStart w:id="4019" w:name="_Toc44598518"/>
            <w:bookmarkStart w:id="4020" w:name="_Toc45654149"/>
            <w:r w:rsidR="00272AF3">
              <w:rPr>
                <w:noProof/>
              </w:rPr>
              <w:t>3</w:t>
            </w:r>
            <w:r w:rsidR="00272AF3" w:rsidRPr="00E05C8C">
              <w:rPr>
                <w:noProof/>
              </w:rPr>
              <w:t>.</w:t>
            </w:r>
            <w:r w:rsidR="00272AF3">
              <w:rPr>
                <w:noProof/>
              </w:rPr>
              <w:t>3</w:t>
            </w:r>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r w:rsidRPr="00E05C8C">
              <w:fldChar w:fldCharType="end"/>
            </w:r>
            <w:r w:rsidRPr="00E05C8C">
              <w:tab/>
            </w:r>
            <w:r>
              <w:t>Questions for stakeholders</w:t>
            </w:r>
            <w:bookmarkEnd w:id="4019"/>
            <w:bookmarkEnd w:id="4020"/>
          </w:p>
        </w:tc>
      </w:tr>
      <w:tr w:rsidR="007C6A5F" w:rsidTr="00B5160B">
        <w:tc>
          <w:tcPr>
            <w:tcW w:w="7938" w:type="dxa"/>
            <w:tcBorders>
              <w:bottom w:val="single" w:sz="4" w:space="0" w:color="9B917E" w:themeColor="accent4"/>
            </w:tcBorders>
            <w:shd w:val="clear" w:color="auto" w:fill="E9E8E5" w:themeFill="background2"/>
          </w:tcPr>
          <w:p w:rsidR="00BF1A13" w:rsidRPr="00EA7D5C" w:rsidRDefault="00BF1A13" w:rsidP="00BF1A13">
            <w:pPr>
              <w:pStyle w:val="ListBullet"/>
              <w:numPr>
                <w:ilvl w:val="0"/>
                <w:numId w:val="17"/>
              </w:numPr>
            </w:pPr>
            <w:r>
              <w:t>Which of the</w:t>
            </w:r>
            <w:r w:rsidRPr="00EA7D5C">
              <w:t xml:space="preserve"> options considered in the Consultation RIS </w:t>
            </w:r>
            <w:r>
              <w:t>in your opinion are feasible</w:t>
            </w:r>
            <w:r w:rsidRPr="00EA7D5C">
              <w:t>?</w:t>
            </w:r>
          </w:p>
          <w:p w:rsidR="00BF1A13" w:rsidRDefault="00BF1A13" w:rsidP="00BF1A13">
            <w:pPr>
              <w:pStyle w:val="ListBullet"/>
              <w:numPr>
                <w:ilvl w:val="0"/>
                <w:numId w:val="17"/>
              </w:numPr>
            </w:pPr>
            <w:r>
              <w:t>A</w:t>
            </w:r>
            <w:r w:rsidRPr="00EA7D5C">
              <w:t xml:space="preserve">re there other </w:t>
            </w:r>
            <w:r>
              <w:t xml:space="preserve">feasible regulatory or non-regulatory </w:t>
            </w:r>
            <w:r w:rsidRPr="00EA7D5C">
              <w:t xml:space="preserve">options </w:t>
            </w:r>
            <w:r>
              <w:t>with the potential to meet the objective</w:t>
            </w:r>
            <w:r w:rsidRPr="00EA7D5C">
              <w:t xml:space="preserve"> that should be considered</w:t>
            </w:r>
            <w:r>
              <w:t>?</w:t>
            </w:r>
          </w:p>
          <w:p w:rsidR="00BF1A13" w:rsidRDefault="00BF1A13" w:rsidP="00BF1A13">
            <w:pPr>
              <w:pStyle w:val="ListBullet2"/>
              <w:numPr>
                <w:ilvl w:val="1"/>
                <w:numId w:val="17"/>
              </w:numPr>
            </w:pPr>
            <w:r>
              <w:t>A</w:t>
            </w:r>
            <w:r w:rsidRPr="00EA7D5C">
              <w:t xml:space="preserve">pplying the </w:t>
            </w:r>
            <w:r>
              <w:t xml:space="preserve">accessibility standards </w:t>
            </w:r>
            <w:r w:rsidRPr="00EA7D5C">
              <w:t xml:space="preserve">to </w:t>
            </w:r>
            <w:r>
              <w:t xml:space="preserve">only </w:t>
            </w:r>
            <w:r w:rsidRPr="00EA7D5C">
              <w:t>Class 1</w:t>
            </w:r>
            <w:r>
              <w:t>a</w:t>
            </w:r>
            <w:r w:rsidRPr="00EA7D5C">
              <w:t xml:space="preserve"> or Class 2 dwellings?</w:t>
            </w:r>
          </w:p>
          <w:p w:rsidR="00BF1A13" w:rsidRDefault="00BF1A13" w:rsidP="00BF1A13">
            <w:pPr>
              <w:pStyle w:val="ListBullet2"/>
              <w:numPr>
                <w:ilvl w:val="1"/>
                <w:numId w:val="17"/>
              </w:numPr>
            </w:pPr>
            <w:r>
              <w:t>A</w:t>
            </w:r>
            <w:r w:rsidRPr="00EA7D5C">
              <w:t xml:space="preserve">pplying the </w:t>
            </w:r>
            <w:r>
              <w:t xml:space="preserve">accessibility standards </w:t>
            </w:r>
            <w:r w:rsidRPr="00EA7D5C">
              <w:t xml:space="preserve">to </w:t>
            </w:r>
            <w:r>
              <w:t xml:space="preserve">only a proportion of </w:t>
            </w:r>
            <w:r w:rsidRPr="00EA7D5C">
              <w:t>Class 1</w:t>
            </w:r>
            <w:r>
              <w:t>a</w:t>
            </w:r>
            <w:r w:rsidRPr="00EA7D5C">
              <w:t xml:space="preserve"> or Class 2 dwellings</w:t>
            </w:r>
            <w:r>
              <w:t>?</w:t>
            </w:r>
            <w:r w:rsidRPr="00EA7D5C">
              <w:t xml:space="preserve"> How would this be done in practice?</w:t>
            </w:r>
          </w:p>
          <w:p w:rsidR="00BF1A13" w:rsidRDefault="00BF1A13" w:rsidP="00BF1A13">
            <w:pPr>
              <w:pStyle w:val="ListBullet2"/>
              <w:numPr>
                <w:ilvl w:val="1"/>
                <w:numId w:val="17"/>
              </w:numPr>
            </w:pPr>
            <w:r>
              <w:t xml:space="preserve">Applying a different combination of the LHDG elements? </w:t>
            </w:r>
          </w:p>
          <w:p w:rsidR="00BF1A13" w:rsidRDefault="00BF1A13" w:rsidP="00BF1A13">
            <w:pPr>
              <w:pStyle w:val="ListBullet2"/>
              <w:numPr>
                <w:ilvl w:val="1"/>
                <w:numId w:val="17"/>
              </w:numPr>
            </w:pPr>
            <w:r>
              <w:t xml:space="preserve">Applying a subset of the LHDG elements (e.g. step-free entry, wider doorways)? </w:t>
            </w:r>
          </w:p>
          <w:p w:rsidR="00BF1A13" w:rsidRDefault="00BF1A13" w:rsidP="00BF1A13">
            <w:pPr>
              <w:pStyle w:val="ListBullet2"/>
              <w:numPr>
                <w:ilvl w:val="1"/>
                <w:numId w:val="17"/>
              </w:numPr>
            </w:pPr>
            <w:r>
              <w:t>Another option?</w:t>
            </w:r>
          </w:p>
          <w:p w:rsidR="00BF1A13" w:rsidRDefault="00BF1A13" w:rsidP="00BF1A13">
            <w:pPr>
              <w:pStyle w:val="ListBullet"/>
              <w:numPr>
                <w:ilvl w:val="0"/>
                <w:numId w:val="17"/>
              </w:numPr>
            </w:pPr>
            <w:r>
              <w:t>Do all o</w:t>
            </w:r>
            <w:r w:rsidRPr="003A574E">
              <w:t>f the options</w:t>
            </w:r>
            <w:r>
              <w:t>,</w:t>
            </w:r>
            <w:r w:rsidRPr="003A574E">
              <w:t xml:space="preserve"> </w:t>
            </w:r>
            <w:r>
              <w:t>in your opinion, have the ability to meet the objective?</w:t>
            </w:r>
          </w:p>
          <w:p w:rsidR="00BF1A13" w:rsidRDefault="00BF1A13" w:rsidP="00BF1A13">
            <w:pPr>
              <w:pStyle w:val="ListBullet2"/>
              <w:numPr>
                <w:ilvl w:val="1"/>
                <w:numId w:val="17"/>
              </w:numPr>
            </w:pPr>
            <w:r>
              <w:t>How could these be enhanced?</w:t>
            </w:r>
          </w:p>
          <w:p w:rsidR="00BF1A13" w:rsidRDefault="00BF1A13" w:rsidP="00BF1A13">
            <w:pPr>
              <w:pStyle w:val="ListBullet"/>
              <w:numPr>
                <w:ilvl w:val="0"/>
                <w:numId w:val="17"/>
              </w:numPr>
            </w:pPr>
            <w:r w:rsidRPr="00107E78">
              <w:t>Are there any less intuitive or unintended consequences likely to arise from</w:t>
            </w:r>
            <w:r>
              <w:t xml:space="preserve"> any of these </w:t>
            </w:r>
            <w:r w:rsidRPr="00107E78">
              <w:t>options</w:t>
            </w:r>
            <w:r>
              <w:t>?</w:t>
            </w:r>
          </w:p>
          <w:p w:rsidR="007C6A5F" w:rsidRPr="00BF2F67" w:rsidRDefault="00BF1A13" w:rsidP="005A05FE">
            <w:pPr>
              <w:pStyle w:val="ListBullet"/>
              <w:numPr>
                <w:ilvl w:val="0"/>
                <w:numId w:val="17"/>
              </w:numPr>
              <w:spacing w:after="120"/>
            </w:pPr>
            <w:r w:rsidRPr="00A82F9F">
              <w:t>Of the options discussed above, in your opinion which would be most effective at achieving the objective?</w:t>
            </w:r>
          </w:p>
        </w:tc>
      </w:tr>
    </w:tbl>
    <w:p w:rsidR="007C6A5F" w:rsidRDefault="007C6A5F" w:rsidP="007C6A5F">
      <w:pPr>
        <w:pStyle w:val="BodyText"/>
        <w:rPr>
          <w:lang w:bidi="fa-IR"/>
        </w:rPr>
      </w:pPr>
    </w:p>
    <w:p w:rsidR="007C6A5F" w:rsidRDefault="007C6A5F" w:rsidP="007C6A5F">
      <w:pPr>
        <w:pStyle w:val="Heading1"/>
        <w:numPr>
          <w:ilvl w:val="0"/>
          <w:numId w:val="5"/>
        </w:numPr>
      </w:pPr>
      <w:bookmarkStart w:id="4021" w:name="_Toc32321756"/>
      <w:bookmarkStart w:id="4022" w:name="_Toc44598444"/>
      <w:bookmarkStart w:id="4023" w:name="_Toc45654075"/>
      <w:r>
        <w:lastRenderedPageBreak/>
        <w:t>Impacts</w:t>
      </w:r>
      <w:bookmarkEnd w:id="4021"/>
      <w:bookmarkEnd w:id="4022"/>
      <w:bookmarkEnd w:id="4023"/>
    </w:p>
    <w:p w:rsidR="007C6A5F" w:rsidRPr="00736353" w:rsidRDefault="007C6A5F" w:rsidP="007C6A5F">
      <w:pPr>
        <w:pStyle w:val="BodyText"/>
      </w:pPr>
      <w:r>
        <w:t>This chapter identifies the impacts of the proposed options and sets out the cost</w:t>
      </w:r>
      <w:r>
        <w:noBreakHyphen/>
        <w:t>benefit analysis framework used to quantify these impacts.</w:t>
      </w:r>
    </w:p>
    <w:p w:rsidR="007C6A5F" w:rsidRDefault="007C6A5F" w:rsidP="007C6A5F">
      <w:pPr>
        <w:pStyle w:val="Heading2"/>
        <w:numPr>
          <w:ilvl w:val="1"/>
          <w:numId w:val="5"/>
        </w:numPr>
      </w:pPr>
      <w:bookmarkStart w:id="4024" w:name="_Toc32321757"/>
      <w:bookmarkStart w:id="4025" w:name="_Toc44598445"/>
      <w:bookmarkStart w:id="4026" w:name="_Toc45654076"/>
      <w:r>
        <w:t>Impacts</w:t>
      </w:r>
      <w:bookmarkEnd w:id="4024"/>
      <w:bookmarkEnd w:id="4025"/>
      <w:bookmarkEnd w:id="4026"/>
    </w:p>
    <w:p w:rsidR="007C6A5F" w:rsidRDefault="007C6A5F" w:rsidP="007C6A5F">
      <w:pPr>
        <w:pStyle w:val="BodyText"/>
      </w:pPr>
      <w:r>
        <w:t>The impacts (including costs and benefits) of the proposed options are identified below.</w:t>
      </w:r>
    </w:p>
    <w:p w:rsidR="007C6A5F" w:rsidRDefault="007C6A5F" w:rsidP="007C6A5F">
      <w:pPr>
        <w:pStyle w:val="Heading3"/>
        <w:numPr>
          <w:ilvl w:val="2"/>
          <w:numId w:val="5"/>
        </w:numPr>
      </w:pPr>
      <w:r>
        <w:t>Proposed changes to the National Construction Code</w:t>
      </w:r>
    </w:p>
    <w:p w:rsidR="007C6A5F" w:rsidRDefault="007C6A5F" w:rsidP="007C6A5F">
      <w:pPr>
        <w:pStyle w:val="BodyText"/>
      </w:pPr>
      <w:r>
        <w:t xml:space="preserve">Under the options involving changes to the NCC, there would be an increase in the number of accessible dwellings and therefore and increase in the proportion of the stock of dwellings that are accessible for people with mobility limitations, including </w:t>
      </w:r>
      <w:r w:rsidR="005F5B77">
        <w:t>older people</w:t>
      </w:r>
      <w:r>
        <w:t xml:space="preserve"> and people with disabilities.</w:t>
      </w:r>
    </w:p>
    <w:p w:rsidR="007C6A5F" w:rsidRDefault="007C6A5F" w:rsidP="007C6A5F">
      <w:pPr>
        <w:pStyle w:val="Heading4"/>
        <w:numPr>
          <w:ilvl w:val="3"/>
          <w:numId w:val="5"/>
        </w:numPr>
      </w:pPr>
      <w:r>
        <w:t>Benefits</w:t>
      </w:r>
    </w:p>
    <w:p w:rsidR="007C6A5F" w:rsidRDefault="007C6A5F" w:rsidP="007C6A5F">
      <w:pPr>
        <w:pStyle w:val="BodyText"/>
      </w:pPr>
      <w:r>
        <w:t>The benefits of the proposed changes to the NCC essentially involve reducing the size of the problem estimated in chapter 2. This includes:</w:t>
      </w:r>
    </w:p>
    <w:p w:rsidR="007C6A5F" w:rsidRDefault="007C6A5F" w:rsidP="005A6F87">
      <w:pPr>
        <w:pStyle w:val="ListBullet"/>
        <w:numPr>
          <w:ilvl w:val="0"/>
          <w:numId w:val="17"/>
        </w:numPr>
      </w:pPr>
      <w:r>
        <w:t>reduced costs associated with falls</w:t>
      </w:r>
    </w:p>
    <w:p w:rsidR="007C6A5F" w:rsidRDefault="007C6A5F" w:rsidP="005A6F87">
      <w:pPr>
        <w:pStyle w:val="ListBullet"/>
        <w:numPr>
          <w:ilvl w:val="0"/>
          <w:numId w:val="17"/>
        </w:numPr>
      </w:pPr>
      <w:r>
        <w:t>reduced carer needs</w:t>
      </w:r>
    </w:p>
    <w:p w:rsidR="007C6A5F" w:rsidRDefault="007C6A5F" w:rsidP="005A6F87">
      <w:pPr>
        <w:pStyle w:val="ListBullet"/>
        <w:numPr>
          <w:ilvl w:val="0"/>
          <w:numId w:val="17"/>
        </w:numPr>
      </w:pPr>
      <w:r>
        <w:t>reduced cost of home modifications</w:t>
      </w:r>
    </w:p>
    <w:p w:rsidR="007C6A5F" w:rsidRDefault="007C6A5F" w:rsidP="005A6F87">
      <w:pPr>
        <w:pStyle w:val="ListBullet"/>
        <w:numPr>
          <w:ilvl w:val="0"/>
          <w:numId w:val="17"/>
        </w:numPr>
      </w:pPr>
      <w:r>
        <w:t>reduced stays in hospital and transition care</w:t>
      </w:r>
    </w:p>
    <w:p w:rsidR="007C6A5F" w:rsidRDefault="007C6A5F" w:rsidP="005A6F87">
      <w:pPr>
        <w:pStyle w:val="ListBullet"/>
        <w:numPr>
          <w:ilvl w:val="0"/>
          <w:numId w:val="17"/>
        </w:numPr>
      </w:pPr>
      <w:r>
        <w:t>reduced costs associated with social isolation and loneliness</w:t>
      </w:r>
    </w:p>
    <w:p w:rsidR="007C6A5F" w:rsidRDefault="007C6A5F" w:rsidP="005A6F87">
      <w:pPr>
        <w:pStyle w:val="ListBullet"/>
        <w:numPr>
          <w:ilvl w:val="0"/>
          <w:numId w:val="17"/>
        </w:numPr>
      </w:pPr>
      <w:r>
        <w:t>reduced premature and unnecessary entry into residential aged care</w:t>
      </w:r>
    </w:p>
    <w:p w:rsidR="007C6A5F" w:rsidRDefault="007C6A5F" w:rsidP="005A6F87">
      <w:pPr>
        <w:pStyle w:val="ListBullet"/>
        <w:numPr>
          <w:ilvl w:val="0"/>
          <w:numId w:val="17"/>
        </w:numPr>
      </w:pPr>
      <w:r>
        <w:t>reduced costs associated with moving</w:t>
      </w:r>
    </w:p>
    <w:p w:rsidR="007C6A5F" w:rsidRDefault="007C6A5F" w:rsidP="005A6F87">
      <w:pPr>
        <w:pStyle w:val="ListBullet"/>
        <w:numPr>
          <w:ilvl w:val="0"/>
          <w:numId w:val="17"/>
        </w:numPr>
      </w:pPr>
      <w:r>
        <w:t>societal benefits.</w:t>
      </w:r>
    </w:p>
    <w:p w:rsidR="007C6A5F" w:rsidRDefault="007C6A5F" w:rsidP="007C6A5F">
      <w:pPr>
        <w:pStyle w:val="Heading4"/>
        <w:numPr>
          <w:ilvl w:val="3"/>
          <w:numId w:val="5"/>
        </w:numPr>
      </w:pPr>
      <w:r>
        <w:t>Costs</w:t>
      </w:r>
    </w:p>
    <w:p w:rsidR="007C6A5F" w:rsidRDefault="007C6A5F" w:rsidP="007C6A5F">
      <w:pPr>
        <w:pStyle w:val="BodyText"/>
      </w:pPr>
      <w:r>
        <w:t>The costs of the proposed changes to the NCC (Options 1</w:t>
      </w:r>
      <w:r>
        <w:noBreakHyphen/>
        <w:t>4) could include the following (where not subject to exclusions).</w:t>
      </w:r>
    </w:p>
    <w:p w:rsidR="007C6A5F" w:rsidRDefault="007C6A5F" w:rsidP="005A6F87">
      <w:pPr>
        <w:pStyle w:val="ListBullet"/>
        <w:numPr>
          <w:ilvl w:val="0"/>
          <w:numId w:val="17"/>
        </w:numPr>
      </w:pPr>
      <w:r>
        <w:t>The additional costs associated with complying with the proposed accessibility standards – these costs include:</w:t>
      </w:r>
    </w:p>
    <w:p w:rsidR="007C6A5F" w:rsidRDefault="007C6A5F" w:rsidP="005A6F87">
      <w:pPr>
        <w:pStyle w:val="ListBullet2"/>
        <w:numPr>
          <w:ilvl w:val="1"/>
          <w:numId w:val="17"/>
        </w:numPr>
        <w:ind w:left="568" w:hanging="284"/>
      </w:pPr>
      <w:r>
        <w:t>Additional construction costs</w:t>
      </w:r>
    </w:p>
    <w:p w:rsidR="007C6A5F" w:rsidRDefault="007C6A5F" w:rsidP="005A6F87">
      <w:pPr>
        <w:pStyle w:val="ListBullet2"/>
        <w:numPr>
          <w:ilvl w:val="1"/>
          <w:numId w:val="17"/>
        </w:numPr>
        <w:ind w:left="568" w:hanging="284"/>
      </w:pPr>
      <w:r>
        <w:t>Loss of space – where some areas of a dwelling (such as bathrooms and hallways) expand to meet the proposed standards, this space must come from either:</w:t>
      </w:r>
    </w:p>
    <w:p w:rsidR="007C6A5F" w:rsidRDefault="007C6A5F" w:rsidP="005A6F87">
      <w:pPr>
        <w:pStyle w:val="ListBullet3"/>
        <w:numPr>
          <w:ilvl w:val="2"/>
          <w:numId w:val="17"/>
        </w:numPr>
      </w:pPr>
      <w:r>
        <w:lastRenderedPageBreak/>
        <w:t>expanding the footprint of the building, which means either expanding lot sizes or loss of outdoor/garden space, or</w:t>
      </w:r>
    </w:p>
    <w:p w:rsidR="007C6A5F" w:rsidRDefault="007C6A5F" w:rsidP="005A6F87">
      <w:pPr>
        <w:pStyle w:val="ListBullet3"/>
        <w:numPr>
          <w:ilvl w:val="2"/>
          <w:numId w:val="17"/>
        </w:numPr>
      </w:pPr>
      <w:r>
        <w:t>loss of living and/or bedroom spaces where the additional hallway and bathroom space is accommodated within the existing building footprint (such were the scope to expand the building footprint is limited due to lot size).</w:t>
      </w:r>
    </w:p>
    <w:p w:rsidR="007C6A5F" w:rsidRDefault="007C6A5F" w:rsidP="005A6F87">
      <w:pPr>
        <w:pStyle w:val="ListBullet"/>
        <w:numPr>
          <w:ilvl w:val="0"/>
          <w:numId w:val="17"/>
        </w:numPr>
      </w:pPr>
      <w:r>
        <w:t>Potentially costs associated with additional excavation work on sloped lots.</w:t>
      </w:r>
    </w:p>
    <w:p w:rsidR="007C6A5F" w:rsidRDefault="007C6A5F" w:rsidP="005A6F87">
      <w:pPr>
        <w:pStyle w:val="ListBullet"/>
        <w:numPr>
          <w:ilvl w:val="0"/>
          <w:numId w:val="17"/>
        </w:numPr>
      </w:pPr>
      <w:r>
        <w:t>Transition costs – this includes:</w:t>
      </w:r>
    </w:p>
    <w:p w:rsidR="007C6A5F" w:rsidRDefault="007C6A5F" w:rsidP="005A6F87">
      <w:pPr>
        <w:pStyle w:val="ListBullet2"/>
        <w:numPr>
          <w:ilvl w:val="1"/>
          <w:numId w:val="17"/>
        </w:numPr>
        <w:ind w:left="568" w:hanging="284"/>
      </w:pPr>
      <w:r>
        <w:t>Transition costs for volume builders, including the costs associated with re</w:t>
      </w:r>
      <w:r>
        <w:noBreakHyphen/>
        <w:t>designing the standard offering and rebuilding display homes</w:t>
      </w:r>
    </w:p>
    <w:p w:rsidR="007C6A5F" w:rsidRDefault="007C6A5F" w:rsidP="005A6F87">
      <w:pPr>
        <w:pStyle w:val="ListBullet2"/>
        <w:numPr>
          <w:ilvl w:val="1"/>
          <w:numId w:val="17"/>
        </w:numPr>
        <w:ind w:left="568" w:hanging="284"/>
      </w:pPr>
      <w:r>
        <w:t>Other industry transition costs — this includes the cost of various industry professionals familiarising themselves with the new NCC requirements. This would include:</w:t>
      </w:r>
    </w:p>
    <w:p w:rsidR="007C6A5F" w:rsidRDefault="007C6A5F" w:rsidP="005A6F87">
      <w:pPr>
        <w:pStyle w:val="ListBullet3"/>
        <w:numPr>
          <w:ilvl w:val="2"/>
          <w:numId w:val="17"/>
        </w:numPr>
      </w:pPr>
      <w:r>
        <w:t>architects/building designers</w:t>
      </w:r>
    </w:p>
    <w:p w:rsidR="007C6A5F" w:rsidRDefault="007C6A5F" w:rsidP="005A6F87">
      <w:pPr>
        <w:pStyle w:val="ListBullet3"/>
        <w:numPr>
          <w:ilvl w:val="2"/>
          <w:numId w:val="17"/>
        </w:numPr>
      </w:pPr>
      <w:r>
        <w:t>builders</w:t>
      </w:r>
    </w:p>
    <w:p w:rsidR="007C6A5F" w:rsidRDefault="007C6A5F" w:rsidP="005A6F87">
      <w:pPr>
        <w:pStyle w:val="ListBullet3"/>
        <w:numPr>
          <w:ilvl w:val="2"/>
          <w:numId w:val="17"/>
        </w:numPr>
      </w:pPr>
      <w:r>
        <w:t>certifiers.</w:t>
      </w:r>
    </w:p>
    <w:p w:rsidR="007C6A5F" w:rsidRDefault="007C6A5F" w:rsidP="007C6A5F">
      <w:pPr>
        <w:pStyle w:val="Heading3"/>
        <w:numPr>
          <w:ilvl w:val="2"/>
          <w:numId w:val="5"/>
        </w:numPr>
      </w:pPr>
      <w:r>
        <w:t>Subsidy scheme</w:t>
      </w:r>
    </w:p>
    <w:p w:rsidR="007C6A5F" w:rsidRDefault="007C6A5F" w:rsidP="007C6A5F">
      <w:pPr>
        <w:pStyle w:val="BodyText"/>
      </w:pPr>
      <w:r>
        <w:t>The proposed subsidy (Option 5) would be provided to providers of accessible rental accommodation.</w:t>
      </w:r>
    </w:p>
    <w:p w:rsidR="007C6A5F" w:rsidRDefault="007C6A5F" w:rsidP="005A6F87">
      <w:pPr>
        <w:pStyle w:val="ListBullet"/>
        <w:numPr>
          <w:ilvl w:val="0"/>
          <w:numId w:val="17"/>
        </w:numPr>
      </w:pPr>
      <w:r>
        <w:t>The benefits of this approach are the extent to which a subsidy scheme would address the problem (see above). However, as the subsidy scheme would apply only to renters, this approach would address only the proportion of the problem relating to renters.</w:t>
      </w:r>
    </w:p>
    <w:p w:rsidR="007C6A5F" w:rsidRDefault="007C6A5F" w:rsidP="005A6F87">
      <w:pPr>
        <w:pStyle w:val="ListBullet"/>
        <w:numPr>
          <w:ilvl w:val="0"/>
          <w:numId w:val="17"/>
        </w:numPr>
      </w:pPr>
      <w:r>
        <w:t>The costs of this approach include the additional cost of providing accessible accommodation, either through building new dwellings or through refurbishing existing dwellings to meet the standard. One indicator of these additional costs is the subsidy required to encourage private landlords to provide the service.</w:t>
      </w:r>
    </w:p>
    <w:p w:rsidR="007C6A5F" w:rsidRDefault="007C6A5F" w:rsidP="007C6A5F">
      <w:pPr>
        <w:pStyle w:val="Heading3"/>
        <w:numPr>
          <w:ilvl w:val="2"/>
          <w:numId w:val="5"/>
        </w:numPr>
      </w:pPr>
      <w:r>
        <w:t xml:space="preserve">Enhanced voluntary Guidance </w:t>
      </w:r>
    </w:p>
    <w:p w:rsidR="007C6A5F" w:rsidRDefault="007C6A5F" w:rsidP="007C6A5F">
      <w:pPr>
        <w:pStyle w:val="BodyText"/>
      </w:pPr>
      <w:r>
        <w:t>As well as a voluntary handbook, this option would include measures, such as:</w:t>
      </w:r>
    </w:p>
    <w:p w:rsidR="007C6A5F" w:rsidRDefault="007C6A5F" w:rsidP="005A6F87">
      <w:pPr>
        <w:pStyle w:val="ListBullet"/>
        <w:numPr>
          <w:ilvl w:val="0"/>
          <w:numId w:val="17"/>
        </w:numPr>
      </w:pPr>
      <w:r>
        <w:t>a centralised search engine for (certified) accessible housing</w:t>
      </w:r>
    </w:p>
    <w:p w:rsidR="007C6A5F" w:rsidRDefault="007C6A5F" w:rsidP="005A6F87">
      <w:pPr>
        <w:pStyle w:val="ListBullet"/>
        <w:numPr>
          <w:ilvl w:val="0"/>
          <w:numId w:val="17"/>
        </w:numPr>
      </w:pPr>
      <w:r>
        <w:t>information provision on accessible housing at the point of sale.</w:t>
      </w:r>
    </w:p>
    <w:p w:rsidR="007C6A5F" w:rsidRDefault="007C6A5F" w:rsidP="007C6A5F">
      <w:pPr>
        <w:pStyle w:val="Heading4"/>
        <w:numPr>
          <w:ilvl w:val="3"/>
          <w:numId w:val="5"/>
        </w:numPr>
      </w:pPr>
      <w:r>
        <w:t>Costs</w:t>
      </w:r>
    </w:p>
    <w:p w:rsidR="007C6A5F" w:rsidRDefault="007C6A5F" w:rsidP="007C6A5F">
      <w:pPr>
        <w:pStyle w:val="BodyText"/>
      </w:pPr>
      <w:r>
        <w:t>Costs associated with this option would include the following.</w:t>
      </w:r>
    </w:p>
    <w:p w:rsidR="007C6A5F" w:rsidRDefault="007C6A5F" w:rsidP="005A6F87">
      <w:pPr>
        <w:pStyle w:val="ListBullet"/>
        <w:numPr>
          <w:ilvl w:val="0"/>
          <w:numId w:val="17"/>
        </w:numPr>
      </w:pPr>
      <w:r>
        <w:t>The costs associated with developing a voluntary handbook would be relatively low. The proposals (based on LHDG) could be reproduced (subject to permission of LHA), as a voluntary handbook at minimal cost.</w:t>
      </w:r>
    </w:p>
    <w:p w:rsidR="007C6A5F" w:rsidRDefault="007C6A5F" w:rsidP="005A6F87">
      <w:pPr>
        <w:pStyle w:val="ListBullet"/>
        <w:numPr>
          <w:ilvl w:val="0"/>
          <w:numId w:val="17"/>
        </w:numPr>
      </w:pPr>
      <w:r>
        <w:t>There would be costs associated with developing a new search engine specifically for certified accessible housing or working with an existing provider to include the relevant functionality in their existing search engines. There may also be ongoing operating costs (or an increase in operating costs).</w:t>
      </w:r>
    </w:p>
    <w:p w:rsidR="007C6A5F" w:rsidRDefault="007C6A5F" w:rsidP="005A6F87">
      <w:pPr>
        <w:pStyle w:val="ListBullet"/>
        <w:numPr>
          <w:ilvl w:val="0"/>
          <w:numId w:val="17"/>
        </w:numPr>
      </w:pPr>
      <w:r>
        <w:lastRenderedPageBreak/>
        <w:t>There may also be modest costs associated with developing information material to be provided at the point</w:t>
      </w:r>
      <w:r>
        <w:noBreakHyphen/>
        <w:t>of</w:t>
      </w:r>
      <w:r>
        <w:noBreakHyphen/>
        <w:t>sale, as well as modest costs associated with providing the relevant material (whether on a voluntary or mandatory basis).</w:t>
      </w:r>
    </w:p>
    <w:p w:rsidR="007C6A5F" w:rsidRDefault="007C6A5F" w:rsidP="005A6F87">
      <w:pPr>
        <w:pStyle w:val="ListBullet"/>
        <w:numPr>
          <w:ilvl w:val="0"/>
          <w:numId w:val="17"/>
        </w:numPr>
      </w:pPr>
      <w:r>
        <w:t>To the extent that these measures encourage additional uptake of universal design principles, there would also be the associated costs, including construction costs, the opportunity cost of space (where relevant) and possibly additional excavation costs. However, these costs would be incurred on a voluntary basis. A potential advantage of this approach, relative to a mandatory requirement, is that there is scope for consumers to make their own choices</w:t>
      </w:r>
      <w:r w:rsidR="005F5B77">
        <w:t xml:space="preserve">; </w:t>
      </w:r>
      <w:r>
        <w:t>where some consumers have a strong preference for non</w:t>
      </w:r>
      <w:r>
        <w:noBreakHyphen/>
        <w:t>compliant designs or the cost of complying with the standard is higher than average (due to the specific characteristics of the lot)</w:t>
      </w:r>
      <w:r w:rsidR="005F5B77">
        <w:t xml:space="preserve"> they would be able to choose not to include accessible design features</w:t>
      </w:r>
      <w:r>
        <w:t>.</w:t>
      </w:r>
    </w:p>
    <w:p w:rsidR="007C6A5F" w:rsidRDefault="007C6A5F" w:rsidP="007C6A5F">
      <w:pPr>
        <w:pStyle w:val="Heading4"/>
        <w:numPr>
          <w:ilvl w:val="3"/>
          <w:numId w:val="5"/>
        </w:numPr>
      </w:pPr>
      <w:r>
        <w:t>Benefits</w:t>
      </w:r>
    </w:p>
    <w:p w:rsidR="007C6A5F" w:rsidRDefault="007C6A5F" w:rsidP="007C6A5F">
      <w:pPr>
        <w:pStyle w:val="BodyText"/>
      </w:pPr>
      <w:r>
        <w:t>To the extent that this approach encourages additional uptake of universal design principles, it could potentially reduce the size of the problem outlined previously to some extent. As uptake would be significantly lower than under the mandatory requirements, the benefits would be commensurately smaller.</w:t>
      </w:r>
    </w:p>
    <w:p w:rsidR="007C6A5F" w:rsidRDefault="007C6A5F" w:rsidP="007C6A5F">
      <w:pPr>
        <w:pStyle w:val="Heading2"/>
        <w:numPr>
          <w:ilvl w:val="1"/>
          <w:numId w:val="5"/>
        </w:numPr>
      </w:pPr>
      <w:bookmarkStart w:id="4027" w:name="_Toc32321758"/>
      <w:bookmarkStart w:id="4028" w:name="_Toc44598446"/>
      <w:bookmarkStart w:id="4029" w:name="_Toc45654077"/>
      <w:r>
        <w:t>Cost-benefit analysis framework</w:t>
      </w:r>
      <w:bookmarkEnd w:id="4027"/>
      <w:bookmarkEnd w:id="4028"/>
      <w:bookmarkEnd w:id="4029"/>
    </w:p>
    <w:p w:rsidR="007C6A5F" w:rsidRDefault="007C6A5F" w:rsidP="007C6A5F">
      <w:pPr>
        <w:pStyle w:val="BodyText"/>
        <w:rPr>
          <w:lang w:bidi="fa-IR"/>
        </w:rPr>
      </w:pPr>
      <w:r>
        <w:rPr>
          <w:lang w:bidi="fa-IR"/>
        </w:rPr>
        <w:t>Cost</w:t>
      </w:r>
      <w:r>
        <w:rPr>
          <w:lang w:bidi="fa-IR"/>
        </w:rPr>
        <w:noBreakHyphen/>
        <w:t>benefit analysis is the COAG Guidelines recommended tool for weighing up the costs and benefits of a regulatory (or other) proposal in a systematic way. Where possible, all financial, social and environmental costs and benefits are estimated in a common metric (usually monetary terms) so they can be readily compared. The stream of future costs and benefits are ‘discounted’ back to their present value to ensure costs and benefits incurred in different periods are on a comparable basis.</w:t>
      </w:r>
    </w:p>
    <w:p w:rsidR="007C6A5F" w:rsidRDefault="007C6A5F" w:rsidP="007C6A5F">
      <w:pPr>
        <w:pStyle w:val="Heading3"/>
        <w:numPr>
          <w:ilvl w:val="2"/>
          <w:numId w:val="5"/>
        </w:numPr>
        <w:rPr>
          <w:lang w:bidi="fa-IR"/>
        </w:rPr>
      </w:pPr>
      <w:r>
        <w:rPr>
          <w:lang w:bidi="fa-IR"/>
        </w:rPr>
        <w:t>Baseline</w:t>
      </w:r>
    </w:p>
    <w:p w:rsidR="007C6A5F" w:rsidRDefault="007C6A5F" w:rsidP="007C6A5F">
      <w:pPr>
        <w:pStyle w:val="BodyText"/>
        <w:rPr>
          <w:lang w:bidi="fa-IR"/>
        </w:rPr>
      </w:pPr>
      <w:r>
        <w:rPr>
          <w:lang w:bidi="fa-IR"/>
        </w:rPr>
        <w:t>A key element of a CBA is establishing a ‘baseline’ against which the costs and benefits of each of the policy options are assessed. A typical baseline is a ‘business</w:t>
      </w:r>
      <w:r>
        <w:rPr>
          <w:lang w:bidi="fa-IR"/>
        </w:rPr>
        <w:noBreakHyphen/>
        <w:t>as</w:t>
      </w:r>
      <w:r>
        <w:rPr>
          <w:lang w:bidi="fa-IR"/>
        </w:rPr>
        <w:noBreakHyphen/>
        <w:t>usual’ case; that is, the scenario without the policy (or policies) in question.</w:t>
      </w:r>
    </w:p>
    <w:p w:rsidR="007C6A5F" w:rsidRDefault="007C6A5F" w:rsidP="007C6A5F">
      <w:pPr>
        <w:pStyle w:val="BodyText"/>
        <w:rPr>
          <w:lang w:bidi="fa-IR"/>
        </w:rPr>
      </w:pPr>
      <w:r>
        <w:rPr>
          <w:lang w:bidi="fa-IR"/>
        </w:rPr>
        <w:t>As set out in chapter 2, there are a significant number of policies aimed at ensuring that older Australians and people with a disability have access to housing that meets their needs. The baseline scenario assumes that these policies will continue.</w:t>
      </w:r>
    </w:p>
    <w:p w:rsidR="007C6A5F" w:rsidRDefault="007C6A5F" w:rsidP="007C6A5F">
      <w:pPr>
        <w:pStyle w:val="BodyText"/>
        <w:rPr>
          <w:lang w:bidi="fa-IR"/>
        </w:rPr>
      </w:pPr>
      <w:r>
        <w:rPr>
          <w:lang w:bidi="fa-IR"/>
        </w:rPr>
        <w:t>The CBA is therefore assessing the incremental benefits and costs of each of the proposed options relative to existing policies.</w:t>
      </w:r>
    </w:p>
    <w:p w:rsidR="007C6A5F" w:rsidRDefault="007C6A5F" w:rsidP="007C6A5F">
      <w:pPr>
        <w:pStyle w:val="BodyText"/>
        <w:rPr>
          <w:lang w:bidi="fa-IR"/>
        </w:rPr>
      </w:pPr>
      <w:r>
        <w:rPr>
          <w:lang w:bidi="fa-IR"/>
        </w:rPr>
        <w:t xml:space="preserve">As for the construction costs and space requirement, DCWC takes a two-step approach to define the baseline, reflecting the complexity of building type and design. </w:t>
      </w:r>
    </w:p>
    <w:p w:rsidR="007C6A5F" w:rsidRDefault="007C6A5F" w:rsidP="007C6A5F">
      <w:pPr>
        <w:pStyle w:val="BodyText"/>
        <w:rPr>
          <w:lang w:bidi="fa-IR"/>
        </w:rPr>
      </w:pPr>
      <w:r>
        <w:rPr>
          <w:lang w:bidi="fa-IR"/>
        </w:rPr>
        <w:t xml:space="preserve">First, for each design element, various scenarios are defined to reflect the different baselines. For example, some designs may already be compliant under the baseline, and </w:t>
      </w:r>
      <w:r>
        <w:rPr>
          <w:lang w:bidi="fa-IR"/>
        </w:rPr>
        <w:lastRenderedPageBreak/>
        <w:t xml:space="preserve">thus the required changes incur zero cost. Some designs are not compliant in the baseline, and thus require changes to meet the standard, which incur </w:t>
      </w:r>
      <w:r w:rsidR="005F5B77">
        <w:rPr>
          <w:lang w:bidi="fa-IR"/>
        </w:rPr>
        <w:t xml:space="preserve">additional </w:t>
      </w:r>
      <w:r>
        <w:rPr>
          <w:lang w:bidi="fa-IR"/>
        </w:rPr>
        <w:t xml:space="preserve">construction costs. Furthermore, the compliance may be achieved through different designs solutions. For example, to meet the toilet circulation space requirement, a design replacing a side hung door with a cavity sliding door would mean minimal cost, while in some cases this design is not feasible and bigger space is required to meet the standard, and thus higher costs. For Gold and/or Gold+ standards, more scenarios may be needed to define the baselines for those already met lower standard. </w:t>
      </w:r>
    </w:p>
    <w:p w:rsidR="007C6A5F" w:rsidRDefault="007C6A5F" w:rsidP="007C6A5F">
      <w:pPr>
        <w:pStyle w:val="BodyText"/>
        <w:rPr>
          <w:lang w:bidi="fa-IR"/>
        </w:rPr>
      </w:pPr>
      <w:r>
        <w:rPr>
          <w:lang w:bidi="fa-IR"/>
        </w:rPr>
        <w:t>In the second step weightings are given to each scenario to define the baseline for relevant elements and building types in the market.</w:t>
      </w:r>
    </w:p>
    <w:p w:rsidR="007C6A5F" w:rsidRDefault="007C6A5F" w:rsidP="007C6A5F">
      <w:pPr>
        <w:pStyle w:val="Heading3"/>
        <w:numPr>
          <w:ilvl w:val="2"/>
          <w:numId w:val="5"/>
        </w:numPr>
        <w:rPr>
          <w:lang w:bidi="fa-IR"/>
        </w:rPr>
      </w:pPr>
      <w:r>
        <w:rPr>
          <w:lang w:bidi="fa-IR"/>
        </w:rPr>
        <w:t>Time periods</w:t>
      </w:r>
    </w:p>
    <w:p w:rsidR="007C6A5F" w:rsidRDefault="007C6A5F" w:rsidP="007C6A5F">
      <w:pPr>
        <w:pStyle w:val="BodyText"/>
        <w:rPr>
          <w:lang w:bidi="fa-IR"/>
        </w:rPr>
      </w:pPr>
      <w:r>
        <w:rPr>
          <w:lang w:bidi="fa-IR"/>
        </w:rPr>
        <w:t>According to OBPR, the time period for a CBA needs to be long enough to capture all of the potential costs and benefits. As for previous ABCB RISs a 10</w:t>
      </w:r>
      <w:r>
        <w:rPr>
          <w:lang w:bidi="fa-IR"/>
        </w:rPr>
        <w:noBreakHyphen/>
        <w:t>year regulatory period has been adopted. However, as buildings are long</w:t>
      </w:r>
      <w:r>
        <w:rPr>
          <w:lang w:bidi="fa-IR"/>
        </w:rPr>
        <w:noBreakHyphen/>
        <w:t>lived assets, accessible dwellings constructed over the 10</w:t>
      </w:r>
      <w:r>
        <w:rPr>
          <w:lang w:bidi="fa-IR"/>
        </w:rPr>
        <w:noBreakHyphen/>
        <w:t>year regulatory period will provide housing (and therefore benefits) over a much longer period. The benefits of the dwellings built over the 10</w:t>
      </w:r>
      <w:r>
        <w:rPr>
          <w:lang w:bidi="fa-IR"/>
        </w:rPr>
        <w:noBreakHyphen/>
        <w:t>year regulatory period have in the past been assessed over the life of the dwelling (generally assumed to be around 40 years).</w:t>
      </w:r>
    </w:p>
    <w:p w:rsidR="007C6A5F" w:rsidRDefault="007C6A5F" w:rsidP="007C6A5F">
      <w:pPr>
        <w:pStyle w:val="BodyText"/>
        <w:rPr>
          <w:lang w:bidi="fa-IR"/>
        </w:rPr>
      </w:pPr>
      <w:r>
        <w:rPr>
          <w:lang w:bidi="fa-IR"/>
        </w:rPr>
        <w:t>One challenge with this approach in the context of the current RIS, is that (one of) our approach(es) to quantifying benefits assumes that the extent to which the proposal addresses the problem (estimated in chapter 2) is related to the share of accessible dwellings in the overall stock, rather than estimating the benefits for an individual dwelling and then extrapolating across the stock built under the new code. This is because most (but not all) of the benefits depend on whether a person with specific accessibility needs resides in the dwelling.</w:t>
      </w:r>
    </w:p>
    <w:p w:rsidR="007C6A5F" w:rsidRDefault="007C6A5F" w:rsidP="007C6A5F">
      <w:pPr>
        <w:pStyle w:val="BodyText"/>
        <w:rPr>
          <w:lang w:bidi="fa-IR"/>
        </w:rPr>
      </w:pPr>
      <w:r>
        <w:rPr>
          <w:lang w:bidi="fa-IR"/>
        </w:rPr>
        <w:t>Our approach therefore involves estimating the additional upfront costs associated with the dwellings constructed over the 10</w:t>
      </w:r>
      <w:r>
        <w:rPr>
          <w:lang w:bidi="fa-IR"/>
        </w:rPr>
        <w:noBreakHyphen/>
        <w:t>year regulatory period. The benefits escalate as the share of the stock that is accessible increases. We then hold the benefits at the end of the 10</w:t>
      </w:r>
      <w:r>
        <w:rPr>
          <w:lang w:bidi="fa-IR"/>
        </w:rPr>
        <w:noBreakHyphen/>
        <w:t>year regulatory period constant for an additional 30 years.</w:t>
      </w:r>
    </w:p>
    <w:p w:rsidR="007C6A5F" w:rsidRDefault="007C6A5F" w:rsidP="007C6A5F">
      <w:pPr>
        <w:pStyle w:val="Heading3"/>
        <w:numPr>
          <w:ilvl w:val="2"/>
          <w:numId w:val="5"/>
        </w:numPr>
        <w:rPr>
          <w:lang w:bidi="fa-IR"/>
        </w:rPr>
      </w:pPr>
      <w:r>
        <w:rPr>
          <w:lang w:bidi="fa-IR"/>
        </w:rPr>
        <w:t>Discount rate</w:t>
      </w:r>
    </w:p>
    <w:p w:rsidR="007C6A5F" w:rsidRDefault="007C6A5F" w:rsidP="007C6A5F">
      <w:pPr>
        <w:pStyle w:val="BodyText"/>
        <w:rPr>
          <w:lang w:bidi="fa-IR"/>
        </w:rPr>
      </w:pPr>
      <w:r>
        <w:rPr>
          <w:lang w:bidi="fa-IR"/>
        </w:rPr>
        <w:t>As required by the Office of Best Practice Regulation (OBPR), all costs and benefits are discounted using an annual real discount rate of 7 per cent.</w:t>
      </w:r>
      <w:r>
        <w:rPr>
          <w:rStyle w:val="FootnoteReference"/>
          <w:lang w:bidi="fa-IR"/>
        </w:rPr>
        <w:footnoteReference w:id="59"/>
      </w:r>
      <w:r>
        <w:rPr>
          <w:lang w:bidi="fa-IR"/>
        </w:rPr>
        <w:t xml:space="preserve"> Alternative discount rates of 3 per cent, 5 per cent and 10 per cent are used in sensitivity testing.</w:t>
      </w:r>
    </w:p>
    <w:p w:rsidR="007C6A5F" w:rsidRDefault="007C6A5F" w:rsidP="007C6A5F">
      <w:pPr>
        <w:pStyle w:val="Heading2"/>
        <w:numPr>
          <w:ilvl w:val="1"/>
          <w:numId w:val="5"/>
        </w:numPr>
        <w:rPr>
          <w:lang w:bidi="fa-IR"/>
        </w:rPr>
      </w:pPr>
      <w:bookmarkStart w:id="4030" w:name="_Toc32321759"/>
      <w:bookmarkStart w:id="4031" w:name="_Toc44598447"/>
      <w:bookmarkStart w:id="4032" w:name="_Toc45654078"/>
      <w:r>
        <w:rPr>
          <w:lang w:bidi="fa-IR"/>
        </w:rPr>
        <w:lastRenderedPageBreak/>
        <w:t>Projected dwelling construction</w:t>
      </w:r>
      <w:bookmarkEnd w:id="4030"/>
      <w:bookmarkEnd w:id="4031"/>
      <w:bookmarkEnd w:id="4032"/>
    </w:p>
    <w:p w:rsidR="007C6A5F" w:rsidRDefault="007C6A5F" w:rsidP="007C6A5F">
      <w:pPr>
        <w:pStyle w:val="BodyText"/>
        <w:rPr>
          <w:rStyle w:val="DraftingNote"/>
          <w:b w:val="0"/>
          <w:color w:val="auto"/>
          <w:u w:val="none"/>
        </w:rPr>
      </w:pPr>
      <w:r>
        <w:rPr>
          <w:rStyle w:val="DraftingNote"/>
          <w:b w:val="0"/>
          <w:color w:val="auto"/>
          <w:u w:val="none"/>
        </w:rPr>
        <w:t xml:space="preserve">A key driver of both the benefits and the costs is the level of new dwelling construction over the regulatory period. </w:t>
      </w:r>
      <w:r w:rsidRPr="00C65F4C">
        <w:rPr>
          <w:rStyle w:val="DraftingNote"/>
          <w:b w:val="0"/>
          <w:color w:val="auto"/>
          <w:u w:val="none"/>
        </w:rPr>
        <w:t>The CIE</w:t>
      </w:r>
      <w:r>
        <w:rPr>
          <w:rStyle w:val="DraftingNote"/>
          <w:b w:val="0"/>
          <w:color w:val="auto"/>
          <w:u w:val="none"/>
        </w:rPr>
        <w:t>’s</w:t>
      </w:r>
      <w:r w:rsidRPr="00C65F4C">
        <w:rPr>
          <w:rStyle w:val="DraftingNote"/>
          <w:b w:val="0"/>
          <w:color w:val="auto"/>
          <w:u w:val="none"/>
        </w:rPr>
        <w:t xml:space="preserve"> dwelling projection sees completions </w:t>
      </w:r>
      <w:r>
        <w:rPr>
          <w:rStyle w:val="DraftingNote"/>
          <w:b w:val="0"/>
          <w:color w:val="auto"/>
          <w:u w:val="none"/>
        </w:rPr>
        <w:t xml:space="preserve">declining gradually from just above 200 000 in 2022 to around 182 000 by 2031 (chart 4.1). </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4</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4</w:instrText>
      </w:r>
      <w:r>
        <w:rPr>
          <w:noProof/>
        </w:rPr>
        <w:fldChar w:fldCharType="end"/>
      </w:r>
      <w:r w:rsidRPr="00695C93">
        <w:instrText xml:space="preserve">." </w:instrText>
      </w:r>
      <w:r w:rsidRPr="00695C93">
        <w:fldChar w:fldCharType="separate"/>
      </w:r>
      <w:r>
        <w:rPr>
          <w:noProof/>
        </w:rPr>
        <w:instrText>4</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sidR="00272AF3">
        <w:rPr>
          <w:noProof/>
        </w:rPr>
        <w:instrText>4</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4</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1</w:instrText>
      </w:r>
      <w:r w:rsidRPr="00695C93">
        <w:fldChar w:fldCharType="end"/>
      </w:r>
      <w:r w:rsidRPr="00695C93">
        <w:instrText xml:space="preserve">" "" </w:instrText>
      </w:r>
      <w:r w:rsidRPr="00695C93">
        <w:fldChar w:fldCharType="separate"/>
      </w:r>
      <w:bookmarkStart w:id="4033" w:name="_Caption3964"/>
      <w:bookmarkStart w:id="4034" w:name="_Caption3164"/>
      <w:bookmarkStart w:id="4035" w:name="_Caption4077"/>
      <w:bookmarkStart w:id="4036" w:name="_Caption9707"/>
      <w:bookmarkStart w:id="4037" w:name="_Caption5413"/>
      <w:bookmarkStart w:id="4038" w:name="_Caption9725"/>
      <w:bookmarkStart w:id="4039" w:name="_Caption0140"/>
      <w:bookmarkStart w:id="4040" w:name="_Caption9733"/>
      <w:bookmarkStart w:id="4041" w:name="_Caption8947"/>
      <w:bookmarkStart w:id="4042" w:name="_Caption8251"/>
      <w:bookmarkStart w:id="4043" w:name="_Caption5101"/>
      <w:bookmarkStart w:id="4044" w:name="_Caption9087"/>
      <w:bookmarkStart w:id="4045" w:name="_Caption0015"/>
      <w:bookmarkStart w:id="4046" w:name="_Caption4159"/>
      <w:bookmarkStart w:id="4047" w:name="_Caption7110"/>
      <w:bookmarkStart w:id="4048" w:name="_Caption1148"/>
      <w:bookmarkStart w:id="4049" w:name="_Caption2923"/>
      <w:bookmarkStart w:id="4050" w:name="_Caption6198"/>
      <w:bookmarkStart w:id="4051" w:name="_Caption3508"/>
      <w:bookmarkStart w:id="4052" w:name="_Caption8622"/>
      <w:bookmarkStart w:id="4053" w:name="_Caption3698"/>
      <w:bookmarkStart w:id="4054" w:name="_Caption4660"/>
      <w:bookmarkStart w:id="4055" w:name="_Caption1002"/>
      <w:bookmarkStart w:id="4056" w:name="_Caption2082"/>
      <w:bookmarkStart w:id="4057" w:name="_Caption2203"/>
      <w:bookmarkStart w:id="4058" w:name="_Caption9556"/>
      <w:bookmarkStart w:id="4059" w:name="_Caption0812"/>
      <w:bookmarkStart w:id="4060" w:name="_Caption3672"/>
      <w:bookmarkStart w:id="4061" w:name="_Caption8973"/>
      <w:bookmarkStart w:id="4062" w:name="_Caption2489"/>
      <w:bookmarkStart w:id="4063" w:name="_Caption4707"/>
      <w:bookmarkStart w:id="4064" w:name="_Caption1567"/>
      <w:bookmarkStart w:id="4065" w:name="_Caption2966"/>
      <w:bookmarkStart w:id="4066" w:name="_Caption7092"/>
      <w:bookmarkStart w:id="4067" w:name="_Caption2036"/>
      <w:bookmarkStart w:id="4068" w:name="_Caption1120"/>
      <w:bookmarkStart w:id="4069" w:name="_Caption2883"/>
      <w:bookmarkStart w:id="4070" w:name="_Caption2939"/>
      <w:bookmarkStart w:id="4071" w:name="_Caption6249"/>
      <w:bookmarkStart w:id="4072" w:name="_Caption4903"/>
      <w:bookmarkStart w:id="4073" w:name="_Caption8696"/>
      <w:bookmarkStart w:id="4074" w:name="_Caption8403"/>
      <w:bookmarkStart w:id="4075" w:name="_Caption5576"/>
      <w:bookmarkStart w:id="4076" w:name="_Caption5080"/>
      <w:bookmarkStart w:id="4077" w:name="_Caption2761"/>
      <w:bookmarkStart w:id="4078" w:name="_Caption8762"/>
      <w:bookmarkStart w:id="4079" w:name="_Caption8804"/>
      <w:bookmarkStart w:id="4080" w:name="_Caption4299"/>
      <w:bookmarkStart w:id="4081" w:name="_Caption7422"/>
      <w:bookmarkStart w:id="4082" w:name="_Caption5434"/>
      <w:bookmarkStart w:id="4083" w:name="_Caption5366"/>
      <w:bookmarkStart w:id="4084" w:name="_Caption5008"/>
      <w:bookmarkStart w:id="4085" w:name="_Caption7314"/>
      <w:bookmarkStart w:id="4086" w:name="_Caption4735"/>
      <w:bookmarkStart w:id="4087" w:name="_Caption9100"/>
      <w:bookmarkStart w:id="4088" w:name="_Caption0182"/>
      <w:bookmarkStart w:id="4089" w:name="_Caption5447"/>
      <w:bookmarkStart w:id="4090" w:name="_Caption5232"/>
      <w:bookmarkStart w:id="4091" w:name="_Caption0550"/>
      <w:bookmarkStart w:id="4092" w:name="_Caption0620"/>
      <w:bookmarkStart w:id="4093" w:name="_Caption2139"/>
      <w:bookmarkStart w:id="4094" w:name="_Caption4040"/>
      <w:bookmarkStart w:id="4095" w:name="_Caption7132"/>
      <w:bookmarkStart w:id="4096" w:name="_Caption7552"/>
      <w:bookmarkStart w:id="4097" w:name="_Caption4632"/>
      <w:bookmarkStart w:id="4098" w:name="_Caption4942"/>
      <w:bookmarkStart w:id="4099" w:name="_Caption1834"/>
      <w:bookmarkStart w:id="4100" w:name="_Caption1058"/>
      <w:bookmarkStart w:id="4101" w:name="_Caption0435"/>
      <w:bookmarkStart w:id="4102" w:name="_Caption4438"/>
      <w:bookmarkStart w:id="4103" w:name="_Caption5719"/>
      <w:bookmarkStart w:id="4104" w:name="_Caption9949"/>
      <w:bookmarkStart w:id="4105" w:name="_Caption7490"/>
      <w:bookmarkStart w:id="4106" w:name="_Caption4688"/>
      <w:bookmarkStart w:id="4107" w:name="_Caption2583"/>
      <w:bookmarkStart w:id="4108" w:name="_Toc32321822"/>
      <w:bookmarkStart w:id="4109" w:name="_Toc44598519"/>
      <w:bookmarkStart w:id="4110" w:name="_Toc45654150"/>
      <w:r w:rsidR="00272AF3">
        <w:rPr>
          <w:noProof/>
        </w:rPr>
        <w:t>4</w:t>
      </w:r>
      <w:r w:rsidR="00272AF3" w:rsidRPr="00695C93">
        <w:rPr>
          <w:noProof/>
        </w:rPr>
        <w:t>.</w:t>
      </w:r>
      <w:r w:rsidR="00272AF3">
        <w:rPr>
          <w:noProof/>
        </w:rPr>
        <w:t>1</w:t>
      </w:r>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r w:rsidRPr="00695C93">
        <w:fldChar w:fldCharType="end"/>
      </w:r>
      <w:r w:rsidRPr="00695C93">
        <w:tab/>
      </w:r>
      <w:r>
        <w:t>Projections for dwelling completions in Australia</w:t>
      </w:r>
      <w:bookmarkEnd w:id="4108"/>
      <w:bookmarkEnd w:id="4109"/>
      <w:bookmarkEnd w:id="4110"/>
    </w:p>
    <w:p w:rsidR="007C6A5F" w:rsidRDefault="007C6A5F" w:rsidP="007C6A5F">
      <w:pPr>
        <w:pStyle w:val="Subtitlebox"/>
      </w:pPr>
      <w:r w:rsidRPr="0035374E">
        <w:rPr>
          <w:noProof/>
        </w:rPr>
        <w:drawing>
          <wp:inline distT="0" distB="0" distL="0" distR="0" wp14:anchorId="2142F64D" wp14:editId="20EF9ADA">
            <wp:extent cx="5040000" cy="2563402"/>
            <wp:effectExtent l="57150" t="57150" r="65405" b="66040"/>
            <wp:docPr id="51" name="Picture 51" descr="Chart 4.1 - Projections for dwelling completion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4913"/>
                    <a:stretch/>
                  </pic:blipFill>
                  <pic:spPr bwMode="auto">
                    <a:xfrm>
                      <a:off x="0" y="0"/>
                      <a:ext cx="5040000" cy="2563402"/>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rsidR="007C6A5F" w:rsidRDefault="007C6A5F" w:rsidP="007C6A5F">
      <w:pPr>
        <w:pStyle w:val="Source"/>
      </w:pPr>
      <w:r>
        <w:rPr>
          <w:i/>
        </w:rPr>
        <w:t>Data source</w:t>
      </w:r>
      <w:r w:rsidRPr="00A67576">
        <w:rPr>
          <w:i/>
        </w:rPr>
        <w:t>:</w:t>
      </w:r>
      <w:r w:rsidR="00C36DA4">
        <w:t xml:space="preserve"> </w:t>
      </w:r>
      <w:r>
        <w:t>CIE</w:t>
      </w:r>
      <w:r w:rsidR="00C36DA4">
        <w:t>.</w:t>
      </w:r>
    </w:p>
    <w:p w:rsidR="007C6A5F" w:rsidRDefault="007C6A5F" w:rsidP="007C6A5F">
      <w:pPr>
        <w:pStyle w:val="BodyText"/>
        <w:rPr>
          <w:lang w:eastAsia="en-US"/>
        </w:rPr>
      </w:pPr>
      <w:r>
        <w:rPr>
          <w:rStyle w:val="DraftingNote"/>
          <w:b w:val="0"/>
          <w:color w:val="auto"/>
          <w:u w:val="none"/>
        </w:rPr>
        <w:t xml:space="preserve">The underlying drivers of completions are population growth, the ratio of the dwelling stock to population and a demolition rate (see discussion in </w:t>
      </w:r>
      <w:r w:rsidRPr="00B720B6">
        <w:rPr>
          <w:rStyle w:val="DraftingNote"/>
          <w:b w:val="0"/>
          <w:color w:val="auto"/>
          <w:u w:val="none"/>
        </w:rPr>
        <w:t>Appendix C</w:t>
      </w:r>
      <w:r w:rsidRPr="00347F8F">
        <w:rPr>
          <w:rStyle w:val="DraftingNote"/>
          <w:b w:val="0"/>
          <w:color w:val="auto"/>
          <w:u w:val="none"/>
        </w:rPr>
        <w:t>).</w:t>
      </w:r>
      <w:r>
        <w:rPr>
          <w:rStyle w:val="DraftingNote"/>
          <w:b w:val="0"/>
          <w:color w:val="auto"/>
          <w:u w:val="none"/>
        </w:rPr>
        <w:t xml:space="preserve"> The ratio of the dwelling stock to population has been derived from state government projections for population and dwellings, and aggregated to the national level. </w:t>
      </w:r>
    </w:p>
    <w:p w:rsidR="007C6A5F" w:rsidRDefault="007C6A5F" w:rsidP="007C6A5F">
      <w:pPr>
        <w:pStyle w:val="BodyText"/>
        <w:rPr>
          <w:lang w:bidi="fa-IR"/>
        </w:rPr>
      </w:pPr>
      <w:r>
        <w:rPr>
          <w:lang w:bidi="fa-IR"/>
        </w:rPr>
        <w:t>New dwellings constructed under a revised NCC would become an increasing share of the stock over time (chart </w:t>
      </w:r>
      <w:r>
        <w:rPr>
          <w:lang w:bidi="fa-IR"/>
        </w:rPr>
        <w:fldChar w:fldCharType="begin"/>
      </w:r>
      <w:r>
        <w:rPr>
          <w:lang w:bidi="fa-IR"/>
        </w:rPr>
        <w:instrText xml:space="preserve"> REF _Caption6320 </w:instrText>
      </w:r>
      <w:r>
        <w:rPr>
          <w:lang w:bidi="fa-IR"/>
        </w:rPr>
        <w:fldChar w:fldCharType="separate"/>
      </w:r>
      <w:r>
        <w:rPr>
          <w:noProof/>
        </w:rPr>
        <w:t>4</w:t>
      </w:r>
      <w:r w:rsidRPr="0018379D">
        <w:rPr>
          <w:noProof/>
        </w:rPr>
        <w:t>.</w:t>
      </w:r>
      <w:r>
        <w:rPr>
          <w:noProof/>
        </w:rPr>
        <w:t>2</w:t>
      </w:r>
      <w:r>
        <w:rPr>
          <w:lang w:bidi="fa-IR"/>
        </w:rPr>
        <w:fldChar w:fldCharType="end"/>
      </w:r>
      <w:r>
        <w:rPr>
          <w:lang w:bidi="fa-IR"/>
        </w:rPr>
        <w:t>). The share of accessible housing will increase accordingly.</w:t>
      </w:r>
    </w:p>
    <w:p w:rsidR="007C6A5F" w:rsidRDefault="007C6A5F" w:rsidP="007C6A5F">
      <w:pPr>
        <w:pStyle w:val="Caption"/>
      </w:pPr>
      <w:r w:rsidRPr="0018379D">
        <w:lastRenderedPageBreak/>
        <w:fldChar w:fldCharType="begin"/>
      </w:r>
      <w:r w:rsidRPr="0018379D">
        <w:instrText xml:space="preserve"> IF 1 = 1 "</w:instrText>
      </w:r>
      <w:r w:rsidRPr="0018379D">
        <w:fldChar w:fldCharType="begin"/>
      </w:r>
      <w:r w:rsidRPr="0018379D">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18379D">
        <w:instrText xml:space="preserve"> = 0 "</w:instrText>
      </w:r>
      <w:r w:rsidRPr="0018379D">
        <w:fldChar w:fldCharType="begin"/>
      </w:r>
      <w:r w:rsidRPr="0018379D">
        <w:instrText xml:space="preserve"> IF </w:instrText>
      </w:r>
      <w:r>
        <w:rPr>
          <w:noProof/>
        </w:rPr>
        <w:fldChar w:fldCharType="begin"/>
      </w:r>
      <w:r>
        <w:rPr>
          <w:noProof/>
        </w:rPr>
        <w:instrText xml:space="preserve"> STYLEREF "Heading 1" \l \n </w:instrText>
      </w:r>
      <w:r>
        <w:rPr>
          <w:noProof/>
        </w:rPr>
        <w:fldChar w:fldCharType="separate"/>
      </w:r>
      <w:r>
        <w:rPr>
          <w:noProof/>
        </w:rPr>
        <w:instrText>4</w:instrText>
      </w:r>
      <w:r>
        <w:rPr>
          <w:noProof/>
        </w:rPr>
        <w:fldChar w:fldCharType="end"/>
      </w:r>
      <w:r w:rsidRPr="0018379D">
        <w:instrText xml:space="preserve"> = 0 "" "</w:instrText>
      </w:r>
      <w:r>
        <w:rPr>
          <w:noProof/>
        </w:rPr>
        <w:fldChar w:fldCharType="begin"/>
      </w:r>
      <w:r>
        <w:rPr>
          <w:noProof/>
        </w:rPr>
        <w:instrText xml:space="preserve"> STYLEREF "Heading 1" \l \n </w:instrText>
      </w:r>
      <w:r>
        <w:rPr>
          <w:noProof/>
        </w:rPr>
        <w:fldChar w:fldCharType="separate"/>
      </w:r>
      <w:r>
        <w:rPr>
          <w:noProof/>
        </w:rPr>
        <w:instrText>4</w:instrText>
      </w:r>
      <w:r>
        <w:rPr>
          <w:noProof/>
        </w:rPr>
        <w:fldChar w:fldCharType="end"/>
      </w:r>
      <w:r w:rsidRPr="0018379D">
        <w:instrText xml:space="preserve">." </w:instrText>
      </w:r>
      <w:r w:rsidRPr="0018379D">
        <w:fldChar w:fldCharType="separate"/>
      </w:r>
      <w:r>
        <w:rPr>
          <w:noProof/>
        </w:rPr>
        <w:instrText>4</w:instrText>
      </w:r>
      <w:r w:rsidRPr="0018379D">
        <w:rPr>
          <w:noProof/>
        </w:rPr>
        <w:instrText>.</w:instrText>
      </w:r>
      <w:r w:rsidRPr="0018379D">
        <w:fldChar w:fldCharType="end"/>
      </w:r>
      <w:r w:rsidRPr="0018379D">
        <w:instrText>" "</w:instrText>
      </w:r>
      <w:r>
        <w:rPr>
          <w:noProof/>
        </w:rPr>
        <w:fldChar w:fldCharType="begin"/>
      </w:r>
      <w:r>
        <w:rPr>
          <w:noProof/>
        </w:rPr>
        <w:instrText xml:space="preserve"> STYLEREF "Heading 6" \l \n </w:instrText>
      </w:r>
      <w:r>
        <w:rPr>
          <w:noProof/>
        </w:rPr>
        <w:fldChar w:fldCharType="separate"/>
      </w:r>
      <w:r w:rsidRPr="0018379D">
        <w:rPr>
          <w:noProof/>
        </w:rPr>
        <w:instrText>A</w:instrText>
      </w:r>
      <w:r>
        <w:rPr>
          <w:noProof/>
        </w:rPr>
        <w:fldChar w:fldCharType="end"/>
      </w:r>
      <w:r w:rsidRPr="0018379D">
        <w:instrText xml:space="preserve">." </w:instrText>
      </w:r>
      <w:r w:rsidRPr="0018379D">
        <w:fldChar w:fldCharType="separate"/>
      </w:r>
      <w:r w:rsidR="00272AF3">
        <w:rPr>
          <w:noProof/>
        </w:rPr>
        <w:instrText>4</w:instrText>
      </w:r>
      <w:r w:rsidR="00272AF3" w:rsidRPr="0018379D">
        <w:rPr>
          <w:noProof/>
        </w:rPr>
        <w:instrText>.</w:instrText>
      </w:r>
      <w:r w:rsidRPr="0018379D">
        <w:fldChar w:fldCharType="end"/>
      </w:r>
      <w:r w:rsidRPr="0018379D">
        <w:fldChar w:fldCharType="begin"/>
      </w:r>
      <w:r w:rsidRPr="0018379D">
        <w:instrText xml:space="preserve"> SEQ Item \* ARABIC \s </w:instrText>
      </w:r>
      <w:r w:rsidRPr="0018379D">
        <w:fldChar w:fldCharType="begin"/>
      </w:r>
      <w:r w:rsidRPr="0018379D">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18379D">
        <w:instrText xml:space="preserve"> = 0 "</w:instrText>
      </w:r>
      <w:r w:rsidRPr="0018379D">
        <w:fldChar w:fldCharType="begin"/>
      </w:r>
      <w:r w:rsidRPr="0018379D">
        <w:instrText xml:space="preserve"> IF </w:instrText>
      </w:r>
      <w:r>
        <w:rPr>
          <w:noProof/>
        </w:rPr>
        <w:fldChar w:fldCharType="begin"/>
      </w:r>
      <w:r>
        <w:rPr>
          <w:noProof/>
        </w:rPr>
        <w:instrText xml:space="preserve"> STYLEREF "Heading 1" \l \n </w:instrText>
      </w:r>
      <w:r>
        <w:rPr>
          <w:noProof/>
        </w:rPr>
        <w:fldChar w:fldCharType="separate"/>
      </w:r>
      <w:r>
        <w:rPr>
          <w:noProof/>
        </w:rPr>
        <w:instrText>4</w:instrText>
      </w:r>
      <w:r>
        <w:rPr>
          <w:noProof/>
        </w:rPr>
        <w:fldChar w:fldCharType="end"/>
      </w:r>
      <w:r w:rsidRPr="0018379D">
        <w:instrText xml:space="preserve"> = 0 "" "1" </w:instrText>
      </w:r>
      <w:r w:rsidRPr="0018379D">
        <w:fldChar w:fldCharType="separate"/>
      </w:r>
      <w:r w:rsidR="00272AF3" w:rsidRPr="0018379D">
        <w:rPr>
          <w:noProof/>
        </w:rPr>
        <w:instrText>1</w:instrText>
      </w:r>
      <w:r w:rsidRPr="0018379D">
        <w:fldChar w:fldCharType="end"/>
      </w:r>
      <w:r w:rsidRPr="0018379D">
        <w:instrText xml:space="preserve">" "6" </w:instrText>
      </w:r>
      <w:r w:rsidRPr="0018379D">
        <w:fldChar w:fldCharType="separate"/>
      </w:r>
      <w:r w:rsidR="00272AF3" w:rsidRPr="0018379D">
        <w:rPr>
          <w:noProof/>
        </w:rPr>
        <w:instrText>1</w:instrText>
      </w:r>
      <w:r w:rsidRPr="0018379D">
        <w:fldChar w:fldCharType="end"/>
      </w:r>
      <w:r w:rsidRPr="0018379D">
        <w:instrText xml:space="preserve"> </w:instrText>
      </w:r>
      <w:r w:rsidRPr="0018379D">
        <w:fldChar w:fldCharType="separate"/>
      </w:r>
      <w:r>
        <w:rPr>
          <w:noProof/>
        </w:rPr>
        <w:instrText>2</w:instrText>
      </w:r>
      <w:r w:rsidRPr="0018379D">
        <w:fldChar w:fldCharType="end"/>
      </w:r>
      <w:r w:rsidRPr="0018379D">
        <w:instrText xml:space="preserve">" "" </w:instrText>
      </w:r>
      <w:r w:rsidRPr="0018379D">
        <w:fldChar w:fldCharType="separate"/>
      </w:r>
      <w:bookmarkStart w:id="4111" w:name="_Caption8918"/>
      <w:bookmarkStart w:id="4112" w:name="_Caption8932"/>
      <w:bookmarkStart w:id="4113" w:name="_Caption6386"/>
      <w:bookmarkStart w:id="4114" w:name="_Caption1803"/>
      <w:bookmarkStart w:id="4115" w:name="_Caption6544"/>
      <w:bookmarkStart w:id="4116" w:name="_Caption0111"/>
      <w:bookmarkStart w:id="4117" w:name="_Caption5868"/>
      <w:bookmarkStart w:id="4118" w:name="_Caption0946"/>
      <w:bookmarkStart w:id="4119" w:name="_Caption2233"/>
      <w:bookmarkStart w:id="4120" w:name="_Caption9320"/>
      <w:bookmarkStart w:id="4121" w:name="_Caption7345"/>
      <w:bookmarkStart w:id="4122" w:name="_Caption2225"/>
      <w:bookmarkStart w:id="4123" w:name="_Caption4354"/>
      <w:bookmarkStart w:id="4124" w:name="_Caption6855"/>
      <w:bookmarkStart w:id="4125" w:name="_Caption6527"/>
      <w:bookmarkStart w:id="4126" w:name="_Caption0788"/>
      <w:bookmarkStart w:id="4127" w:name="_Caption7623"/>
      <w:bookmarkStart w:id="4128" w:name="_Caption2113"/>
      <w:bookmarkStart w:id="4129" w:name="_Caption9917"/>
      <w:bookmarkStart w:id="4130" w:name="_Caption3705"/>
      <w:bookmarkStart w:id="4131" w:name="_Caption2981"/>
      <w:bookmarkStart w:id="4132" w:name="_Caption5830"/>
      <w:bookmarkStart w:id="4133" w:name="_Caption6320"/>
      <w:bookmarkStart w:id="4134" w:name="_Caption1578"/>
      <w:bookmarkStart w:id="4135" w:name="_Caption6067"/>
      <w:bookmarkStart w:id="4136" w:name="_Caption7119"/>
      <w:bookmarkStart w:id="4137" w:name="_Caption7057"/>
      <w:bookmarkStart w:id="4138" w:name="_Caption1857"/>
      <w:bookmarkStart w:id="4139" w:name="_Caption9342"/>
      <w:bookmarkStart w:id="4140" w:name="_Caption3564"/>
      <w:bookmarkStart w:id="4141" w:name="_Caption6824"/>
      <w:bookmarkStart w:id="4142" w:name="_Caption6424"/>
      <w:bookmarkStart w:id="4143" w:name="_Caption8409"/>
      <w:bookmarkStart w:id="4144" w:name="_Caption9968"/>
      <w:bookmarkStart w:id="4145" w:name="_Caption1260"/>
      <w:bookmarkStart w:id="4146" w:name="_Caption9778"/>
      <w:bookmarkStart w:id="4147" w:name="_Caption7467"/>
      <w:bookmarkStart w:id="4148" w:name="_Caption9962"/>
      <w:bookmarkStart w:id="4149" w:name="_Caption2470"/>
      <w:bookmarkStart w:id="4150" w:name="_Caption9658"/>
      <w:bookmarkStart w:id="4151" w:name="_Toc32321823"/>
      <w:bookmarkStart w:id="4152" w:name="_Toc44598520"/>
      <w:bookmarkStart w:id="4153" w:name="_Toc45654151"/>
      <w:r w:rsidR="00272AF3">
        <w:rPr>
          <w:noProof/>
        </w:rPr>
        <w:t>4</w:t>
      </w:r>
      <w:r w:rsidR="00272AF3" w:rsidRPr="0018379D">
        <w:rPr>
          <w:noProof/>
        </w:rPr>
        <w:t>.</w:t>
      </w:r>
      <w:r w:rsidR="00272AF3">
        <w:rPr>
          <w:noProof/>
        </w:rPr>
        <w:t>2</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r w:rsidRPr="0018379D">
        <w:fldChar w:fldCharType="end"/>
      </w:r>
      <w:r w:rsidRPr="0018379D">
        <w:tab/>
        <w:t xml:space="preserve">Share of the dwelling stock </w:t>
      </w:r>
      <w:r>
        <w:t xml:space="preserve">(by type) </w:t>
      </w:r>
      <w:r w:rsidRPr="0018379D">
        <w:t xml:space="preserve">constructed under the new </w:t>
      </w:r>
      <w:r>
        <w:t>C</w:t>
      </w:r>
      <w:r w:rsidRPr="0018379D">
        <w:t>ode</w:t>
      </w:r>
      <w:bookmarkEnd w:id="4151"/>
      <w:bookmarkEnd w:id="4152"/>
      <w:bookmarkEnd w:id="4153"/>
    </w:p>
    <w:p w:rsidR="007C6A5F" w:rsidRDefault="007C6A5F" w:rsidP="007C6A5F">
      <w:pPr>
        <w:pStyle w:val="Subtitlebox"/>
      </w:pPr>
      <w:r w:rsidRPr="00ED598D">
        <w:rPr>
          <w:noProof/>
        </w:rPr>
        <w:drawing>
          <wp:inline distT="0" distB="0" distL="0" distR="0" wp14:anchorId="23145D7C" wp14:editId="5F53320A">
            <wp:extent cx="4861560" cy="2383155"/>
            <wp:effectExtent l="57150" t="57150" r="53340" b="55245"/>
            <wp:docPr id="48" name="Picture 48" descr="Chart 4.2 - Share of the dwelling stock constructed under the new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398" r="3553"/>
                    <a:stretch/>
                  </pic:blipFill>
                  <pic:spPr bwMode="auto">
                    <a:xfrm>
                      <a:off x="0" y="0"/>
                      <a:ext cx="4861560" cy="2383155"/>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rsidR="007C6A5F" w:rsidRDefault="007C6A5F" w:rsidP="00F72AED">
      <w:pPr>
        <w:pStyle w:val="Source"/>
      </w:pPr>
      <w:r>
        <w:rPr>
          <w:i/>
        </w:rPr>
        <w:t>Data source</w:t>
      </w:r>
      <w:r w:rsidRPr="00A67576">
        <w:rPr>
          <w:i/>
        </w:rPr>
        <w:t>:</w:t>
      </w:r>
      <w:r>
        <w:t xml:space="preserve"> CIE estimates.</w:t>
      </w:r>
    </w:p>
    <w:p w:rsidR="007C6A5F" w:rsidRDefault="007C6A5F" w:rsidP="007C6A5F">
      <w:pPr>
        <w:pStyle w:val="Heading1"/>
        <w:numPr>
          <w:ilvl w:val="0"/>
          <w:numId w:val="5"/>
        </w:numPr>
      </w:pPr>
      <w:bookmarkStart w:id="4154" w:name="_Toc32321760"/>
      <w:bookmarkStart w:id="4155" w:name="_Toc44598448"/>
      <w:bookmarkStart w:id="4156" w:name="_Toc45654079"/>
      <w:r>
        <w:lastRenderedPageBreak/>
        <w:t>Approach to estimating costs</w:t>
      </w:r>
      <w:bookmarkEnd w:id="4154"/>
      <w:bookmarkEnd w:id="4155"/>
      <w:bookmarkEnd w:id="4156"/>
    </w:p>
    <w:p w:rsidR="007C6A5F" w:rsidRDefault="007C6A5F" w:rsidP="007C6A5F">
      <w:pPr>
        <w:pStyle w:val="BodyText"/>
      </w:pPr>
      <w:r>
        <w:t>In this chapter, we estimate the costs (as outlined above) associated with each of the options.</w:t>
      </w:r>
    </w:p>
    <w:p w:rsidR="007C6A5F" w:rsidRDefault="007C6A5F" w:rsidP="007C6A5F">
      <w:pPr>
        <w:pStyle w:val="Heading2"/>
        <w:numPr>
          <w:ilvl w:val="1"/>
          <w:numId w:val="5"/>
        </w:numPr>
      </w:pPr>
      <w:bookmarkStart w:id="4157" w:name="_Toc32321761"/>
      <w:bookmarkStart w:id="4158" w:name="_Toc44598449"/>
      <w:bookmarkStart w:id="4159" w:name="_Toc45654080"/>
      <w:r>
        <w:t>Additional cost of complying with proposed standards</w:t>
      </w:r>
      <w:bookmarkEnd w:id="4157"/>
      <w:bookmarkEnd w:id="4158"/>
      <w:bookmarkEnd w:id="4159"/>
    </w:p>
    <w:p w:rsidR="007C6A5F" w:rsidRDefault="007C6A5F" w:rsidP="007C6A5F">
      <w:pPr>
        <w:pStyle w:val="BodyText"/>
      </w:pPr>
      <w:r>
        <w:t xml:space="preserve">The impacts of the proposed standards on construction costs will vary across dwellings based on factors, such as: the type of dwelling, </w:t>
      </w:r>
      <w:r w:rsidRPr="00D130F6">
        <w:t>design choices</w:t>
      </w:r>
      <w:r>
        <w:t xml:space="preserve">, the </w:t>
      </w:r>
      <w:r w:rsidRPr="00D130F6">
        <w:t>approach to achieving compliance</w:t>
      </w:r>
      <w:r>
        <w:t>, the size and topography of the lot.</w:t>
      </w:r>
    </w:p>
    <w:p w:rsidR="007C6A5F" w:rsidRDefault="007C6A5F" w:rsidP="007C6A5F">
      <w:pPr>
        <w:pStyle w:val="BodyText"/>
      </w:pPr>
      <w:r>
        <w:t>The additional costs associated with complying with the proposed standards (including both additional construction costs and the opportunity cost of space) are estimated in Table </w:t>
      </w:r>
      <w:r>
        <w:rPr>
          <w:noProof/>
        </w:rPr>
        <w:fldChar w:fldCharType="begin"/>
      </w:r>
      <w:r>
        <w:rPr>
          <w:noProof/>
        </w:rPr>
        <w:instrText xml:space="preserve"> REF _Caption1477 </w:instrText>
      </w:r>
      <w:r>
        <w:rPr>
          <w:noProof/>
        </w:rPr>
        <w:fldChar w:fldCharType="separate"/>
      </w:r>
      <w:r>
        <w:rPr>
          <w:noProof/>
        </w:rPr>
        <w:t>5</w:t>
      </w:r>
      <w:r w:rsidRPr="00135BD9">
        <w:rPr>
          <w:noProof/>
        </w:rPr>
        <w:t>.</w:t>
      </w:r>
      <w:r>
        <w:rPr>
          <w:noProof/>
        </w:rPr>
        <w:t>1</w:t>
      </w:r>
      <w:r>
        <w:rPr>
          <w:noProof/>
        </w:rPr>
        <w:fldChar w:fldCharType="end"/>
      </w:r>
      <w:r>
        <w:t xml:space="preserve">. </w:t>
      </w:r>
    </w:p>
    <w:p w:rsidR="007C6A5F" w:rsidRDefault="007C6A5F" w:rsidP="005A6F87">
      <w:pPr>
        <w:pStyle w:val="ListBullet"/>
        <w:numPr>
          <w:ilvl w:val="0"/>
          <w:numId w:val="17"/>
        </w:numPr>
        <w:spacing w:before="120"/>
      </w:pPr>
      <w:r>
        <w:t xml:space="preserve">DCWC, quantity surveyors, have provided estimates of the additional construction costs of incorporating the proposed changes to the NCC into new builds. A summary of these costs is provided in the construction cost column of </w:t>
      </w:r>
      <w:r w:rsidR="00327CFA">
        <w:t>T</w:t>
      </w:r>
      <w:r>
        <w:t>able</w:t>
      </w:r>
      <w:r w:rsidR="00AA0555">
        <w:t> </w:t>
      </w:r>
      <w:r w:rsidR="00E903A9">
        <w:rPr>
          <w:noProof/>
        </w:rPr>
        <w:fldChar w:fldCharType="begin"/>
      </w:r>
      <w:r w:rsidR="00E903A9">
        <w:rPr>
          <w:noProof/>
        </w:rPr>
        <w:instrText xml:space="preserve"> REF _Caption7382 </w:instrText>
      </w:r>
      <w:r w:rsidR="00E903A9">
        <w:rPr>
          <w:noProof/>
        </w:rPr>
        <w:fldChar w:fldCharType="separate"/>
      </w:r>
      <w:r w:rsidR="00327CFA">
        <w:rPr>
          <w:noProof/>
        </w:rPr>
        <w:t>5</w:t>
      </w:r>
      <w:r w:rsidR="00327CFA" w:rsidRPr="00135BD9">
        <w:rPr>
          <w:noProof/>
        </w:rPr>
        <w:t>.</w:t>
      </w:r>
      <w:r w:rsidR="00327CFA">
        <w:rPr>
          <w:noProof/>
        </w:rPr>
        <w:t>1</w:t>
      </w:r>
      <w:r w:rsidR="00E903A9">
        <w:rPr>
          <w:noProof/>
        </w:rPr>
        <w:fldChar w:fldCharType="end"/>
      </w:r>
      <w:r>
        <w:t>.</w:t>
      </w:r>
    </w:p>
    <w:p w:rsidR="007C6A5F" w:rsidRDefault="007C6A5F" w:rsidP="005A6F87">
      <w:pPr>
        <w:pStyle w:val="ListBullet"/>
        <w:numPr>
          <w:ilvl w:val="0"/>
          <w:numId w:val="17"/>
        </w:numPr>
        <w:spacing w:before="120"/>
      </w:pPr>
      <w:r>
        <w:t xml:space="preserve">DCWC have also provided an estimate of impact on space of the changes (for example, where new homes need to expand to incorporate the changes). </w:t>
      </w:r>
      <w:r w:rsidRPr="00D130F6">
        <w:t xml:space="preserve">The net effect of the space is the opportunity cost </w:t>
      </w:r>
      <w:r w:rsidR="00327CFA">
        <w:t xml:space="preserve">of </w:t>
      </w:r>
      <w:r w:rsidRPr="00D130F6">
        <w:t>the additional land required (developers have to buy more land for each new dwelling they create), offset by the value the new home-owner places on the additional space.</w:t>
      </w:r>
      <w:r>
        <w:t xml:space="preserve"> Our assumptions for the net effect of these impacts are noted in table </w:t>
      </w:r>
      <w:r>
        <w:rPr>
          <w:noProof/>
        </w:rPr>
        <w:fldChar w:fldCharType="begin"/>
      </w:r>
      <w:r>
        <w:rPr>
          <w:noProof/>
        </w:rPr>
        <w:instrText xml:space="preserve"> REF _Caption2236 </w:instrText>
      </w:r>
      <w:r>
        <w:rPr>
          <w:noProof/>
        </w:rPr>
        <w:fldChar w:fldCharType="separate"/>
      </w:r>
      <w:r>
        <w:rPr>
          <w:noProof/>
        </w:rPr>
        <w:t>5</w:t>
      </w:r>
      <w:r w:rsidRPr="00135BD9">
        <w:rPr>
          <w:noProof/>
        </w:rPr>
        <w:t>.</w:t>
      </w:r>
      <w:r>
        <w:rPr>
          <w:noProof/>
        </w:rPr>
        <w:t>1</w:t>
      </w:r>
      <w:r>
        <w:rPr>
          <w:noProof/>
        </w:rPr>
        <w:fldChar w:fldCharType="end"/>
      </w:r>
      <w:r>
        <w:t>.</w:t>
      </w:r>
    </w:p>
    <w:p w:rsidR="007C6A5F" w:rsidRDefault="007C6A5F" w:rsidP="007C6A5F">
      <w:pPr>
        <w:pStyle w:val="BodyText"/>
      </w:pPr>
      <w:r>
        <w:t>The summary cost results for the three building types in tables 5.1 and 5.2 are aggregated from DCWC’s cost estimates for the five 5 different dwelling archetypes using the following shares:</w:t>
      </w:r>
    </w:p>
    <w:p w:rsidR="007C6A5F" w:rsidRDefault="007C6A5F" w:rsidP="005A6F87">
      <w:pPr>
        <w:pStyle w:val="ListBullet"/>
        <w:numPr>
          <w:ilvl w:val="0"/>
          <w:numId w:val="17"/>
        </w:numPr>
      </w:pPr>
      <w:r>
        <w:t>Apartment buildings consist of 8 per cent of walk-up blocks and 92 per cent of 4+ storey building (which would generally require a lift), according to building approval data from ABS (Cat. 8731); and</w:t>
      </w:r>
    </w:p>
    <w:p w:rsidR="007C6A5F" w:rsidRDefault="007C6A5F" w:rsidP="0042091F">
      <w:pPr>
        <w:pStyle w:val="ListBullet"/>
        <w:numPr>
          <w:ilvl w:val="0"/>
          <w:numId w:val="17"/>
        </w:numPr>
      </w:pPr>
      <w:r>
        <w:t>Detached houses consist of 57 per cent of volume builds and 43 per cent of custom builds according to DCWC.</w:t>
      </w:r>
    </w:p>
    <w:p w:rsidR="007C6A5F" w:rsidRDefault="007C6A5F" w:rsidP="007C6A5F">
      <w:pPr>
        <w:pStyle w:val="Caption"/>
      </w:pPr>
      <w:r w:rsidRPr="00135BD9">
        <w:fldChar w:fldCharType="begin"/>
      </w:r>
      <w:r w:rsidRPr="00135BD9">
        <w:instrText xml:space="preserve"> IF 1 = 1 "</w:instrText>
      </w:r>
      <w:r w:rsidRPr="00135BD9">
        <w:fldChar w:fldCharType="begin"/>
      </w:r>
      <w:r w:rsidRPr="00135BD9">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135BD9">
        <w:instrText xml:space="preserve"> = 0 "</w:instrText>
      </w:r>
      <w:r w:rsidRPr="00135BD9">
        <w:fldChar w:fldCharType="begin"/>
      </w:r>
      <w:r w:rsidRPr="00135BD9">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135BD9">
        <w:instrText xml:space="preserve"> = 0 ""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135BD9">
        <w:instrText xml:space="preserve">." </w:instrText>
      </w:r>
      <w:r w:rsidRPr="00135BD9">
        <w:fldChar w:fldCharType="separate"/>
      </w:r>
      <w:r>
        <w:rPr>
          <w:noProof/>
        </w:rPr>
        <w:instrText>5</w:instrText>
      </w:r>
      <w:r w:rsidRPr="00135BD9">
        <w:rPr>
          <w:noProof/>
        </w:rPr>
        <w:instrText>.</w:instrText>
      </w:r>
      <w:r w:rsidRPr="00135BD9">
        <w:fldChar w:fldCharType="end"/>
      </w:r>
      <w:r w:rsidRPr="00135BD9">
        <w:instrText>" "</w:instrText>
      </w:r>
      <w:r w:rsidR="00F56BFF">
        <w:fldChar w:fldCharType="begin"/>
      </w:r>
      <w:r w:rsidR="00F56BFF">
        <w:instrText xml:space="preserve"> STYLEREF "Heading 6"</w:instrText>
      </w:r>
      <w:r w:rsidR="00F56BFF">
        <w:instrText xml:space="preserve"> \l \n </w:instrText>
      </w:r>
      <w:r w:rsidR="00F56BFF">
        <w:fldChar w:fldCharType="separate"/>
      </w:r>
      <w:r w:rsidRPr="00135BD9">
        <w:instrText>B</w:instrText>
      </w:r>
      <w:r w:rsidR="00F56BFF">
        <w:fldChar w:fldCharType="end"/>
      </w:r>
      <w:r w:rsidRPr="00135BD9">
        <w:instrText xml:space="preserve">." </w:instrText>
      </w:r>
      <w:r w:rsidRPr="00135BD9">
        <w:fldChar w:fldCharType="separate"/>
      </w:r>
      <w:r w:rsidR="00272AF3">
        <w:rPr>
          <w:noProof/>
        </w:rPr>
        <w:instrText>5</w:instrText>
      </w:r>
      <w:r w:rsidR="00272AF3" w:rsidRPr="00135BD9">
        <w:rPr>
          <w:noProof/>
        </w:rPr>
        <w:instrText>.</w:instrText>
      </w:r>
      <w:r w:rsidRPr="00135BD9">
        <w:fldChar w:fldCharType="end"/>
      </w:r>
      <w:r w:rsidRPr="00135BD9">
        <w:fldChar w:fldCharType="begin"/>
      </w:r>
      <w:r w:rsidRPr="00135BD9">
        <w:instrText xml:space="preserve"> SEQ Item \* ARABIC \s </w:instrText>
      </w:r>
      <w:r w:rsidRPr="00135BD9">
        <w:fldChar w:fldCharType="begin"/>
      </w:r>
      <w:r w:rsidRPr="00135BD9">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135BD9">
        <w:instrText xml:space="preserve"> = 0 "</w:instrText>
      </w:r>
      <w:r w:rsidRPr="00135BD9">
        <w:fldChar w:fldCharType="begin"/>
      </w:r>
      <w:r w:rsidRPr="00135BD9">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135BD9">
        <w:instrText xml:space="preserve"> = 0 "" "1" </w:instrText>
      </w:r>
      <w:r w:rsidRPr="00135BD9">
        <w:fldChar w:fldCharType="separate"/>
      </w:r>
      <w:r w:rsidR="00272AF3" w:rsidRPr="00135BD9">
        <w:rPr>
          <w:noProof/>
        </w:rPr>
        <w:instrText>1</w:instrText>
      </w:r>
      <w:r w:rsidRPr="00135BD9">
        <w:fldChar w:fldCharType="end"/>
      </w:r>
      <w:r w:rsidRPr="00135BD9">
        <w:instrText xml:space="preserve">" "6" </w:instrText>
      </w:r>
      <w:r w:rsidRPr="00135BD9">
        <w:fldChar w:fldCharType="separate"/>
      </w:r>
      <w:r w:rsidR="00272AF3" w:rsidRPr="00135BD9">
        <w:rPr>
          <w:noProof/>
        </w:rPr>
        <w:instrText>1</w:instrText>
      </w:r>
      <w:r w:rsidRPr="00135BD9">
        <w:fldChar w:fldCharType="end"/>
      </w:r>
      <w:r w:rsidRPr="00135BD9">
        <w:instrText xml:space="preserve"> </w:instrText>
      </w:r>
      <w:r w:rsidRPr="00135BD9">
        <w:fldChar w:fldCharType="separate"/>
      </w:r>
      <w:r>
        <w:rPr>
          <w:noProof/>
        </w:rPr>
        <w:instrText>1</w:instrText>
      </w:r>
      <w:r w:rsidRPr="00135BD9">
        <w:fldChar w:fldCharType="end"/>
      </w:r>
      <w:r w:rsidRPr="00135BD9">
        <w:instrText xml:space="preserve">" "" </w:instrText>
      </w:r>
      <w:r w:rsidRPr="00135BD9">
        <w:fldChar w:fldCharType="separate"/>
      </w:r>
      <w:bookmarkStart w:id="4160" w:name="_Caption8318"/>
      <w:bookmarkStart w:id="4161" w:name="_Caption9319"/>
      <w:bookmarkStart w:id="4162" w:name="_Caption2360"/>
      <w:bookmarkStart w:id="4163" w:name="_Caption3512"/>
      <w:bookmarkStart w:id="4164" w:name="_Caption6946"/>
      <w:bookmarkStart w:id="4165" w:name="_Caption5743"/>
      <w:bookmarkStart w:id="4166" w:name="_Caption1299"/>
      <w:bookmarkStart w:id="4167" w:name="_Caption3590"/>
      <w:bookmarkStart w:id="4168" w:name="_Caption8363"/>
      <w:bookmarkStart w:id="4169" w:name="_Caption3803"/>
      <w:bookmarkStart w:id="4170" w:name="_Caption7206"/>
      <w:bookmarkStart w:id="4171" w:name="_Caption6777"/>
      <w:bookmarkStart w:id="4172" w:name="_Caption1577"/>
      <w:bookmarkStart w:id="4173" w:name="_Caption8844"/>
      <w:bookmarkStart w:id="4174" w:name="_Caption7809"/>
      <w:bookmarkStart w:id="4175" w:name="_Caption7517"/>
      <w:bookmarkStart w:id="4176" w:name="_Caption5527"/>
      <w:bookmarkStart w:id="4177" w:name="_Caption8228"/>
      <w:bookmarkStart w:id="4178" w:name="_Caption9490"/>
      <w:bookmarkStart w:id="4179" w:name="_Caption2236"/>
      <w:bookmarkStart w:id="4180" w:name="_Caption0214"/>
      <w:bookmarkStart w:id="4181" w:name="_Caption3231"/>
      <w:bookmarkStart w:id="4182" w:name="_Caption3097"/>
      <w:bookmarkStart w:id="4183" w:name="_Caption4752"/>
      <w:bookmarkStart w:id="4184" w:name="_Caption0347"/>
      <w:bookmarkStart w:id="4185" w:name="_Caption7954"/>
      <w:bookmarkStart w:id="4186" w:name="_Caption1477"/>
      <w:bookmarkStart w:id="4187" w:name="_Caption6076"/>
      <w:bookmarkStart w:id="4188" w:name="_Caption8720"/>
      <w:bookmarkStart w:id="4189" w:name="_Caption2403"/>
      <w:bookmarkStart w:id="4190" w:name="_Caption7170"/>
      <w:bookmarkStart w:id="4191" w:name="_Caption8106"/>
      <w:bookmarkStart w:id="4192" w:name="_Caption7210"/>
      <w:bookmarkStart w:id="4193" w:name="_Caption0685"/>
      <w:bookmarkStart w:id="4194" w:name="_Caption5385"/>
      <w:bookmarkStart w:id="4195" w:name="_Caption1607"/>
      <w:bookmarkStart w:id="4196" w:name="_Caption2892"/>
      <w:bookmarkStart w:id="4197" w:name="_Caption8284"/>
      <w:bookmarkStart w:id="4198" w:name="_Caption6015"/>
      <w:bookmarkStart w:id="4199" w:name="_Caption0165"/>
      <w:bookmarkStart w:id="4200" w:name="_Caption9892"/>
      <w:bookmarkStart w:id="4201" w:name="_Caption6556"/>
      <w:bookmarkStart w:id="4202" w:name="_Caption1039"/>
      <w:bookmarkStart w:id="4203" w:name="_Caption8719"/>
      <w:bookmarkStart w:id="4204" w:name="_Caption4633"/>
      <w:bookmarkStart w:id="4205" w:name="_Caption3594"/>
      <w:bookmarkStart w:id="4206" w:name="_Caption5045"/>
      <w:bookmarkStart w:id="4207" w:name="_Caption4146"/>
      <w:bookmarkStart w:id="4208" w:name="_Caption1234"/>
      <w:bookmarkStart w:id="4209" w:name="_Caption1703"/>
      <w:bookmarkStart w:id="4210" w:name="_Caption3915"/>
      <w:bookmarkStart w:id="4211" w:name="_Caption5593"/>
      <w:bookmarkStart w:id="4212" w:name="_Caption5236"/>
      <w:bookmarkStart w:id="4213" w:name="_Caption8951"/>
      <w:bookmarkStart w:id="4214" w:name="_Caption4342"/>
      <w:bookmarkStart w:id="4215" w:name="_Caption3679"/>
      <w:bookmarkStart w:id="4216" w:name="_Caption1208"/>
      <w:bookmarkStart w:id="4217" w:name="_Caption8216"/>
      <w:bookmarkStart w:id="4218" w:name="_Caption6234"/>
      <w:bookmarkStart w:id="4219" w:name="_Caption2661"/>
      <w:bookmarkStart w:id="4220" w:name="_Caption6037"/>
      <w:bookmarkStart w:id="4221" w:name="_Caption4645"/>
      <w:bookmarkStart w:id="4222" w:name="_Caption6376"/>
      <w:bookmarkStart w:id="4223" w:name="_Caption2446"/>
      <w:bookmarkStart w:id="4224" w:name="_Caption2581"/>
      <w:bookmarkStart w:id="4225" w:name="_Caption7334"/>
      <w:bookmarkStart w:id="4226" w:name="_Caption8727"/>
      <w:bookmarkStart w:id="4227" w:name="_Caption0839"/>
      <w:bookmarkStart w:id="4228" w:name="_Caption7382"/>
      <w:bookmarkStart w:id="4229" w:name="_Toc32321824"/>
      <w:bookmarkStart w:id="4230" w:name="_Toc44598521"/>
      <w:bookmarkStart w:id="4231" w:name="_Toc45654152"/>
      <w:r w:rsidR="00272AF3">
        <w:rPr>
          <w:noProof/>
        </w:rPr>
        <w:t>5</w:t>
      </w:r>
      <w:r w:rsidR="00272AF3" w:rsidRPr="00135BD9">
        <w:rPr>
          <w:noProof/>
        </w:rPr>
        <w:t>.</w:t>
      </w:r>
      <w:r w:rsidR="00272AF3">
        <w:rPr>
          <w:noProof/>
        </w:rPr>
        <w:t>1</w:t>
      </w:r>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r w:rsidRPr="00135BD9">
        <w:fldChar w:fldCharType="end"/>
      </w:r>
      <w:r w:rsidRPr="00135BD9">
        <w:tab/>
        <w:t>Estimated additional compliance costs</w:t>
      </w:r>
      <w:bookmarkEnd w:id="4229"/>
      <w:bookmarkEnd w:id="4230"/>
      <w:bookmarkEnd w:id="4231"/>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5.1"/>
        <w:tblDescription w:val="Estimated additional compliance costs"/>
      </w:tblPr>
      <w:tblGrid>
        <w:gridCol w:w="1418"/>
        <w:gridCol w:w="1417"/>
        <w:gridCol w:w="1700"/>
        <w:gridCol w:w="1701"/>
        <w:gridCol w:w="1701"/>
      </w:tblGrid>
      <w:tr w:rsidR="0062084A" w:rsidTr="0062084A">
        <w:trPr>
          <w:trHeight w:val="68"/>
          <w:tblHeader/>
        </w:trPr>
        <w:tc>
          <w:tcPr>
            <w:tcW w:w="1418" w:type="dxa"/>
            <w:shd w:val="clear" w:color="auto" w:fill="6F6652" w:themeFill="accent5"/>
          </w:tcPr>
          <w:p w:rsidR="0062084A" w:rsidRDefault="0062084A" w:rsidP="00C36DA4">
            <w:pPr>
              <w:pStyle w:val="TableDataColumnHeading"/>
              <w:jc w:val="left"/>
              <w:rPr>
                <w:lang w:val="en-GB"/>
              </w:rPr>
            </w:pPr>
            <w:r>
              <w:rPr>
                <w:lang w:val="en-GB"/>
              </w:rPr>
              <w:t>Option</w:t>
            </w:r>
          </w:p>
        </w:tc>
        <w:tc>
          <w:tcPr>
            <w:tcW w:w="1417" w:type="dxa"/>
            <w:shd w:val="clear" w:color="auto" w:fill="6F6652" w:themeFill="accent5"/>
          </w:tcPr>
          <w:p w:rsidR="0062084A" w:rsidRDefault="0062084A" w:rsidP="00C36DA4">
            <w:pPr>
              <w:pStyle w:val="TableDataColumnHeading"/>
              <w:jc w:val="left"/>
              <w:rPr>
                <w:lang w:val="en-GB"/>
              </w:rPr>
            </w:pPr>
            <w:r>
              <w:rPr>
                <w:lang w:val="en-GB"/>
              </w:rPr>
              <w:t>Dwelling</w:t>
            </w:r>
          </w:p>
        </w:tc>
        <w:tc>
          <w:tcPr>
            <w:tcW w:w="1700" w:type="dxa"/>
            <w:shd w:val="clear" w:color="auto" w:fill="6F6652" w:themeFill="accent5"/>
          </w:tcPr>
          <w:p w:rsidR="0062084A" w:rsidRDefault="0062084A" w:rsidP="00C36DA4">
            <w:pPr>
              <w:pStyle w:val="TableDataColumnHeading"/>
              <w:rPr>
                <w:lang w:val="en-GB"/>
              </w:rPr>
            </w:pPr>
            <w:r>
              <w:rPr>
                <w:lang w:val="en-GB"/>
              </w:rPr>
              <w:t>Estimated construction costs</w:t>
            </w:r>
            <w:r>
              <w:rPr>
                <w:lang w:val="en-GB"/>
              </w:rPr>
              <w:br/>
              <w:t>($ per dwelling)</w:t>
            </w:r>
          </w:p>
        </w:tc>
        <w:tc>
          <w:tcPr>
            <w:tcW w:w="1701" w:type="dxa"/>
            <w:shd w:val="clear" w:color="auto" w:fill="6F6652" w:themeFill="accent5"/>
          </w:tcPr>
          <w:p w:rsidR="0062084A" w:rsidRDefault="0062084A" w:rsidP="00C36DA4">
            <w:pPr>
              <w:pStyle w:val="TableDataColumnHeading"/>
              <w:rPr>
                <w:lang w:val="en-GB"/>
              </w:rPr>
            </w:pPr>
            <w:r>
              <w:rPr>
                <w:lang w:val="en-GB"/>
              </w:rPr>
              <w:t>Opportunity cost of space</w:t>
            </w:r>
            <w:r>
              <w:rPr>
                <w:lang w:val="en-GB"/>
              </w:rPr>
              <w:br/>
              <w:t>($ per dwelling)</w:t>
            </w:r>
          </w:p>
        </w:tc>
        <w:tc>
          <w:tcPr>
            <w:tcW w:w="1701" w:type="dxa"/>
            <w:shd w:val="clear" w:color="auto" w:fill="6F6652" w:themeFill="accent5"/>
          </w:tcPr>
          <w:p w:rsidR="0062084A" w:rsidRDefault="0062084A" w:rsidP="00C36DA4">
            <w:pPr>
              <w:pStyle w:val="TableDataColumnHeading"/>
              <w:rPr>
                <w:lang w:val="en-GB"/>
              </w:rPr>
            </w:pPr>
            <w:r>
              <w:rPr>
                <w:lang w:val="en-GB"/>
              </w:rPr>
              <w:t>Total</w:t>
            </w:r>
            <w:r>
              <w:rPr>
                <w:lang w:val="en-GB"/>
              </w:rPr>
              <w:br/>
              <w:t>($ per dwelling)</w:t>
            </w:r>
          </w:p>
        </w:tc>
      </w:tr>
      <w:tr w:rsidR="0062084A" w:rsidTr="0062084A">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Pr>
          <w:p w:rsidR="0062084A" w:rsidRDefault="0062084A" w:rsidP="0062084A">
            <w:pPr>
              <w:pStyle w:val="TableDataEntries"/>
              <w:spacing w:before="60" w:after="60"/>
              <w:jc w:val="left"/>
              <w:rPr>
                <w:lang w:val="en-GB"/>
              </w:rPr>
            </w:pPr>
            <w:r>
              <w:rPr>
                <w:lang w:val="en-GB"/>
              </w:rPr>
              <w:t>Option 1 (Silver)</w:t>
            </w:r>
          </w:p>
        </w:tc>
        <w:tc>
          <w:tcPr>
            <w:tcW w:w="1417" w:type="dxa"/>
            <w:tcBorders>
              <w:top w:val="single" w:sz="8" w:space="0" w:color="FFFFFF" w:themeColor="background1"/>
              <w:bottom w:val="single" w:sz="8" w:space="0" w:color="FFFFFF" w:themeColor="background1"/>
            </w:tcBorders>
            <w:shd w:val="clear" w:color="auto" w:fill="E9E8E5" w:themeFill="background2"/>
          </w:tcPr>
          <w:p w:rsidR="0062084A" w:rsidRDefault="0062084A" w:rsidP="0062084A">
            <w:pPr>
              <w:pStyle w:val="TableDataEntries"/>
              <w:spacing w:before="60" w:after="60"/>
              <w:jc w:val="left"/>
              <w:rPr>
                <w:lang w:val="en-GB"/>
              </w:rPr>
            </w:pPr>
            <w:r>
              <w:rPr>
                <w:lang w:val="en-GB"/>
              </w:rPr>
              <w:t>Separate house</w:t>
            </w:r>
          </w:p>
        </w:tc>
        <w:tc>
          <w:tcPr>
            <w:tcW w:w="1700" w:type="dxa"/>
            <w:tcBorders>
              <w:top w:val="single" w:sz="8" w:space="0" w:color="FFFFFF" w:themeColor="background1"/>
              <w:bottom w:val="single" w:sz="8" w:space="0" w:color="FFFFFF" w:themeColor="background1"/>
            </w:tcBorders>
            <w:shd w:val="clear" w:color="auto" w:fill="E9E8E5" w:themeFill="background2"/>
          </w:tcPr>
          <w:p w:rsidR="0062084A" w:rsidRPr="004D17FA" w:rsidRDefault="0062084A" w:rsidP="0062084A">
            <w:pPr>
              <w:pStyle w:val="TableDataEntries"/>
            </w:pPr>
            <w:r>
              <w:t>903</w:t>
            </w:r>
          </w:p>
        </w:tc>
        <w:tc>
          <w:tcPr>
            <w:tcW w:w="1701" w:type="dxa"/>
            <w:tcBorders>
              <w:top w:val="single" w:sz="8" w:space="0" w:color="FFFFFF" w:themeColor="background1"/>
              <w:bottom w:val="single" w:sz="8" w:space="0" w:color="FFFFFF" w:themeColor="background1"/>
            </w:tcBorders>
            <w:shd w:val="clear" w:color="auto" w:fill="E9E8E5" w:themeFill="background2"/>
          </w:tcPr>
          <w:p w:rsidR="0062084A" w:rsidRPr="00400788" w:rsidRDefault="0062084A" w:rsidP="0062084A">
            <w:pPr>
              <w:pStyle w:val="TableDataEntries"/>
              <w:rPr>
                <w:szCs w:val="16"/>
              </w:rPr>
            </w:pPr>
            <w:r>
              <w:rPr>
                <w:szCs w:val="16"/>
              </w:rPr>
              <w:t>281</w:t>
            </w:r>
          </w:p>
        </w:tc>
        <w:tc>
          <w:tcPr>
            <w:tcW w:w="1701" w:type="dxa"/>
            <w:tcBorders>
              <w:top w:val="single" w:sz="8" w:space="0" w:color="FFFFFF" w:themeColor="background1"/>
              <w:bottom w:val="single" w:sz="8" w:space="0" w:color="FFFFFF" w:themeColor="background1"/>
            </w:tcBorders>
            <w:shd w:val="clear" w:color="auto" w:fill="E9E8E5" w:themeFill="background2"/>
          </w:tcPr>
          <w:p w:rsidR="0062084A" w:rsidRPr="00400788" w:rsidRDefault="0062084A" w:rsidP="0062084A">
            <w:pPr>
              <w:pStyle w:val="TableDataEntries"/>
              <w:rPr>
                <w:szCs w:val="16"/>
              </w:rPr>
            </w:pPr>
            <w:r>
              <w:rPr>
                <w:szCs w:val="16"/>
              </w:rPr>
              <w:t>1 185</w:t>
            </w:r>
          </w:p>
        </w:tc>
      </w:tr>
      <w:tr w:rsidR="0062084A" w:rsidTr="0062084A">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Pr>
          <w:p w:rsidR="0062084A" w:rsidRDefault="0062084A" w:rsidP="0062084A">
            <w:pPr>
              <w:pStyle w:val="TableDataEntries"/>
              <w:spacing w:before="60" w:after="60"/>
              <w:jc w:val="left"/>
              <w:rPr>
                <w:lang w:val="en-GB"/>
              </w:rPr>
            </w:pPr>
            <w:r>
              <w:rPr>
                <w:lang w:val="en-GB"/>
              </w:rPr>
              <w:t>Option 1 (Silver)</w:t>
            </w:r>
          </w:p>
        </w:tc>
        <w:tc>
          <w:tcPr>
            <w:tcW w:w="1417" w:type="dxa"/>
            <w:tcBorders>
              <w:top w:val="single" w:sz="8" w:space="0" w:color="FFFFFF" w:themeColor="background1"/>
              <w:bottom w:val="single" w:sz="8" w:space="0" w:color="FFFFFF" w:themeColor="background1"/>
            </w:tcBorders>
            <w:shd w:val="clear" w:color="auto" w:fill="E9E8E5" w:themeFill="background2"/>
          </w:tcPr>
          <w:p w:rsidR="0062084A" w:rsidRDefault="0062084A" w:rsidP="0062084A">
            <w:pPr>
              <w:pStyle w:val="TableDataEntries"/>
              <w:spacing w:before="60" w:after="60"/>
              <w:jc w:val="left"/>
              <w:rPr>
                <w:lang w:val="en-GB"/>
              </w:rPr>
            </w:pPr>
            <w:r>
              <w:rPr>
                <w:lang w:val="en-GB"/>
              </w:rPr>
              <w:t>Townhouse</w:t>
            </w:r>
          </w:p>
        </w:tc>
        <w:tc>
          <w:tcPr>
            <w:tcW w:w="1700" w:type="dxa"/>
            <w:tcBorders>
              <w:top w:val="single" w:sz="8" w:space="0" w:color="FFFFFF" w:themeColor="background1"/>
              <w:bottom w:val="single" w:sz="8" w:space="0" w:color="FFFFFF" w:themeColor="background1"/>
            </w:tcBorders>
            <w:shd w:val="clear" w:color="auto" w:fill="E9E8E5" w:themeFill="background2"/>
          </w:tcPr>
          <w:p w:rsidR="0062084A" w:rsidRPr="004D17FA" w:rsidRDefault="0062084A" w:rsidP="0062084A">
            <w:pPr>
              <w:pStyle w:val="TableDataEntries"/>
            </w:pPr>
            <w:r>
              <w:t>1 839</w:t>
            </w:r>
          </w:p>
        </w:tc>
        <w:tc>
          <w:tcPr>
            <w:tcW w:w="1701" w:type="dxa"/>
            <w:tcBorders>
              <w:top w:val="single" w:sz="8" w:space="0" w:color="FFFFFF" w:themeColor="background1"/>
              <w:bottom w:val="single" w:sz="8" w:space="0" w:color="FFFFFF" w:themeColor="background1"/>
            </w:tcBorders>
            <w:shd w:val="clear" w:color="auto" w:fill="E9E8E5" w:themeFill="background2"/>
          </w:tcPr>
          <w:p w:rsidR="0062084A" w:rsidRPr="00400788" w:rsidRDefault="0062084A" w:rsidP="0062084A">
            <w:pPr>
              <w:pStyle w:val="TableDataEntries"/>
              <w:rPr>
                <w:szCs w:val="16"/>
              </w:rPr>
            </w:pPr>
            <w:r>
              <w:rPr>
                <w:szCs w:val="16"/>
              </w:rPr>
              <w:t>629</w:t>
            </w:r>
          </w:p>
        </w:tc>
        <w:tc>
          <w:tcPr>
            <w:tcW w:w="1701" w:type="dxa"/>
            <w:tcBorders>
              <w:top w:val="single" w:sz="8" w:space="0" w:color="FFFFFF" w:themeColor="background1"/>
              <w:bottom w:val="single" w:sz="8" w:space="0" w:color="FFFFFF" w:themeColor="background1"/>
            </w:tcBorders>
            <w:shd w:val="clear" w:color="auto" w:fill="E9E8E5" w:themeFill="background2"/>
          </w:tcPr>
          <w:p w:rsidR="0062084A" w:rsidRPr="00400788" w:rsidRDefault="0062084A" w:rsidP="0062084A">
            <w:pPr>
              <w:pStyle w:val="TableDataEntries"/>
              <w:rPr>
                <w:szCs w:val="16"/>
              </w:rPr>
            </w:pPr>
            <w:r>
              <w:rPr>
                <w:szCs w:val="16"/>
              </w:rPr>
              <w:t>2 467</w:t>
            </w:r>
          </w:p>
        </w:tc>
      </w:tr>
      <w:tr w:rsidR="0062084A" w:rsidTr="0062084A">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Pr>
          <w:p w:rsidR="0062084A" w:rsidRDefault="0062084A" w:rsidP="0062084A">
            <w:pPr>
              <w:pStyle w:val="TableDataEntries"/>
              <w:spacing w:before="60" w:after="60"/>
              <w:jc w:val="left"/>
              <w:rPr>
                <w:lang w:val="en-GB"/>
              </w:rPr>
            </w:pPr>
            <w:r>
              <w:rPr>
                <w:lang w:val="en-GB"/>
              </w:rPr>
              <w:lastRenderedPageBreak/>
              <w:t>Option 1 (Silver)</w:t>
            </w:r>
          </w:p>
        </w:tc>
        <w:tc>
          <w:tcPr>
            <w:tcW w:w="1417" w:type="dxa"/>
            <w:tcBorders>
              <w:top w:val="single" w:sz="8" w:space="0" w:color="FFFFFF" w:themeColor="background1"/>
              <w:bottom w:val="single" w:sz="8" w:space="0" w:color="FFFFFF" w:themeColor="background1"/>
            </w:tcBorders>
            <w:shd w:val="clear" w:color="auto" w:fill="E9E8E5" w:themeFill="background2"/>
          </w:tcPr>
          <w:p w:rsidR="0062084A" w:rsidRDefault="0062084A" w:rsidP="0062084A">
            <w:pPr>
              <w:pStyle w:val="TableDataEntries"/>
              <w:spacing w:before="60" w:after="60"/>
              <w:jc w:val="left"/>
              <w:rPr>
                <w:lang w:val="en-GB"/>
              </w:rPr>
            </w:pPr>
            <w:r>
              <w:rPr>
                <w:lang w:val="en-GB"/>
              </w:rPr>
              <w:t>Apartment</w:t>
            </w:r>
          </w:p>
        </w:tc>
        <w:tc>
          <w:tcPr>
            <w:tcW w:w="1700" w:type="dxa"/>
            <w:tcBorders>
              <w:top w:val="single" w:sz="8" w:space="0" w:color="FFFFFF" w:themeColor="background1"/>
              <w:bottom w:val="single" w:sz="8" w:space="0" w:color="FFFFFF" w:themeColor="background1"/>
            </w:tcBorders>
            <w:shd w:val="clear" w:color="auto" w:fill="E9E8E5" w:themeFill="background2"/>
          </w:tcPr>
          <w:p w:rsidR="0062084A" w:rsidRPr="004D17FA" w:rsidRDefault="0062084A" w:rsidP="0062084A">
            <w:pPr>
              <w:pStyle w:val="TableDataEntries"/>
              <w:spacing w:before="60" w:after="60"/>
            </w:pPr>
            <w:r>
              <w:t xml:space="preserve"> 1 611</w:t>
            </w:r>
          </w:p>
        </w:tc>
        <w:tc>
          <w:tcPr>
            <w:tcW w:w="1701" w:type="dxa"/>
            <w:tcBorders>
              <w:top w:val="single" w:sz="8" w:space="0" w:color="FFFFFF" w:themeColor="background1"/>
              <w:bottom w:val="single" w:sz="8" w:space="0" w:color="FFFFFF" w:themeColor="background1"/>
            </w:tcBorders>
            <w:shd w:val="clear" w:color="auto" w:fill="E9E8E5" w:themeFill="background2"/>
          </w:tcPr>
          <w:p w:rsidR="0062084A" w:rsidRPr="00400788" w:rsidRDefault="0062084A" w:rsidP="0062084A">
            <w:pPr>
              <w:pStyle w:val="TableDataEntries"/>
              <w:rPr>
                <w:szCs w:val="16"/>
              </w:rPr>
            </w:pPr>
            <w:r>
              <w:rPr>
                <w:szCs w:val="16"/>
              </w:rPr>
              <w:t>2 828</w:t>
            </w:r>
          </w:p>
        </w:tc>
        <w:tc>
          <w:tcPr>
            <w:tcW w:w="1701" w:type="dxa"/>
            <w:tcBorders>
              <w:top w:val="single" w:sz="8" w:space="0" w:color="FFFFFF" w:themeColor="background1"/>
              <w:bottom w:val="single" w:sz="8" w:space="0" w:color="FFFFFF" w:themeColor="background1"/>
            </w:tcBorders>
            <w:shd w:val="clear" w:color="auto" w:fill="E9E8E5" w:themeFill="background2"/>
          </w:tcPr>
          <w:p w:rsidR="0062084A" w:rsidRPr="00400788" w:rsidRDefault="0062084A" w:rsidP="0062084A">
            <w:pPr>
              <w:pStyle w:val="TableDataEntries"/>
              <w:rPr>
                <w:szCs w:val="16"/>
              </w:rPr>
            </w:pPr>
            <w:r>
              <w:rPr>
                <w:szCs w:val="16"/>
              </w:rPr>
              <w:t>4 439</w:t>
            </w:r>
          </w:p>
        </w:tc>
      </w:tr>
      <w:tr w:rsidR="0062084A" w:rsidTr="0062084A">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Pr>
          <w:p w:rsidR="0062084A" w:rsidRDefault="0062084A" w:rsidP="0062084A">
            <w:pPr>
              <w:pStyle w:val="TableDataEntries"/>
              <w:spacing w:before="60" w:after="60"/>
              <w:jc w:val="left"/>
              <w:rPr>
                <w:lang w:val="en-GB"/>
              </w:rPr>
            </w:pPr>
            <w:r>
              <w:rPr>
                <w:lang w:val="en-GB"/>
              </w:rPr>
              <w:t>Option 2 (Gold)</w:t>
            </w:r>
          </w:p>
        </w:tc>
        <w:tc>
          <w:tcPr>
            <w:tcW w:w="1417" w:type="dxa"/>
            <w:tcBorders>
              <w:top w:val="single" w:sz="8" w:space="0" w:color="FFFFFF" w:themeColor="background1"/>
              <w:bottom w:val="single" w:sz="8" w:space="0" w:color="FFFFFF" w:themeColor="background1"/>
            </w:tcBorders>
            <w:shd w:val="clear" w:color="auto" w:fill="E9E8E5" w:themeFill="background2"/>
          </w:tcPr>
          <w:p w:rsidR="0062084A" w:rsidRDefault="0062084A" w:rsidP="0062084A">
            <w:pPr>
              <w:pStyle w:val="TableDataEntries"/>
              <w:spacing w:before="60" w:after="60"/>
              <w:jc w:val="left"/>
              <w:rPr>
                <w:lang w:val="en-GB"/>
              </w:rPr>
            </w:pPr>
            <w:r>
              <w:rPr>
                <w:lang w:val="en-GB"/>
              </w:rPr>
              <w:t>Separate house</w:t>
            </w:r>
          </w:p>
        </w:tc>
        <w:tc>
          <w:tcPr>
            <w:tcW w:w="1700" w:type="dxa"/>
            <w:tcBorders>
              <w:top w:val="single" w:sz="8" w:space="0" w:color="FFFFFF" w:themeColor="background1"/>
              <w:bottom w:val="single" w:sz="8" w:space="0" w:color="FFFFFF" w:themeColor="background1"/>
            </w:tcBorders>
            <w:shd w:val="clear" w:color="auto" w:fill="E9E8E5" w:themeFill="background2"/>
          </w:tcPr>
          <w:p w:rsidR="0062084A" w:rsidRPr="004D17FA" w:rsidRDefault="0062084A" w:rsidP="0062084A">
            <w:pPr>
              <w:pStyle w:val="TableDataEntries"/>
            </w:pPr>
            <w:r>
              <w:t>7 080</w:t>
            </w:r>
          </w:p>
        </w:tc>
        <w:tc>
          <w:tcPr>
            <w:tcW w:w="1701" w:type="dxa"/>
            <w:tcBorders>
              <w:top w:val="single" w:sz="8" w:space="0" w:color="FFFFFF" w:themeColor="background1"/>
              <w:bottom w:val="single" w:sz="8" w:space="0" w:color="FFFFFF" w:themeColor="background1"/>
            </w:tcBorders>
            <w:shd w:val="clear" w:color="auto" w:fill="E9E8E5" w:themeFill="background2"/>
          </w:tcPr>
          <w:p w:rsidR="0062084A" w:rsidRPr="00400788" w:rsidRDefault="0062084A" w:rsidP="0062084A">
            <w:pPr>
              <w:pStyle w:val="TableDataEntries"/>
              <w:rPr>
                <w:szCs w:val="16"/>
              </w:rPr>
            </w:pPr>
            <w:r>
              <w:rPr>
                <w:szCs w:val="16"/>
              </w:rPr>
              <w:t>1 822</w:t>
            </w:r>
          </w:p>
        </w:tc>
        <w:tc>
          <w:tcPr>
            <w:tcW w:w="1701" w:type="dxa"/>
            <w:tcBorders>
              <w:top w:val="single" w:sz="8" w:space="0" w:color="FFFFFF" w:themeColor="background1"/>
              <w:bottom w:val="single" w:sz="8" w:space="0" w:color="FFFFFF" w:themeColor="background1"/>
            </w:tcBorders>
            <w:shd w:val="clear" w:color="auto" w:fill="E9E8E5" w:themeFill="background2"/>
          </w:tcPr>
          <w:p w:rsidR="0062084A" w:rsidRPr="00400788" w:rsidRDefault="0062084A" w:rsidP="0062084A">
            <w:pPr>
              <w:pStyle w:val="TableDataEntries"/>
              <w:rPr>
                <w:szCs w:val="16"/>
              </w:rPr>
            </w:pPr>
            <w:r>
              <w:rPr>
                <w:szCs w:val="16"/>
              </w:rPr>
              <w:t>8 902</w:t>
            </w:r>
          </w:p>
        </w:tc>
      </w:tr>
      <w:tr w:rsidR="0062084A" w:rsidTr="0062084A">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Pr>
          <w:p w:rsidR="0062084A" w:rsidRDefault="0062084A" w:rsidP="0062084A">
            <w:pPr>
              <w:pStyle w:val="TableDataEntries"/>
              <w:spacing w:before="60" w:after="60"/>
              <w:jc w:val="left"/>
              <w:rPr>
                <w:lang w:val="en-GB"/>
              </w:rPr>
            </w:pPr>
            <w:r>
              <w:rPr>
                <w:lang w:val="en-GB"/>
              </w:rPr>
              <w:t>Option 2 (Gold)</w:t>
            </w:r>
          </w:p>
        </w:tc>
        <w:tc>
          <w:tcPr>
            <w:tcW w:w="1417" w:type="dxa"/>
            <w:tcBorders>
              <w:top w:val="single" w:sz="8" w:space="0" w:color="FFFFFF" w:themeColor="background1"/>
              <w:bottom w:val="single" w:sz="8" w:space="0" w:color="FFFFFF" w:themeColor="background1"/>
            </w:tcBorders>
            <w:shd w:val="clear" w:color="auto" w:fill="E9E8E5" w:themeFill="background2"/>
          </w:tcPr>
          <w:p w:rsidR="0062084A" w:rsidRDefault="0062084A" w:rsidP="0062084A">
            <w:pPr>
              <w:pStyle w:val="TableDataEntries"/>
              <w:spacing w:before="60" w:after="60"/>
              <w:jc w:val="left"/>
              <w:rPr>
                <w:lang w:val="en-GB"/>
              </w:rPr>
            </w:pPr>
            <w:r>
              <w:rPr>
                <w:lang w:val="en-GB"/>
              </w:rPr>
              <w:t>Townhouse</w:t>
            </w:r>
          </w:p>
        </w:tc>
        <w:tc>
          <w:tcPr>
            <w:tcW w:w="1700" w:type="dxa"/>
            <w:tcBorders>
              <w:top w:val="single" w:sz="8" w:space="0" w:color="FFFFFF" w:themeColor="background1"/>
              <w:bottom w:val="single" w:sz="8" w:space="0" w:color="FFFFFF" w:themeColor="background1"/>
            </w:tcBorders>
            <w:shd w:val="clear" w:color="auto" w:fill="E9E8E5" w:themeFill="background2"/>
          </w:tcPr>
          <w:p w:rsidR="0062084A" w:rsidRPr="004D17FA" w:rsidRDefault="0062084A" w:rsidP="0062084A">
            <w:pPr>
              <w:pStyle w:val="TableDataEntries"/>
            </w:pPr>
            <w:r>
              <w:t>12 398</w:t>
            </w:r>
          </w:p>
        </w:tc>
        <w:tc>
          <w:tcPr>
            <w:tcW w:w="1701" w:type="dxa"/>
            <w:tcBorders>
              <w:top w:val="single" w:sz="8" w:space="0" w:color="FFFFFF" w:themeColor="background1"/>
              <w:bottom w:val="single" w:sz="8" w:space="0" w:color="FFFFFF" w:themeColor="background1"/>
            </w:tcBorders>
            <w:shd w:val="clear" w:color="auto" w:fill="E9E8E5" w:themeFill="background2"/>
          </w:tcPr>
          <w:p w:rsidR="0062084A" w:rsidRPr="00400788" w:rsidRDefault="0062084A" w:rsidP="0062084A">
            <w:pPr>
              <w:pStyle w:val="TableDataEntries"/>
              <w:rPr>
                <w:szCs w:val="16"/>
              </w:rPr>
            </w:pPr>
            <w:r>
              <w:rPr>
                <w:szCs w:val="16"/>
              </w:rPr>
              <w:t>3 302</w:t>
            </w:r>
          </w:p>
        </w:tc>
        <w:tc>
          <w:tcPr>
            <w:tcW w:w="1701" w:type="dxa"/>
            <w:tcBorders>
              <w:top w:val="single" w:sz="8" w:space="0" w:color="FFFFFF" w:themeColor="background1"/>
              <w:bottom w:val="single" w:sz="8" w:space="0" w:color="FFFFFF" w:themeColor="background1"/>
            </w:tcBorders>
            <w:shd w:val="clear" w:color="auto" w:fill="E9E8E5" w:themeFill="background2"/>
          </w:tcPr>
          <w:p w:rsidR="0062084A" w:rsidRPr="00400788" w:rsidRDefault="0062084A" w:rsidP="0062084A">
            <w:pPr>
              <w:pStyle w:val="TableDataEntries"/>
              <w:rPr>
                <w:szCs w:val="16"/>
              </w:rPr>
            </w:pPr>
            <w:r>
              <w:rPr>
                <w:szCs w:val="16"/>
              </w:rPr>
              <w:t>15 700</w:t>
            </w:r>
          </w:p>
        </w:tc>
      </w:tr>
      <w:tr w:rsidR="0062084A" w:rsidTr="0062084A">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Pr>
          <w:p w:rsidR="0062084A" w:rsidRDefault="0062084A" w:rsidP="0062084A">
            <w:pPr>
              <w:pStyle w:val="TableDataEntries"/>
              <w:spacing w:before="60" w:after="60"/>
              <w:jc w:val="left"/>
              <w:rPr>
                <w:lang w:val="en-GB"/>
              </w:rPr>
            </w:pPr>
            <w:r>
              <w:rPr>
                <w:lang w:val="en-GB"/>
              </w:rPr>
              <w:t>Option 2 (Gold)</w:t>
            </w:r>
          </w:p>
        </w:tc>
        <w:tc>
          <w:tcPr>
            <w:tcW w:w="1417" w:type="dxa"/>
            <w:tcBorders>
              <w:top w:val="single" w:sz="8" w:space="0" w:color="FFFFFF" w:themeColor="background1"/>
              <w:bottom w:val="single" w:sz="8" w:space="0" w:color="FFFFFF" w:themeColor="background1"/>
            </w:tcBorders>
            <w:shd w:val="clear" w:color="auto" w:fill="E9E8E5" w:themeFill="background2"/>
          </w:tcPr>
          <w:p w:rsidR="0062084A" w:rsidRDefault="0062084A" w:rsidP="0062084A">
            <w:pPr>
              <w:pStyle w:val="TableDataEntries"/>
              <w:spacing w:before="60" w:after="60"/>
              <w:jc w:val="left"/>
              <w:rPr>
                <w:lang w:val="en-GB"/>
              </w:rPr>
            </w:pPr>
            <w:r>
              <w:rPr>
                <w:lang w:val="en-GB"/>
              </w:rPr>
              <w:t>Apartment</w:t>
            </w:r>
          </w:p>
        </w:tc>
        <w:tc>
          <w:tcPr>
            <w:tcW w:w="1700" w:type="dxa"/>
            <w:tcBorders>
              <w:top w:val="single" w:sz="8" w:space="0" w:color="FFFFFF" w:themeColor="background1"/>
              <w:bottom w:val="single" w:sz="8" w:space="0" w:color="FFFFFF" w:themeColor="background1"/>
            </w:tcBorders>
            <w:shd w:val="clear" w:color="auto" w:fill="E9E8E5" w:themeFill="background2"/>
          </w:tcPr>
          <w:p w:rsidR="0062084A" w:rsidRPr="004D17FA" w:rsidRDefault="0062084A" w:rsidP="0062084A">
            <w:pPr>
              <w:pStyle w:val="TableDataEntries"/>
            </w:pPr>
            <w:r>
              <w:t>8 595</w:t>
            </w:r>
          </w:p>
        </w:tc>
        <w:tc>
          <w:tcPr>
            <w:tcW w:w="1701" w:type="dxa"/>
            <w:tcBorders>
              <w:top w:val="single" w:sz="8" w:space="0" w:color="FFFFFF" w:themeColor="background1"/>
              <w:bottom w:val="single" w:sz="8" w:space="0" w:color="FFFFFF" w:themeColor="background1"/>
            </w:tcBorders>
            <w:shd w:val="clear" w:color="auto" w:fill="E9E8E5" w:themeFill="background2"/>
          </w:tcPr>
          <w:p w:rsidR="0062084A" w:rsidRPr="00400788" w:rsidRDefault="0062084A" w:rsidP="0062084A">
            <w:pPr>
              <w:pStyle w:val="TableDataEntries"/>
              <w:rPr>
                <w:szCs w:val="16"/>
              </w:rPr>
            </w:pPr>
            <w:r>
              <w:rPr>
                <w:szCs w:val="16"/>
              </w:rPr>
              <w:t>15 607</w:t>
            </w:r>
          </w:p>
        </w:tc>
        <w:tc>
          <w:tcPr>
            <w:tcW w:w="1701" w:type="dxa"/>
            <w:tcBorders>
              <w:top w:val="single" w:sz="8" w:space="0" w:color="FFFFFF" w:themeColor="background1"/>
              <w:bottom w:val="single" w:sz="8" w:space="0" w:color="FFFFFF" w:themeColor="background1"/>
            </w:tcBorders>
            <w:shd w:val="clear" w:color="auto" w:fill="E9E8E5" w:themeFill="background2"/>
          </w:tcPr>
          <w:p w:rsidR="0062084A" w:rsidRPr="00400788" w:rsidRDefault="0062084A" w:rsidP="0062084A">
            <w:pPr>
              <w:pStyle w:val="TableDataEntries"/>
              <w:rPr>
                <w:szCs w:val="16"/>
              </w:rPr>
            </w:pPr>
            <w:r>
              <w:rPr>
                <w:szCs w:val="16"/>
              </w:rPr>
              <w:t>24 202</w:t>
            </w:r>
          </w:p>
        </w:tc>
      </w:tr>
      <w:tr w:rsidR="0062084A" w:rsidTr="0062084A">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Pr>
          <w:p w:rsidR="0062084A" w:rsidRDefault="0062084A" w:rsidP="0062084A">
            <w:pPr>
              <w:pStyle w:val="TableDataEntries"/>
              <w:spacing w:before="60" w:after="60"/>
              <w:jc w:val="left"/>
              <w:rPr>
                <w:lang w:val="en-GB"/>
              </w:rPr>
            </w:pPr>
            <w:r>
              <w:rPr>
                <w:lang w:val="en-GB"/>
              </w:rPr>
              <w:t>Option 3 (Gold+)</w:t>
            </w:r>
          </w:p>
        </w:tc>
        <w:tc>
          <w:tcPr>
            <w:tcW w:w="1417" w:type="dxa"/>
            <w:tcBorders>
              <w:top w:val="single" w:sz="8" w:space="0" w:color="FFFFFF" w:themeColor="background1"/>
              <w:bottom w:val="single" w:sz="8" w:space="0" w:color="FFFFFF" w:themeColor="background1"/>
            </w:tcBorders>
            <w:shd w:val="clear" w:color="auto" w:fill="E9E8E5" w:themeFill="background2"/>
          </w:tcPr>
          <w:p w:rsidR="0062084A" w:rsidRDefault="0062084A" w:rsidP="0062084A">
            <w:pPr>
              <w:pStyle w:val="TableDataEntries"/>
              <w:spacing w:before="60" w:after="60"/>
              <w:jc w:val="left"/>
              <w:rPr>
                <w:lang w:val="en-GB"/>
              </w:rPr>
            </w:pPr>
            <w:r>
              <w:rPr>
                <w:lang w:val="en-GB"/>
              </w:rPr>
              <w:t>Separate house</w:t>
            </w:r>
          </w:p>
        </w:tc>
        <w:tc>
          <w:tcPr>
            <w:tcW w:w="1700" w:type="dxa"/>
            <w:tcBorders>
              <w:top w:val="single" w:sz="8" w:space="0" w:color="FFFFFF" w:themeColor="background1"/>
              <w:bottom w:val="single" w:sz="8" w:space="0" w:color="FFFFFF" w:themeColor="background1"/>
            </w:tcBorders>
            <w:shd w:val="clear" w:color="auto" w:fill="E9E8E5" w:themeFill="background2"/>
          </w:tcPr>
          <w:p w:rsidR="0062084A" w:rsidRPr="004D17FA" w:rsidRDefault="0062084A" w:rsidP="0062084A">
            <w:pPr>
              <w:pStyle w:val="TableDataEntries"/>
            </w:pPr>
            <w:r>
              <w:t>9 566</w:t>
            </w:r>
          </w:p>
        </w:tc>
        <w:tc>
          <w:tcPr>
            <w:tcW w:w="1701" w:type="dxa"/>
            <w:tcBorders>
              <w:top w:val="single" w:sz="8" w:space="0" w:color="FFFFFF" w:themeColor="background1"/>
              <w:bottom w:val="single" w:sz="8" w:space="0" w:color="FFFFFF" w:themeColor="background1"/>
            </w:tcBorders>
            <w:shd w:val="clear" w:color="auto" w:fill="E9E8E5" w:themeFill="background2"/>
          </w:tcPr>
          <w:p w:rsidR="0062084A" w:rsidRPr="00400788" w:rsidRDefault="0062084A" w:rsidP="0062084A">
            <w:pPr>
              <w:pStyle w:val="TableDataEntries"/>
              <w:rPr>
                <w:szCs w:val="16"/>
              </w:rPr>
            </w:pPr>
            <w:r>
              <w:rPr>
                <w:szCs w:val="16"/>
              </w:rPr>
              <w:t>2 412</w:t>
            </w:r>
          </w:p>
        </w:tc>
        <w:tc>
          <w:tcPr>
            <w:tcW w:w="1701" w:type="dxa"/>
            <w:tcBorders>
              <w:top w:val="single" w:sz="8" w:space="0" w:color="FFFFFF" w:themeColor="background1"/>
              <w:bottom w:val="single" w:sz="8" w:space="0" w:color="FFFFFF" w:themeColor="background1"/>
            </w:tcBorders>
            <w:shd w:val="clear" w:color="auto" w:fill="E9E8E5" w:themeFill="background2"/>
          </w:tcPr>
          <w:p w:rsidR="0062084A" w:rsidRPr="00400788" w:rsidRDefault="0062084A" w:rsidP="0062084A">
            <w:pPr>
              <w:pStyle w:val="TableDataEntries"/>
              <w:rPr>
                <w:szCs w:val="16"/>
              </w:rPr>
            </w:pPr>
            <w:r>
              <w:rPr>
                <w:szCs w:val="16"/>
              </w:rPr>
              <w:t>11 977</w:t>
            </w:r>
          </w:p>
        </w:tc>
      </w:tr>
      <w:tr w:rsidR="0062084A" w:rsidTr="0062084A">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Pr>
          <w:p w:rsidR="0062084A" w:rsidRDefault="0062084A" w:rsidP="0062084A">
            <w:pPr>
              <w:pStyle w:val="TableDataEntries"/>
              <w:spacing w:before="60" w:after="60"/>
              <w:jc w:val="left"/>
              <w:rPr>
                <w:lang w:val="en-GB"/>
              </w:rPr>
            </w:pPr>
            <w:r>
              <w:rPr>
                <w:lang w:val="en-GB"/>
              </w:rPr>
              <w:t>Option 3 (Gold+)</w:t>
            </w:r>
          </w:p>
        </w:tc>
        <w:tc>
          <w:tcPr>
            <w:tcW w:w="1417" w:type="dxa"/>
            <w:tcBorders>
              <w:top w:val="single" w:sz="8" w:space="0" w:color="FFFFFF" w:themeColor="background1"/>
              <w:bottom w:val="single" w:sz="8" w:space="0" w:color="FFFFFF" w:themeColor="background1"/>
            </w:tcBorders>
            <w:shd w:val="clear" w:color="auto" w:fill="E9E8E5" w:themeFill="background2"/>
          </w:tcPr>
          <w:p w:rsidR="0062084A" w:rsidRDefault="0062084A" w:rsidP="0062084A">
            <w:pPr>
              <w:pStyle w:val="TableDataEntries"/>
              <w:spacing w:before="60" w:after="60"/>
              <w:jc w:val="left"/>
              <w:rPr>
                <w:lang w:val="en-GB"/>
              </w:rPr>
            </w:pPr>
            <w:r>
              <w:rPr>
                <w:lang w:val="en-GB"/>
              </w:rPr>
              <w:t>Townhouse</w:t>
            </w:r>
          </w:p>
        </w:tc>
        <w:tc>
          <w:tcPr>
            <w:tcW w:w="1700" w:type="dxa"/>
            <w:tcBorders>
              <w:top w:val="single" w:sz="8" w:space="0" w:color="FFFFFF" w:themeColor="background1"/>
              <w:bottom w:val="single" w:sz="8" w:space="0" w:color="FFFFFF" w:themeColor="background1"/>
            </w:tcBorders>
            <w:shd w:val="clear" w:color="auto" w:fill="E9E8E5" w:themeFill="background2"/>
          </w:tcPr>
          <w:p w:rsidR="0062084A" w:rsidRPr="004D17FA" w:rsidRDefault="0062084A" w:rsidP="0062084A">
            <w:pPr>
              <w:pStyle w:val="TableDataEntries"/>
            </w:pPr>
            <w:r>
              <w:t>14 976</w:t>
            </w:r>
          </w:p>
        </w:tc>
        <w:tc>
          <w:tcPr>
            <w:tcW w:w="1701" w:type="dxa"/>
            <w:tcBorders>
              <w:top w:val="single" w:sz="8" w:space="0" w:color="FFFFFF" w:themeColor="background1"/>
              <w:bottom w:val="single" w:sz="8" w:space="0" w:color="FFFFFF" w:themeColor="background1"/>
            </w:tcBorders>
            <w:shd w:val="clear" w:color="auto" w:fill="E9E8E5" w:themeFill="background2"/>
          </w:tcPr>
          <w:p w:rsidR="0062084A" w:rsidRPr="00400788" w:rsidRDefault="0062084A" w:rsidP="0062084A">
            <w:pPr>
              <w:pStyle w:val="TableDataEntries"/>
              <w:rPr>
                <w:szCs w:val="16"/>
              </w:rPr>
            </w:pPr>
            <w:r>
              <w:rPr>
                <w:szCs w:val="16"/>
              </w:rPr>
              <w:t>3 963</w:t>
            </w:r>
          </w:p>
        </w:tc>
        <w:tc>
          <w:tcPr>
            <w:tcW w:w="1701" w:type="dxa"/>
            <w:tcBorders>
              <w:top w:val="single" w:sz="8" w:space="0" w:color="FFFFFF" w:themeColor="background1"/>
              <w:bottom w:val="single" w:sz="8" w:space="0" w:color="FFFFFF" w:themeColor="background1"/>
            </w:tcBorders>
            <w:shd w:val="clear" w:color="auto" w:fill="E9E8E5" w:themeFill="background2"/>
          </w:tcPr>
          <w:p w:rsidR="0062084A" w:rsidRPr="00400788" w:rsidRDefault="0062084A" w:rsidP="0062084A">
            <w:pPr>
              <w:pStyle w:val="TableDataEntries"/>
              <w:rPr>
                <w:szCs w:val="16"/>
              </w:rPr>
            </w:pPr>
            <w:r>
              <w:rPr>
                <w:szCs w:val="16"/>
              </w:rPr>
              <w:t>18 938</w:t>
            </w:r>
          </w:p>
        </w:tc>
      </w:tr>
      <w:tr w:rsidR="0062084A" w:rsidTr="0062084A">
        <w:trPr>
          <w:trHeight w:val="230"/>
        </w:trPr>
        <w:tc>
          <w:tcPr>
            <w:tcW w:w="1418" w:type="dxa"/>
            <w:tcBorders>
              <w:top w:val="single" w:sz="8" w:space="0" w:color="FFFFFF" w:themeColor="background1"/>
              <w:bottom w:val="single" w:sz="4" w:space="0" w:color="6F6652" w:themeColor="accent5"/>
            </w:tcBorders>
            <w:shd w:val="clear" w:color="auto" w:fill="E9E8E5" w:themeFill="background2"/>
          </w:tcPr>
          <w:p w:rsidR="0062084A" w:rsidRDefault="0062084A" w:rsidP="0062084A">
            <w:pPr>
              <w:pStyle w:val="TableDataEntries"/>
              <w:spacing w:before="60" w:after="60"/>
              <w:jc w:val="left"/>
              <w:rPr>
                <w:lang w:val="en-GB"/>
              </w:rPr>
            </w:pPr>
            <w:r>
              <w:rPr>
                <w:lang w:val="en-GB"/>
              </w:rPr>
              <w:t>Option 3 (Gold+)</w:t>
            </w:r>
          </w:p>
        </w:tc>
        <w:tc>
          <w:tcPr>
            <w:tcW w:w="1417" w:type="dxa"/>
            <w:tcBorders>
              <w:top w:val="single" w:sz="8" w:space="0" w:color="FFFFFF" w:themeColor="background1"/>
              <w:bottom w:val="single" w:sz="4" w:space="0" w:color="6F6652" w:themeColor="accent5"/>
            </w:tcBorders>
            <w:shd w:val="clear" w:color="auto" w:fill="E9E8E5" w:themeFill="background2"/>
          </w:tcPr>
          <w:p w:rsidR="0062084A" w:rsidRDefault="0062084A" w:rsidP="0062084A">
            <w:pPr>
              <w:pStyle w:val="TableDataEntries"/>
              <w:spacing w:before="60" w:after="60"/>
              <w:jc w:val="left"/>
              <w:rPr>
                <w:lang w:val="en-GB"/>
              </w:rPr>
            </w:pPr>
            <w:r>
              <w:rPr>
                <w:lang w:val="en-GB"/>
              </w:rPr>
              <w:t>Apartment</w:t>
            </w:r>
          </w:p>
        </w:tc>
        <w:tc>
          <w:tcPr>
            <w:tcW w:w="1700" w:type="dxa"/>
            <w:tcBorders>
              <w:top w:val="single" w:sz="8" w:space="0" w:color="FFFFFF" w:themeColor="background1"/>
              <w:bottom w:val="single" w:sz="4" w:space="0" w:color="6F6652" w:themeColor="accent5"/>
            </w:tcBorders>
            <w:shd w:val="clear" w:color="auto" w:fill="E9E8E5" w:themeFill="background2"/>
          </w:tcPr>
          <w:p w:rsidR="0062084A" w:rsidRPr="004D17FA" w:rsidRDefault="0062084A" w:rsidP="0062084A">
            <w:pPr>
              <w:pStyle w:val="TableDataEntries"/>
            </w:pPr>
            <w:r>
              <w:t>10 804</w:t>
            </w:r>
          </w:p>
        </w:tc>
        <w:tc>
          <w:tcPr>
            <w:tcW w:w="1701" w:type="dxa"/>
            <w:tcBorders>
              <w:top w:val="single" w:sz="8" w:space="0" w:color="FFFFFF" w:themeColor="background1"/>
              <w:bottom w:val="single" w:sz="4" w:space="0" w:color="6F6652" w:themeColor="accent5"/>
            </w:tcBorders>
            <w:shd w:val="clear" w:color="auto" w:fill="E9E8E5" w:themeFill="background2"/>
          </w:tcPr>
          <w:p w:rsidR="0062084A" w:rsidRPr="00400788" w:rsidRDefault="0062084A" w:rsidP="0062084A">
            <w:pPr>
              <w:pStyle w:val="TableDataEntries"/>
              <w:rPr>
                <w:szCs w:val="16"/>
              </w:rPr>
            </w:pPr>
            <w:r>
              <w:rPr>
                <w:szCs w:val="16"/>
              </w:rPr>
              <w:t>19 668</w:t>
            </w:r>
          </w:p>
        </w:tc>
        <w:tc>
          <w:tcPr>
            <w:tcW w:w="1701" w:type="dxa"/>
            <w:tcBorders>
              <w:top w:val="single" w:sz="8" w:space="0" w:color="FFFFFF" w:themeColor="background1"/>
              <w:bottom w:val="single" w:sz="4" w:space="0" w:color="6F6652" w:themeColor="accent5"/>
            </w:tcBorders>
            <w:shd w:val="clear" w:color="auto" w:fill="E9E8E5" w:themeFill="background2"/>
          </w:tcPr>
          <w:p w:rsidR="0062084A" w:rsidRPr="00400788" w:rsidRDefault="0062084A" w:rsidP="0062084A">
            <w:pPr>
              <w:pStyle w:val="TableDataEntries"/>
              <w:rPr>
                <w:szCs w:val="16"/>
              </w:rPr>
            </w:pPr>
            <w:r>
              <w:rPr>
                <w:szCs w:val="16"/>
              </w:rPr>
              <w:t>30 472</w:t>
            </w:r>
          </w:p>
        </w:tc>
      </w:tr>
    </w:tbl>
    <w:p w:rsidR="007C6A5F" w:rsidRDefault="007C6A5F" w:rsidP="007C6A5F">
      <w:pPr>
        <w:pStyle w:val="Source"/>
        <w:rPr>
          <w:iCs/>
        </w:rPr>
      </w:pPr>
      <w:r>
        <w:rPr>
          <w:i/>
        </w:rPr>
        <w:t xml:space="preserve">Note: </w:t>
      </w:r>
      <w:r>
        <w:rPr>
          <w:iCs/>
        </w:rPr>
        <w:t>Reported construction costs assume Option B (‘1-step path) is chosen for Design element 1.</w:t>
      </w:r>
    </w:p>
    <w:p w:rsidR="007C6A5F" w:rsidRDefault="007C6A5F" w:rsidP="007C6A5F">
      <w:pPr>
        <w:pStyle w:val="Source"/>
        <w:rPr>
          <w:iCs/>
        </w:rPr>
      </w:pPr>
      <w:r>
        <w:rPr>
          <w:i/>
        </w:rPr>
        <w:t xml:space="preserve">Note: </w:t>
      </w:r>
      <w:r>
        <w:rPr>
          <w:iCs/>
        </w:rPr>
        <w:t xml:space="preserve">Reported opportunity of space costs are derived with assumptions noted in Tables </w:t>
      </w:r>
      <w:r>
        <w:rPr>
          <w:iCs/>
        </w:rPr>
        <w:fldChar w:fldCharType="begin"/>
      </w:r>
      <w:r>
        <w:rPr>
          <w:iCs/>
        </w:rPr>
        <w:instrText xml:space="preserve"> REF _Caption3558 </w:instrText>
      </w:r>
      <w:r>
        <w:rPr>
          <w:iCs/>
        </w:rPr>
        <w:fldChar w:fldCharType="separate"/>
      </w:r>
      <w:r>
        <w:rPr>
          <w:noProof/>
        </w:rPr>
        <w:t>5</w:t>
      </w:r>
      <w:r w:rsidRPr="00695C93">
        <w:rPr>
          <w:noProof/>
        </w:rPr>
        <w:t>.</w:t>
      </w:r>
      <w:r>
        <w:rPr>
          <w:noProof/>
        </w:rPr>
        <w:t>7</w:t>
      </w:r>
      <w:r>
        <w:rPr>
          <w:iCs/>
        </w:rPr>
        <w:fldChar w:fldCharType="end"/>
      </w:r>
      <w:r>
        <w:rPr>
          <w:iCs/>
        </w:rPr>
        <w:t xml:space="preserve"> and Table </w:t>
      </w:r>
      <w:r>
        <w:rPr>
          <w:iCs/>
        </w:rPr>
        <w:fldChar w:fldCharType="begin"/>
      </w:r>
      <w:r>
        <w:rPr>
          <w:iCs/>
        </w:rPr>
        <w:instrText xml:space="preserve"> REF _Caption2574 </w:instrText>
      </w:r>
      <w:r>
        <w:rPr>
          <w:iCs/>
        </w:rPr>
        <w:fldChar w:fldCharType="separate"/>
      </w:r>
      <w:r>
        <w:rPr>
          <w:noProof/>
        </w:rPr>
        <w:t>5</w:t>
      </w:r>
      <w:r w:rsidRPr="00695C93">
        <w:rPr>
          <w:noProof/>
        </w:rPr>
        <w:t>.</w:t>
      </w:r>
      <w:r>
        <w:rPr>
          <w:noProof/>
        </w:rPr>
        <w:t>8</w:t>
      </w:r>
      <w:r>
        <w:rPr>
          <w:iCs/>
        </w:rPr>
        <w:fldChar w:fldCharType="end"/>
      </w:r>
      <w:r>
        <w:rPr>
          <w:iCs/>
        </w:rPr>
        <w:t xml:space="preserve"> (below). They are noted in Appendix </w:t>
      </w:r>
      <w:r>
        <w:rPr>
          <w:iCs/>
        </w:rPr>
        <w:fldChar w:fldCharType="begin"/>
      </w:r>
      <w:r>
        <w:rPr>
          <w:iCs/>
        </w:rPr>
        <w:instrText xml:space="preserve"> REF _Ref32942755 \n \h </w:instrText>
      </w:r>
      <w:r>
        <w:rPr>
          <w:iCs/>
        </w:rPr>
      </w:r>
      <w:r>
        <w:rPr>
          <w:iCs/>
        </w:rPr>
        <w:fldChar w:fldCharType="separate"/>
      </w:r>
      <w:r>
        <w:rPr>
          <w:iCs/>
        </w:rPr>
        <w:t>I</w:t>
      </w:r>
      <w:r>
        <w:rPr>
          <w:iCs/>
        </w:rPr>
        <w:fldChar w:fldCharType="end"/>
      </w:r>
      <w:r>
        <w:rPr>
          <w:iCs/>
        </w:rPr>
        <w:t xml:space="preserve"> as total impact unit costs</w:t>
      </w:r>
    </w:p>
    <w:p w:rsidR="007C6A5F" w:rsidRDefault="007C6A5F" w:rsidP="007C6A5F">
      <w:pPr>
        <w:pStyle w:val="Source"/>
      </w:pPr>
      <w:r>
        <w:rPr>
          <w:i/>
        </w:rPr>
        <w:t>Source</w:t>
      </w:r>
      <w:r w:rsidRPr="00E4232C">
        <w:rPr>
          <w:i/>
        </w:rPr>
        <w:t>:</w:t>
      </w:r>
      <w:r>
        <w:t xml:space="preserve"> CIE estimates.</w:t>
      </w:r>
    </w:p>
    <w:p w:rsidR="007C6A5F" w:rsidRPr="00461CAD" w:rsidRDefault="007C6A5F" w:rsidP="007C6A5F">
      <w:pPr>
        <w:pStyle w:val="BodyText"/>
        <w:rPr>
          <w:lang w:eastAsia="en-US"/>
        </w:rPr>
      </w:pPr>
      <w:r>
        <w:rPr>
          <w:lang w:eastAsia="en-US"/>
        </w:rPr>
        <w:t>The aggregate costs over time are estimated by multiplying these per dwelling cost estimates by the dwelling construction profile shown above (chart 4.1).</w:t>
      </w:r>
    </w:p>
    <w:p w:rsidR="007C6A5F" w:rsidRDefault="007C6A5F" w:rsidP="007C6A5F">
      <w:pPr>
        <w:pStyle w:val="Heading3"/>
        <w:numPr>
          <w:ilvl w:val="2"/>
          <w:numId w:val="5"/>
        </w:numPr>
      </w:pPr>
      <w:r>
        <w:t>Additional construction costs</w:t>
      </w:r>
    </w:p>
    <w:p w:rsidR="007C6A5F" w:rsidRDefault="007C6A5F" w:rsidP="007C6A5F">
      <w:pPr>
        <w:pStyle w:val="BodyText"/>
      </w:pPr>
      <w:r>
        <w:t>A key challenge in estimating the additional costs associated with complying with the proposed standards is sufficiently capturing this variation across dwellings. It is unlikely to be possible to capture all of the variation; however, it is important that the estimates are broadly representative of the additional costs across dwellings.</w:t>
      </w:r>
    </w:p>
    <w:p w:rsidR="007C6A5F" w:rsidRDefault="007C6A5F" w:rsidP="007C6A5F">
      <w:pPr>
        <w:pStyle w:val="Heading4"/>
        <w:numPr>
          <w:ilvl w:val="3"/>
          <w:numId w:val="5"/>
        </w:numPr>
      </w:pPr>
      <w:r>
        <w:t>Approach to costings</w:t>
      </w:r>
    </w:p>
    <w:p w:rsidR="007C6A5F" w:rsidRDefault="007C6A5F" w:rsidP="007C6A5F">
      <w:pPr>
        <w:pStyle w:val="BodyText"/>
      </w:pPr>
      <w:r>
        <w:t>The CIE engaged quantity surveyors Donald Cant Watts Corke (DCWC) to prepare estimates of the additional cost of meeting the proposed accessibility standards. DCWC have estimated the additional costs for 5 different dwelling archetypes:</w:t>
      </w:r>
    </w:p>
    <w:p w:rsidR="007C6A5F" w:rsidRDefault="007C6A5F" w:rsidP="005A6F87">
      <w:pPr>
        <w:pStyle w:val="ListBullet"/>
        <w:numPr>
          <w:ilvl w:val="0"/>
          <w:numId w:val="17"/>
        </w:numPr>
      </w:pPr>
      <w:r>
        <w:t>2 separate houses, including:</w:t>
      </w:r>
    </w:p>
    <w:p w:rsidR="007C6A5F" w:rsidRDefault="007C6A5F" w:rsidP="005A6F87">
      <w:pPr>
        <w:pStyle w:val="ListBullet2"/>
        <w:numPr>
          <w:ilvl w:val="1"/>
          <w:numId w:val="17"/>
        </w:numPr>
        <w:ind w:left="568" w:hanging="284"/>
      </w:pPr>
      <w:r>
        <w:t>a ‘custom built’ house</w:t>
      </w:r>
    </w:p>
    <w:p w:rsidR="007C6A5F" w:rsidRDefault="007C6A5F" w:rsidP="005A6F87">
      <w:pPr>
        <w:pStyle w:val="ListBullet2"/>
        <w:numPr>
          <w:ilvl w:val="1"/>
          <w:numId w:val="17"/>
        </w:numPr>
        <w:ind w:left="568" w:hanging="284"/>
      </w:pPr>
      <w:r>
        <w:t>a typical volume builder house</w:t>
      </w:r>
    </w:p>
    <w:p w:rsidR="007C6A5F" w:rsidRDefault="007C6A5F" w:rsidP="005A6F87">
      <w:pPr>
        <w:pStyle w:val="ListBullet"/>
        <w:numPr>
          <w:ilvl w:val="0"/>
          <w:numId w:val="17"/>
        </w:numPr>
      </w:pPr>
      <w:r>
        <w:t>a townhouse</w:t>
      </w:r>
    </w:p>
    <w:p w:rsidR="007C6A5F" w:rsidRDefault="007C6A5F" w:rsidP="005A6F87">
      <w:pPr>
        <w:pStyle w:val="ListBullet"/>
        <w:numPr>
          <w:ilvl w:val="0"/>
          <w:numId w:val="17"/>
        </w:numPr>
      </w:pPr>
      <w:r>
        <w:t>2 apartments, including</w:t>
      </w:r>
    </w:p>
    <w:p w:rsidR="007C6A5F" w:rsidRDefault="007C6A5F" w:rsidP="005A6F87">
      <w:pPr>
        <w:pStyle w:val="ListBullet2"/>
        <w:numPr>
          <w:ilvl w:val="1"/>
          <w:numId w:val="17"/>
        </w:numPr>
        <w:ind w:left="568" w:hanging="284"/>
      </w:pPr>
      <w:r>
        <w:t>an apartment in a 3</w:t>
      </w:r>
      <w:r>
        <w:noBreakHyphen/>
        <w:t>storey ‘walk</w:t>
      </w:r>
      <w:r>
        <w:noBreakHyphen/>
        <w:t xml:space="preserve">up’ </w:t>
      </w:r>
    </w:p>
    <w:p w:rsidR="007C6A5F" w:rsidRDefault="007C6A5F" w:rsidP="005A6F87">
      <w:pPr>
        <w:pStyle w:val="ListBullet2"/>
        <w:numPr>
          <w:ilvl w:val="1"/>
          <w:numId w:val="17"/>
        </w:numPr>
        <w:ind w:left="568" w:hanging="284"/>
      </w:pPr>
      <w:r>
        <w:t>an apartment in a 4+ storey building (which would require a lift).</w:t>
      </w:r>
    </w:p>
    <w:p w:rsidR="007C6A5F" w:rsidRDefault="007C6A5F" w:rsidP="007C6A5F">
      <w:pPr>
        <w:pStyle w:val="BodyText"/>
      </w:pPr>
      <w:r>
        <w:t>To account for the variation across buildings within each building type, DCWC have estimated the weighted average cost of complying with each design element covered by the relevant standard. DCWC:</w:t>
      </w:r>
    </w:p>
    <w:p w:rsidR="007C6A5F" w:rsidRDefault="007C6A5F" w:rsidP="005A6F87">
      <w:pPr>
        <w:pStyle w:val="ListBullet"/>
        <w:numPr>
          <w:ilvl w:val="0"/>
          <w:numId w:val="17"/>
        </w:numPr>
      </w:pPr>
      <w:r>
        <w:t>identified a range of scenarios (reflecting the different levels of compliance under the baseline, e.g. non-compliant at all, Silver compliant already, or Gold and Gold+ compliant already, and different ways to achieve the compliance)</w:t>
      </w:r>
    </w:p>
    <w:p w:rsidR="007C6A5F" w:rsidRDefault="007C6A5F" w:rsidP="005A6F87">
      <w:pPr>
        <w:pStyle w:val="ListBullet"/>
        <w:numPr>
          <w:ilvl w:val="0"/>
          <w:numId w:val="17"/>
        </w:numPr>
      </w:pPr>
      <w:r>
        <w:t>estimated the cost of complying with the relevant standard under each scenario</w:t>
      </w:r>
    </w:p>
    <w:p w:rsidR="007C6A5F" w:rsidRDefault="007C6A5F" w:rsidP="005A6F87">
      <w:pPr>
        <w:pStyle w:val="ListBullet"/>
        <w:numPr>
          <w:ilvl w:val="0"/>
          <w:numId w:val="17"/>
        </w:numPr>
      </w:pPr>
      <w:r>
        <w:lastRenderedPageBreak/>
        <w:t>estimated the share of dwellings that would fall under each scenario (these estimates were used as weightings to estimate the weighted average cost across the various scenarios).</w:t>
      </w:r>
    </w:p>
    <w:p w:rsidR="007C6A5F" w:rsidRDefault="007C6A5F" w:rsidP="007C6A5F">
      <w:pPr>
        <w:pStyle w:val="Heading4"/>
        <w:numPr>
          <w:ilvl w:val="3"/>
          <w:numId w:val="5"/>
        </w:numPr>
        <w:rPr>
          <w:lang w:bidi="fa-IR"/>
        </w:rPr>
      </w:pPr>
      <w:r>
        <w:rPr>
          <w:lang w:bidi="fa-IR"/>
        </w:rPr>
        <w:t>Options for Design element 1</w:t>
      </w:r>
    </w:p>
    <w:p w:rsidR="007C6A5F" w:rsidRDefault="007C6A5F" w:rsidP="007C6A5F">
      <w:pPr>
        <w:pStyle w:val="BodyText"/>
        <w:rPr>
          <w:lang w:bidi="fa-IR"/>
        </w:rPr>
      </w:pPr>
      <w:r>
        <w:rPr>
          <w:lang w:bidi="fa-IR"/>
        </w:rPr>
        <w:t xml:space="preserve">As noted in table </w:t>
      </w:r>
      <w:r>
        <w:rPr>
          <w:lang w:bidi="fa-IR"/>
        </w:rPr>
        <w:fldChar w:fldCharType="begin"/>
      </w:r>
      <w:r>
        <w:rPr>
          <w:lang w:bidi="fa-IR"/>
        </w:rPr>
        <w:instrText xml:space="preserve"> REF _Caption1109 </w:instrText>
      </w:r>
      <w:r>
        <w:rPr>
          <w:lang w:bidi="fa-IR"/>
        </w:rPr>
        <w:fldChar w:fldCharType="separate"/>
      </w:r>
      <w:r>
        <w:rPr>
          <w:noProof/>
        </w:rPr>
        <w:t>5</w:t>
      </w:r>
      <w:r w:rsidRPr="00695C93">
        <w:rPr>
          <w:noProof/>
        </w:rPr>
        <w:t>.</w:t>
      </w:r>
      <w:r>
        <w:rPr>
          <w:noProof/>
        </w:rPr>
        <w:t>2</w:t>
      </w:r>
      <w:r>
        <w:rPr>
          <w:lang w:bidi="fa-IR"/>
        </w:rPr>
        <w:fldChar w:fldCharType="end"/>
      </w:r>
      <w:r>
        <w:rPr>
          <w:lang w:bidi="fa-IR"/>
        </w:rPr>
        <w:t>,</w:t>
      </w:r>
      <w:r>
        <w:rPr>
          <w:color w:val="FF0000"/>
          <w:lang w:bidi="fa-IR"/>
        </w:rPr>
        <w:t xml:space="preserve"> </w:t>
      </w:r>
      <w:r>
        <w:rPr>
          <w:lang w:bidi="fa-IR"/>
        </w:rPr>
        <w:t xml:space="preserve">the proposed changes to the NCC include various design elements (corresponding to different elements of the LHDG standards). For the first element (dwelling access), ABCB are considering two options: </w:t>
      </w:r>
    </w:p>
    <w:p w:rsidR="007C6A5F" w:rsidRDefault="007C6A5F" w:rsidP="005A6F87">
      <w:pPr>
        <w:pStyle w:val="ListBullet"/>
        <w:numPr>
          <w:ilvl w:val="0"/>
          <w:numId w:val="17"/>
        </w:numPr>
        <w:rPr>
          <w:lang w:bidi="fa-IR"/>
        </w:rPr>
      </w:pPr>
      <w:r>
        <w:rPr>
          <w:lang w:bidi="fa-IR"/>
        </w:rPr>
        <w:t>Option A is to require new builds to have ‘step-free access’ to the dwelling</w:t>
      </w:r>
    </w:p>
    <w:p w:rsidR="007C6A5F" w:rsidRDefault="007C6A5F" w:rsidP="005A6F87">
      <w:pPr>
        <w:pStyle w:val="ListBullet"/>
        <w:numPr>
          <w:ilvl w:val="0"/>
          <w:numId w:val="17"/>
        </w:numPr>
        <w:rPr>
          <w:lang w:bidi="fa-IR"/>
        </w:rPr>
      </w:pPr>
      <w:r>
        <w:rPr>
          <w:lang w:bidi="fa-IR"/>
        </w:rPr>
        <w:t>Option B would allow new dwellings to have ‘single-step access’ to the dwelling.</w:t>
      </w:r>
    </w:p>
    <w:p w:rsidR="007C6A5F" w:rsidRDefault="007C6A5F" w:rsidP="007C6A5F">
      <w:pPr>
        <w:pStyle w:val="BodyText"/>
        <w:rPr>
          <w:lang w:bidi="fa-IR"/>
        </w:rPr>
      </w:pPr>
      <w:r>
        <w:rPr>
          <w:lang w:bidi="fa-IR"/>
        </w:rPr>
        <w:t>To estimate costs for this project, DCWC note that most or all new-builds have single-step access, which means ‘</w:t>
      </w:r>
      <w:r w:rsidRPr="008369FC">
        <w:rPr>
          <w:lang w:bidi="fa-IR"/>
        </w:rPr>
        <w:t>Option B’ is, in effect, status-quo.</w:t>
      </w:r>
      <w:r>
        <w:rPr>
          <w:lang w:bidi="fa-IR"/>
        </w:rPr>
        <w:t xml:space="preserve"> This means requiring ‘Option B’ for Design element 1 does not add to the costs of complying with the proposed changes to the NCC (this is documented in Appendix I).</w:t>
      </w:r>
    </w:p>
    <w:p w:rsidR="007C6A5F" w:rsidRDefault="007C6A5F" w:rsidP="007C6A5F">
      <w:pPr>
        <w:pStyle w:val="KeyPoint"/>
        <w:rPr>
          <w:lang w:bidi="fa-IR"/>
        </w:rPr>
      </w:pPr>
      <w:r>
        <w:rPr>
          <w:lang w:bidi="fa-IR"/>
        </w:rPr>
        <w:t>In this Consultation RIS,</w:t>
      </w:r>
      <w:r w:rsidDel="00CA4B5F">
        <w:rPr>
          <w:lang w:bidi="fa-IR"/>
        </w:rPr>
        <w:t xml:space="preserve"> </w:t>
      </w:r>
      <w:r>
        <w:rPr>
          <w:lang w:bidi="fa-IR"/>
        </w:rPr>
        <w:t>cost estimates assume the final standard would require Option B (one step).</w:t>
      </w:r>
    </w:p>
    <w:p w:rsidR="007C6A5F" w:rsidRDefault="00327CFA" w:rsidP="007C6A5F">
      <w:pPr>
        <w:pStyle w:val="BodyText"/>
        <w:rPr>
          <w:lang w:bidi="fa-IR"/>
        </w:rPr>
      </w:pPr>
      <w:r>
        <w:rPr>
          <w:lang w:bidi="fa-IR"/>
        </w:rPr>
        <w:t>Under</w:t>
      </w:r>
      <w:r w:rsidR="007C6A5F">
        <w:rPr>
          <w:lang w:bidi="fa-IR"/>
        </w:rPr>
        <w:t xml:space="preserve"> Option A compliance costs </w:t>
      </w:r>
      <w:r>
        <w:rPr>
          <w:lang w:bidi="fa-IR"/>
        </w:rPr>
        <w:t xml:space="preserve">would be larger </w:t>
      </w:r>
      <w:r w:rsidR="007C6A5F">
        <w:rPr>
          <w:lang w:bidi="fa-IR"/>
        </w:rPr>
        <w:t xml:space="preserve">than what has been </w:t>
      </w:r>
      <w:r>
        <w:rPr>
          <w:lang w:bidi="fa-IR"/>
        </w:rPr>
        <w:t>presented</w:t>
      </w:r>
      <w:r w:rsidR="007C6A5F">
        <w:rPr>
          <w:lang w:bidi="fa-IR"/>
        </w:rPr>
        <w:t xml:space="preserve"> in </w:t>
      </w:r>
      <w:r>
        <w:rPr>
          <w:lang w:bidi="fa-IR"/>
        </w:rPr>
        <w:t>the Consultation RIS</w:t>
      </w:r>
      <w:r w:rsidR="007C6A5F">
        <w:rPr>
          <w:lang w:bidi="fa-IR"/>
        </w:rPr>
        <w:t xml:space="preserve">. The additional construction costs, per dwelling, are noted in table </w:t>
      </w:r>
      <w:r w:rsidR="007C6A5F">
        <w:rPr>
          <w:lang w:bidi="fa-IR"/>
        </w:rPr>
        <w:fldChar w:fldCharType="begin"/>
      </w:r>
      <w:r w:rsidR="007C6A5F">
        <w:rPr>
          <w:lang w:bidi="fa-IR"/>
        </w:rPr>
        <w:instrText xml:space="preserve"> REF _Caption9185 </w:instrText>
      </w:r>
      <w:r w:rsidR="007C6A5F">
        <w:rPr>
          <w:lang w:bidi="fa-IR"/>
        </w:rPr>
        <w:fldChar w:fldCharType="separate"/>
      </w:r>
      <w:r w:rsidR="007C6A5F">
        <w:rPr>
          <w:noProof/>
        </w:rPr>
        <w:t>5</w:t>
      </w:r>
      <w:r w:rsidR="007C6A5F" w:rsidRPr="00695C93">
        <w:rPr>
          <w:noProof/>
        </w:rPr>
        <w:t>.</w:t>
      </w:r>
      <w:r w:rsidR="007C6A5F">
        <w:rPr>
          <w:noProof/>
        </w:rPr>
        <w:t>2</w:t>
      </w:r>
      <w:r w:rsidR="007C6A5F">
        <w:rPr>
          <w:lang w:bidi="fa-IR"/>
        </w:rPr>
        <w:fldChar w:fldCharType="end"/>
      </w:r>
      <w:r w:rsidR="007C6A5F">
        <w:rPr>
          <w:lang w:bidi="fa-IR"/>
        </w:rPr>
        <w:t>. Choosing Option A does not impact space costs (relative to Option B).</w:t>
      </w:r>
    </w:p>
    <w:p w:rsidR="007C6A5F" w:rsidRDefault="007C6A5F" w:rsidP="007C6A5F">
      <w:pPr>
        <w:pStyle w:val="BodyText"/>
        <w:rPr>
          <w:lang w:bidi="fa-IR"/>
        </w:rPr>
      </w:pPr>
      <w:r>
        <w:t xml:space="preserve">In estimating additional construction costs for Option A, DCWC assumes a majority of buildings would choose the front entry solution for compliance which incur a small cost, while a small proportion require garage access with a larger cost increase </w:t>
      </w:r>
      <w:bookmarkStart w:id="4232" w:name="_Hlk43829946"/>
      <w:r>
        <w:t>(see Appendix I of this report and DCWC report for details)</w:t>
      </w:r>
      <w:bookmarkEnd w:id="4232"/>
      <w:r>
        <w:t>.</w:t>
      </w:r>
    </w:p>
    <w:p w:rsidR="007C6A5F" w:rsidRDefault="007C6A5F" w:rsidP="007C6A5F">
      <w:pPr>
        <w:pStyle w:val="Caption"/>
        <w:ind w:left="568" w:hanging="568"/>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w:instrText>
      </w:r>
      <w:r w:rsidRPr="00695C93">
        <w:fldChar w:fldCharType="separate"/>
      </w:r>
      <w:r>
        <w:rPr>
          <w:noProof/>
        </w:rPr>
        <w:instrText>5</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5</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2</w:instrText>
      </w:r>
      <w:r w:rsidRPr="00695C93">
        <w:fldChar w:fldCharType="end"/>
      </w:r>
      <w:r w:rsidRPr="00695C93">
        <w:instrText xml:space="preserve">" "" </w:instrText>
      </w:r>
      <w:r w:rsidRPr="00695C93">
        <w:fldChar w:fldCharType="separate"/>
      </w:r>
      <w:bookmarkStart w:id="4233" w:name="_Caption6811"/>
      <w:bookmarkStart w:id="4234" w:name="_Caption8173"/>
      <w:bookmarkStart w:id="4235" w:name="_Caption0270"/>
      <w:bookmarkStart w:id="4236" w:name="_Caption3952"/>
      <w:bookmarkStart w:id="4237" w:name="_Caption9185"/>
      <w:bookmarkStart w:id="4238" w:name="_Caption0091"/>
      <w:bookmarkStart w:id="4239" w:name="_Caption2990"/>
      <w:bookmarkStart w:id="4240" w:name="_Caption7301"/>
      <w:bookmarkStart w:id="4241" w:name="_Caption8437"/>
      <w:bookmarkStart w:id="4242" w:name="_Caption6479"/>
      <w:bookmarkStart w:id="4243" w:name="_Caption7018"/>
      <w:bookmarkStart w:id="4244" w:name="_Caption8907"/>
      <w:bookmarkStart w:id="4245" w:name="_Caption1109"/>
      <w:bookmarkStart w:id="4246" w:name="_Caption2973"/>
      <w:bookmarkStart w:id="4247" w:name="_Caption7259"/>
      <w:bookmarkStart w:id="4248" w:name="_Caption7513"/>
      <w:bookmarkStart w:id="4249" w:name="_Caption2297"/>
      <w:bookmarkStart w:id="4250" w:name="_Caption5614"/>
      <w:bookmarkStart w:id="4251" w:name="_Caption8730"/>
      <w:bookmarkStart w:id="4252" w:name="_Caption3269"/>
      <w:bookmarkStart w:id="4253" w:name="_Caption4265"/>
      <w:bookmarkStart w:id="4254" w:name="_Toc32321825"/>
      <w:bookmarkStart w:id="4255" w:name="_Toc44598522"/>
      <w:bookmarkStart w:id="4256" w:name="_Toc45654153"/>
      <w:r w:rsidR="00272AF3">
        <w:rPr>
          <w:noProof/>
        </w:rPr>
        <w:t>5</w:t>
      </w:r>
      <w:r w:rsidR="00272AF3" w:rsidRPr="00695C93">
        <w:rPr>
          <w:noProof/>
        </w:rPr>
        <w:t>.</w:t>
      </w:r>
      <w:r w:rsidR="00272AF3">
        <w:rPr>
          <w:noProof/>
        </w:rPr>
        <w:t>2</w:t>
      </w:r>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r w:rsidRPr="00695C93">
        <w:fldChar w:fldCharType="end"/>
      </w:r>
      <w:r w:rsidRPr="00695C93">
        <w:tab/>
      </w:r>
      <w:r>
        <w:t>Additional compliance costs from selecting Option A for Design Element 1 (dwelling access): construction cost per dwelling</w:t>
      </w:r>
      <w:bookmarkEnd w:id="4254"/>
      <w:bookmarkEnd w:id="4255"/>
      <w:bookmarkEnd w:id="4256"/>
    </w:p>
    <w:tbl>
      <w:tblPr>
        <w:tblStyle w:val="TableGridLight"/>
        <w:tblW w:w="8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5.2"/>
        <w:tblDescription w:val="Additional compliance costs from selecting Option A for Design Element 1 (dwelling access): construction cost per dwelling"/>
      </w:tblPr>
      <w:tblGrid>
        <w:gridCol w:w="1843"/>
        <w:gridCol w:w="2620"/>
        <w:gridCol w:w="3685"/>
      </w:tblGrid>
      <w:tr w:rsidR="0062084A" w:rsidRPr="00184BF7" w:rsidTr="00A454E1">
        <w:trPr>
          <w:trHeight w:val="252"/>
          <w:tblHeader/>
        </w:trPr>
        <w:tc>
          <w:tcPr>
            <w:tcW w:w="1843" w:type="dxa"/>
            <w:shd w:val="clear" w:color="auto" w:fill="6F6652" w:themeFill="accent5"/>
            <w:noWrap/>
            <w:hideMark/>
          </w:tcPr>
          <w:p w:rsidR="0062084A" w:rsidRPr="00184BF7" w:rsidRDefault="0062084A" w:rsidP="00C36DA4">
            <w:pPr>
              <w:pStyle w:val="TableDataColumnHeading"/>
              <w:jc w:val="left"/>
            </w:pPr>
            <w:r>
              <w:t>Building</w:t>
            </w:r>
          </w:p>
        </w:tc>
        <w:tc>
          <w:tcPr>
            <w:tcW w:w="2620" w:type="dxa"/>
            <w:shd w:val="clear" w:color="auto" w:fill="6F6652" w:themeFill="accent5"/>
          </w:tcPr>
          <w:p w:rsidR="0062084A" w:rsidRPr="00184BF7" w:rsidRDefault="0062084A" w:rsidP="00C36DA4">
            <w:pPr>
              <w:pStyle w:val="TableDataColumnHeading"/>
              <w:jc w:val="left"/>
            </w:pPr>
            <w:r>
              <w:t>LHDG Standard</w:t>
            </w:r>
          </w:p>
        </w:tc>
        <w:tc>
          <w:tcPr>
            <w:tcW w:w="3685" w:type="dxa"/>
            <w:shd w:val="clear" w:color="auto" w:fill="6F6652" w:themeFill="accent5"/>
            <w:noWrap/>
            <w:hideMark/>
          </w:tcPr>
          <w:p w:rsidR="0062084A" w:rsidRPr="00184BF7" w:rsidRDefault="0062084A" w:rsidP="00C36DA4">
            <w:pPr>
              <w:pStyle w:val="TableDataColumnHeading"/>
            </w:pPr>
            <w:r>
              <w:t>Additional construction cost per dwelling ($)</w:t>
            </w:r>
          </w:p>
        </w:tc>
      </w:tr>
      <w:tr w:rsidR="0062084A" w:rsidRPr="00184BF7" w:rsidTr="0062084A">
        <w:trPr>
          <w:trHeight w:val="252"/>
        </w:trPr>
        <w:tc>
          <w:tcPr>
            <w:tcW w:w="1843" w:type="dxa"/>
            <w:tcBorders>
              <w:top w:val="single" w:sz="8" w:space="0" w:color="FFFFFF" w:themeColor="background1"/>
              <w:bottom w:val="single" w:sz="8" w:space="0" w:color="FFFFFF" w:themeColor="background1"/>
            </w:tcBorders>
            <w:shd w:val="clear" w:color="auto" w:fill="E9E8E5" w:themeFill="background2"/>
            <w:noWrap/>
          </w:tcPr>
          <w:p w:rsidR="0062084A" w:rsidRPr="00184BF7" w:rsidRDefault="0062084A" w:rsidP="0062084A">
            <w:pPr>
              <w:pStyle w:val="TableUnit"/>
              <w:jc w:val="left"/>
            </w:pPr>
            <w:r>
              <w:t>Detached house</w:t>
            </w:r>
          </w:p>
        </w:tc>
        <w:tc>
          <w:tcPr>
            <w:tcW w:w="2620" w:type="dxa"/>
            <w:tcBorders>
              <w:top w:val="single" w:sz="8" w:space="0" w:color="FFFFFF" w:themeColor="background1"/>
              <w:bottom w:val="single" w:sz="8" w:space="0" w:color="FFFFFF" w:themeColor="background1"/>
            </w:tcBorders>
            <w:shd w:val="clear" w:color="auto" w:fill="E9E8E5" w:themeFill="background2"/>
          </w:tcPr>
          <w:p w:rsidR="0062084A" w:rsidRPr="00184BF7" w:rsidRDefault="0062084A" w:rsidP="0062084A">
            <w:pPr>
              <w:pStyle w:val="TableUnit"/>
              <w:jc w:val="left"/>
            </w:pPr>
            <w:r w:rsidRPr="00184BF7">
              <w:t>Silver</w:t>
            </w:r>
          </w:p>
        </w:tc>
        <w:tc>
          <w:tcPr>
            <w:tcW w:w="3685" w:type="dxa"/>
            <w:tcBorders>
              <w:top w:val="single" w:sz="8" w:space="0" w:color="FFFFFF" w:themeColor="background1"/>
              <w:bottom w:val="single" w:sz="8" w:space="0" w:color="FFFFFF" w:themeColor="background1"/>
            </w:tcBorders>
            <w:shd w:val="clear" w:color="auto" w:fill="E9E8E5" w:themeFill="background2"/>
            <w:noWrap/>
          </w:tcPr>
          <w:p w:rsidR="0062084A" w:rsidRPr="00184BF7" w:rsidRDefault="0062084A" w:rsidP="0062084A">
            <w:pPr>
              <w:pStyle w:val="TableUnit"/>
            </w:pPr>
            <w:r>
              <w:t>522</w:t>
            </w:r>
          </w:p>
        </w:tc>
      </w:tr>
      <w:tr w:rsidR="0062084A" w:rsidRPr="00184BF7" w:rsidTr="0062084A">
        <w:trPr>
          <w:trHeight w:val="252"/>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2084A" w:rsidRPr="00184BF7" w:rsidRDefault="0062084A" w:rsidP="0062084A">
            <w:pPr>
              <w:pStyle w:val="TableUnit"/>
              <w:jc w:val="left"/>
            </w:pPr>
            <w:r w:rsidRPr="00DD7C70">
              <w:t>Detached house</w:t>
            </w:r>
          </w:p>
        </w:tc>
        <w:tc>
          <w:tcPr>
            <w:tcW w:w="2620" w:type="dxa"/>
            <w:tcBorders>
              <w:top w:val="single" w:sz="8" w:space="0" w:color="FFFFFF" w:themeColor="background1"/>
              <w:bottom w:val="single" w:sz="8" w:space="0" w:color="FFFFFF" w:themeColor="background1"/>
            </w:tcBorders>
            <w:shd w:val="clear" w:color="auto" w:fill="E9E8E5" w:themeFill="background2"/>
          </w:tcPr>
          <w:p w:rsidR="0062084A" w:rsidRPr="00184BF7" w:rsidRDefault="0062084A" w:rsidP="0062084A">
            <w:pPr>
              <w:pStyle w:val="TableUnit"/>
              <w:jc w:val="left"/>
            </w:pPr>
            <w:r w:rsidRPr="00184BF7">
              <w:t>Gold</w:t>
            </w:r>
          </w:p>
        </w:tc>
        <w:tc>
          <w:tcPr>
            <w:tcW w:w="3685" w:type="dxa"/>
            <w:tcBorders>
              <w:top w:val="single" w:sz="8" w:space="0" w:color="FFFFFF" w:themeColor="background1"/>
              <w:bottom w:val="single" w:sz="8" w:space="0" w:color="FFFFFF" w:themeColor="background1"/>
            </w:tcBorders>
            <w:shd w:val="clear" w:color="auto" w:fill="E9E8E5" w:themeFill="background2"/>
            <w:noWrap/>
            <w:hideMark/>
          </w:tcPr>
          <w:p w:rsidR="0062084A" w:rsidRPr="00184BF7" w:rsidRDefault="0062084A" w:rsidP="0062084A">
            <w:pPr>
              <w:pStyle w:val="TableUnit"/>
            </w:pPr>
            <w:r>
              <w:t>705</w:t>
            </w:r>
          </w:p>
        </w:tc>
      </w:tr>
      <w:tr w:rsidR="0062084A" w:rsidRPr="00184BF7" w:rsidTr="0062084A">
        <w:trPr>
          <w:trHeight w:val="252"/>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2084A" w:rsidRPr="00184BF7" w:rsidRDefault="0062084A" w:rsidP="0062084A">
            <w:pPr>
              <w:pStyle w:val="TableDataEntries"/>
              <w:jc w:val="left"/>
            </w:pPr>
            <w:r w:rsidRPr="00DD7C70">
              <w:t>Detached house</w:t>
            </w:r>
          </w:p>
        </w:tc>
        <w:tc>
          <w:tcPr>
            <w:tcW w:w="2620" w:type="dxa"/>
            <w:tcBorders>
              <w:top w:val="single" w:sz="8" w:space="0" w:color="FFFFFF" w:themeColor="background1"/>
              <w:bottom w:val="single" w:sz="8" w:space="0" w:color="FFFFFF" w:themeColor="background1"/>
            </w:tcBorders>
            <w:shd w:val="clear" w:color="auto" w:fill="E9E8E5" w:themeFill="background2"/>
          </w:tcPr>
          <w:p w:rsidR="0062084A" w:rsidRPr="00184BF7" w:rsidRDefault="0062084A" w:rsidP="0062084A">
            <w:pPr>
              <w:pStyle w:val="TableDataEntries"/>
              <w:jc w:val="left"/>
            </w:pPr>
            <w:r w:rsidRPr="00184BF7">
              <w:t>Gold+</w:t>
            </w:r>
          </w:p>
        </w:tc>
        <w:tc>
          <w:tcPr>
            <w:tcW w:w="3685" w:type="dxa"/>
            <w:tcBorders>
              <w:top w:val="single" w:sz="8" w:space="0" w:color="FFFFFF" w:themeColor="background1"/>
              <w:bottom w:val="single" w:sz="8" w:space="0" w:color="FFFFFF" w:themeColor="background1"/>
            </w:tcBorders>
            <w:shd w:val="clear" w:color="auto" w:fill="E9E8E5" w:themeFill="background2"/>
            <w:noWrap/>
            <w:hideMark/>
          </w:tcPr>
          <w:p w:rsidR="0062084A" w:rsidRPr="00184BF7" w:rsidRDefault="0062084A" w:rsidP="0062084A">
            <w:pPr>
              <w:pStyle w:val="TableDataEntries"/>
            </w:pPr>
            <w:r>
              <w:t>705</w:t>
            </w:r>
          </w:p>
        </w:tc>
      </w:tr>
      <w:tr w:rsidR="0062084A" w:rsidRPr="00184BF7" w:rsidTr="0062084A">
        <w:trPr>
          <w:trHeight w:val="252"/>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2084A" w:rsidRPr="00184BF7" w:rsidRDefault="0062084A" w:rsidP="0062084A">
            <w:pPr>
              <w:pStyle w:val="TableDataEntries"/>
              <w:jc w:val="left"/>
            </w:pPr>
            <w:r>
              <w:t>Townhouse</w:t>
            </w:r>
          </w:p>
        </w:tc>
        <w:tc>
          <w:tcPr>
            <w:tcW w:w="2620" w:type="dxa"/>
            <w:tcBorders>
              <w:top w:val="single" w:sz="8" w:space="0" w:color="FFFFFF" w:themeColor="background1"/>
              <w:bottom w:val="single" w:sz="8" w:space="0" w:color="FFFFFF" w:themeColor="background1"/>
            </w:tcBorders>
            <w:shd w:val="clear" w:color="auto" w:fill="E9E8E5" w:themeFill="background2"/>
          </w:tcPr>
          <w:p w:rsidR="0062084A" w:rsidRPr="00184BF7" w:rsidRDefault="0062084A" w:rsidP="0062084A">
            <w:pPr>
              <w:pStyle w:val="TableDataEntries"/>
              <w:jc w:val="left"/>
            </w:pPr>
            <w:r w:rsidRPr="00184BF7">
              <w:t>Silver</w:t>
            </w:r>
          </w:p>
        </w:tc>
        <w:tc>
          <w:tcPr>
            <w:tcW w:w="3685" w:type="dxa"/>
            <w:tcBorders>
              <w:top w:val="single" w:sz="8" w:space="0" w:color="FFFFFF" w:themeColor="background1"/>
              <w:bottom w:val="single" w:sz="8" w:space="0" w:color="FFFFFF" w:themeColor="background1"/>
            </w:tcBorders>
            <w:shd w:val="clear" w:color="auto" w:fill="E9E8E5" w:themeFill="background2"/>
            <w:noWrap/>
            <w:hideMark/>
          </w:tcPr>
          <w:p w:rsidR="0062084A" w:rsidRPr="00184BF7" w:rsidRDefault="0062084A" w:rsidP="0062084A">
            <w:pPr>
              <w:pStyle w:val="TableDataEntries"/>
            </w:pPr>
            <w:r>
              <w:t>501</w:t>
            </w:r>
          </w:p>
        </w:tc>
      </w:tr>
      <w:tr w:rsidR="0062084A" w:rsidRPr="00184BF7" w:rsidTr="0062084A">
        <w:trPr>
          <w:trHeight w:val="252"/>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2084A" w:rsidRPr="00184BF7" w:rsidRDefault="0062084A" w:rsidP="0062084A">
            <w:pPr>
              <w:pStyle w:val="TableDataEntries"/>
              <w:jc w:val="left"/>
            </w:pPr>
            <w:r w:rsidRPr="003F50A1">
              <w:t>Townhouse</w:t>
            </w:r>
          </w:p>
        </w:tc>
        <w:tc>
          <w:tcPr>
            <w:tcW w:w="2620" w:type="dxa"/>
            <w:tcBorders>
              <w:top w:val="single" w:sz="8" w:space="0" w:color="FFFFFF" w:themeColor="background1"/>
              <w:bottom w:val="single" w:sz="8" w:space="0" w:color="FFFFFF" w:themeColor="background1"/>
            </w:tcBorders>
            <w:shd w:val="clear" w:color="auto" w:fill="E9E8E5" w:themeFill="background2"/>
          </w:tcPr>
          <w:p w:rsidR="0062084A" w:rsidRPr="00184BF7" w:rsidRDefault="0062084A" w:rsidP="0062084A">
            <w:pPr>
              <w:pStyle w:val="TableDataEntries"/>
              <w:jc w:val="left"/>
            </w:pPr>
            <w:r w:rsidRPr="00184BF7">
              <w:t>Gold</w:t>
            </w:r>
          </w:p>
        </w:tc>
        <w:tc>
          <w:tcPr>
            <w:tcW w:w="3685" w:type="dxa"/>
            <w:tcBorders>
              <w:top w:val="single" w:sz="8" w:space="0" w:color="FFFFFF" w:themeColor="background1"/>
              <w:bottom w:val="single" w:sz="8" w:space="0" w:color="FFFFFF" w:themeColor="background1"/>
            </w:tcBorders>
            <w:shd w:val="clear" w:color="auto" w:fill="E9E8E5" w:themeFill="background2"/>
            <w:noWrap/>
            <w:hideMark/>
          </w:tcPr>
          <w:p w:rsidR="0062084A" w:rsidRPr="00184BF7" w:rsidRDefault="0062084A" w:rsidP="0062084A">
            <w:pPr>
              <w:pStyle w:val="TableDataEntries"/>
            </w:pPr>
            <w:r>
              <w:t>681</w:t>
            </w:r>
          </w:p>
        </w:tc>
      </w:tr>
      <w:tr w:rsidR="0062084A" w:rsidRPr="00184BF7" w:rsidTr="0062084A">
        <w:trPr>
          <w:trHeight w:val="252"/>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2084A" w:rsidRPr="00184BF7" w:rsidRDefault="0062084A" w:rsidP="0062084A">
            <w:pPr>
              <w:pStyle w:val="TableDataEntries"/>
              <w:jc w:val="left"/>
            </w:pPr>
            <w:r w:rsidRPr="003F50A1">
              <w:t>Townhouse</w:t>
            </w:r>
          </w:p>
        </w:tc>
        <w:tc>
          <w:tcPr>
            <w:tcW w:w="2620" w:type="dxa"/>
            <w:tcBorders>
              <w:top w:val="single" w:sz="8" w:space="0" w:color="FFFFFF" w:themeColor="background1"/>
              <w:bottom w:val="single" w:sz="8" w:space="0" w:color="FFFFFF" w:themeColor="background1"/>
            </w:tcBorders>
            <w:shd w:val="clear" w:color="auto" w:fill="E9E8E5" w:themeFill="background2"/>
          </w:tcPr>
          <w:p w:rsidR="0062084A" w:rsidRPr="00184BF7" w:rsidRDefault="0062084A" w:rsidP="0062084A">
            <w:pPr>
              <w:pStyle w:val="TableDataEntries"/>
              <w:jc w:val="left"/>
            </w:pPr>
            <w:r w:rsidRPr="00184BF7">
              <w:t>Gold+</w:t>
            </w:r>
          </w:p>
        </w:tc>
        <w:tc>
          <w:tcPr>
            <w:tcW w:w="3685" w:type="dxa"/>
            <w:tcBorders>
              <w:top w:val="single" w:sz="8" w:space="0" w:color="FFFFFF" w:themeColor="background1"/>
              <w:bottom w:val="single" w:sz="8" w:space="0" w:color="FFFFFF" w:themeColor="background1"/>
            </w:tcBorders>
            <w:shd w:val="clear" w:color="auto" w:fill="E9E8E5" w:themeFill="background2"/>
            <w:noWrap/>
            <w:hideMark/>
          </w:tcPr>
          <w:p w:rsidR="0062084A" w:rsidRPr="00184BF7" w:rsidRDefault="0062084A" w:rsidP="0062084A">
            <w:pPr>
              <w:pStyle w:val="TableDataEntries"/>
            </w:pPr>
            <w:r>
              <w:t>681</w:t>
            </w:r>
          </w:p>
        </w:tc>
      </w:tr>
      <w:tr w:rsidR="0062084A" w:rsidRPr="00184BF7" w:rsidTr="0062084A">
        <w:trPr>
          <w:trHeight w:val="252"/>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2084A" w:rsidRPr="00184BF7" w:rsidRDefault="0062084A" w:rsidP="0062084A">
            <w:pPr>
              <w:pStyle w:val="TableDataEntries"/>
              <w:jc w:val="left"/>
            </w:pPr>
            <w:r>
              <w:t>Apartment</w:t>
            </w:r>
          </w:p>
        </w:tc>
        <w:tc>
          <w:tcPr>
            <w:tcW w:w="2620" w:type="dxa"/>
            <w:tcBorders>
              <w:top w:val="single" w:sz="8" w:space="0" w:color="FFFFFF" w:themeColor="background1"/>
              <w:bottom w:val="single" w:sz="8" w:space="0" w:color="FFFFFF" w:themeColor="background1"/>
            </w:tcBorders>
            <w:shd w:val="clear" w:color="auto" w:fill="E9E8E5" w:themeFill="background2"/>
          </w:tcPr>
          <w:p w:rsidR="0062084A" w:rsidRPr="00184BF7" w:rsidRDefault="0062084A" w:rsidP="0062084A">
            <w:pPr>
              <w:pStyle w:val="TableDataEntries"/>
              <w:jc w:val="left"/>
            </w:pPr>
            <w:r w:rsidRPr="00184BF7">
              <w:t>Silver</w:t>
            </w:r>
          </w:p>
        </w:tc>
        <w:tc>
          <w:tcPr>
            <w:tcW w:w="3685" w:type="dxa"/>
            <w:tcBorders>
              <w:top w:val="single" w:sz="8" w:space="0" w:color="FFFFFF" w:themeColor="background1"/>
              <w:bottom w:val="single" w:sz="8" w:space="0" w:color="FFFFFF" w:themeColor="background1"/>
            </w:tcBorders>
            <w:shd w:val="clear" w:color="auto" w:fill="E9E8E5" w:themeFill="background2"/>
            <w:noWrap/>
            <w:hideMark/>
          </w:tcPr>
          <w:p w:rsidR="0062084A" w:rsidRPr="00184BF7" w:rsidRDefault="0062084A" w:rsidP="0062084A">
            <w:pPr>
              <w:pStyle w:val="TableDataEntries"/>
            </w:pPr>
            <w:r>
              <w:t>4 012</w:t>
            </w:r>
          </w:p>
        </w:tc>
      </w:tr>
      <w:tr w:rsidR="0062084A" w:rsidRPr="00184BF7" w:rsidTr="0062084A">
        <w:trPr>
          <w:trHeight w:val="252"/>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2084A" w:rsidRPr="00184BF7" w:rsidRDefault="0062084A" w:rsidP="0062084A">
            <w:pPr>
              <w:pStyle w:val="TableDataEntries"/>
              <w:jc w:val="left"/>
            </w:pPr>
            <w:r w:rsidRPr="000E7610">
              <w:t>Apartment</w:t>
            </w:r>
          </w:p>
        </w:tc>
        <w:tc>
          <w:tcPr>
            <w:tcW w:w="2620" w:type="dxa"/>
            <w:tcBorders>
              <w:top w:val="single" w:sz="8" w:space="0" w:color="FFFFFF" w:themeColor="background1"/>
              <w:bottom w:val="single" w:sz="8" w:space="0" w:color="FFFFFF" w:themeColor="background1"/>
            </w:tcBorders>
            <w:shd w:val="clear" w:color="auto" w:fill="E9E8E5" w:themeFill="background2"/>
          </w:tcPr>
          <w:p w:rsidR="0062084A" w:rsidRPr="00184BF7" w:rsidRDefault="0062084A" w:rsidP="0062084A">
            <w:pPr>
              <w:pStyle w:val="TableDataEntries"/>
              <w:jc w:val="left"/>
            </w:pPr>
            <w:r w:rsidRPr="00184BF7">
              <w:t>Gold</w:t>
            </w:r>
          </w:p>
        </w:tc>
        <w:tc>
          <w:tcPr>
            <w:tcW w:w="3685" w:type="dxa"/>
            <w:tcBorders>
              <w:top w:val="single" w:sz="8" w:space="0" w:color="FFFFFF" w:themeColor="background1"/>
              <w:bottom w:val="single" w:sz="8" w:space="0" w:color="FFFFFF" w:themeColor="background1"/>
            </w:tcBorders>
            <w:shd w:val="clear" w:color="auto" w:fill="E9E8E5" w:themeFill="background2"/>
            <w:noWrap/>
            <w:hideMark/>
          </w:tcPr>
          <w:p w:rsidR="0062084A" w:rsidRPr="00184BF7" w:rsidRDefault="0062084A" w:rsidP="0062084A">
            <w:pPr>
              <w:pStyle w:val="TableDataEntries"/>
            </w:pPr>
            <w:r>
              <w:t>7 077</w:t>
            </w:r>
          </w:p>
        </w:tc>
      </w:tr>
      <w:tr w:rsidR="0062084A" w:rsidRPr="00184BF7" w:rsidTr="0062084A">
        <w:trPr>
          <w:trHeight w:val="252"/>
        </w:trPr>
        <w:tc>
          <w:tcPr>
            <w:tcW w:w="1843" w:type="dxa"/>
            <w:tcBorders>
              <w:top w:val="single" w:sz="8" w:space="0" w:color="FFFFFF" w:themeColor="background1"/>
              <w:bottom w:val="single" w:sz="4" w:space="0" w:color="6F6652" w:themeColor="accent5"/>
            </w:tcBorders>
            <w:shd w:val="clear" w:color="auto" w:fill="E9E8E5" w:themeFill="background2"/>
            <w:noWrap/>
            <w:hideMark/>
          </w:tcPr>
          <w:p w:rsidR="0062084A" w:rsidRPr="00184BF7" w:rsidRDefault="0062084A" w:rsidP="0062084A">
            <w:pPr>
              <w:pStyle w:val="TableDataEntries"/>
              <w:jc w:val="left"/>
            </w:pPr>
            <w:r w:rsidRPr="000E7610">
              <w:t>Apartment</w:t>
            </w:r>
          </w:p>
        </w:tc>
        <w:tc>
          <w:tcPr>
            <w:tcW w:w="2620" w:type="dxa"/>
            <w:tcBorders>
              <w:top w:val="single" w:sz="8" w:space="0" w:color="FFFFFF" w:themeColor="background1"/>
              <w:bottom w:val="single" w:sz="4" w:space="0" w:color="6F6652" w:themeColor="accent5"/>
            </w:tcBorders>
            <w:shd w:val="clear" w:color="auto" w:fill="E9E8E5" w:themeFill="background2"/>
          </w:tcPr>
          <w:p w:rsidR="0062084A" w:rsidRPr="00184BF7" w:rsidRDefault="0062084A" w:rsidP="0062084A">
            <w:pPr>
              <w:pStyle w:val="TableDataEntries"/>
              <w:jc w:val="left"/>
            </w:pPr>
            <w:r w:rsidRPr="00184BF7">
              <w:t>Gold+</w:t>
            </w:r>
          </w:p>
        </w:tc>
        <w:tc>
          <w:tcPr>
            <w:tcW w:w="3685" w:type="dxa"/>
            <w:tcBorders>
              <w:top w:val="single" w:sz="8" w:space="0" w:color="FFFFFF" w:themeColor="background1"/>
              <w:bottom w:val="single" w:sz="4" w:space="0" w:color="6F6652" w:themeColor="accent5"/>
            </w:tcBorders>
            <w:shd w:val="clear" w:color="auto" w:fill="E9E8E5" w:themeFill="background2"/>
            <w:noWrap/>
            <w:hideMark/>
          </w:tcPr>
          <w:p w:rsidR="0062084A" w:rsidRPr="00184BF7" w:rsidRDefault="0062084A" w:rsidP="0062084A">
            <w:pPr>
              <w:pStyle w:val="TableDataEntries"/>
            </w:pPr>
            <w:r>
              <w:t>7 077</w:t>
            </w:r>
          </w:p>
        </w:tc>
      </w:tr>
    </w:tbl>
    <w:p w:rsidR="007C6A5F" w:rsidRDefault="007C6A5F" w:rsidP="007C6A5F">
      <w:pPr>
        <w:pStyle w:val="Source"/>
        <w:rPr>
          <w:lang w:bidi="fa-IR"/>
        </w:rPr>
      </w:pPr>
      <w:r w:rsidRPr="00184BF7">
        <w:rPr>
          <w:i/>
          <w:lang w:bidi="fa-IR"/>
        </w:rPr>
        <w:t>Source:</w:t>
      </w:r>
      <w:r>
        <w:rPr>
          <w:lang w:bidi="fa-IR"/>
        </w:rPr>
        <w:t xml:space="preserve"> </w:t>
      </w:r>
      <w:r w:rsidR="00C36DA4">
        <w:rPr>
          <w:lang w:bidi="fa-IR"/>
        </w:rPr>
        <w:t>CIE.</w:t>
      </w:r>
    </w:p>
    <w:p w:rsidR="007C6A5F" w:rsidRDefault="007C6A5F" w:rsidP="007C6A5F">
      <w:pPr>
        <w:pStyle w:val="BodyText"/>
        <w:rPr>
          <w:lang w:eastAsia="en-US" w:bidi="fa-IR"/>
        </w:rPr>
      </w:pPr>
      <w:r>
        <w:rPr>
          <w:lang w:eastAsia="en-US" w:bidi="fa-IR"/>
        </w:rPr>
        <w:t xml:space="preserve">Overall, the additional </w:t>
      </w:r>
      <w:r w:rsidR="00E51788">
        <w:rPr>
          <w:lang w:eastAsia="en-US" w:bidi="fa-IR"/>
        </w:rPr>
        <w:t>construction</w:t>
      </w:r>
      <w:r>
        <w:rPr>
          <w:lang w:eastAsia="en-US" w:bidi="fa-IR"/>
        </w:rPr>
        <w:t xml:space="preserve"> costs </w:t>
      </w:r>
      <w:r w:rsidR="00327CFA">
        <w:rPr>
          <w:lang w:eastAsia="en-US" w:bidi="fa-IR"/>
        </w:rPr>
        <w:t>associated with</w:t>
      </w:r>
      <w:r>
        <w:rPr>
          <w:lang w:eastAsia="en-US" w:bidi="fa-IR"/>
        </w:rPr>
        <w:t xml:space="preserve"> Option A </w:t>
      </w:r>
      <w:r w:rsidR="00327CFA">
        <w:rPr>
          <w:lang w:eastAsia="en-US" w:bidi="fa-IR"/>
        </w:rPr>
        <w:t xml:space="preserve">(relative to </w:t>
      </w:r>
      <w:r>
        <w:rPr>
          <w:lang w:eastAsia="en-US" w:bidi="fa-IR"/>
        </w:rPr>
        <w:t>Option B</w:t>
      </w:r>
      <w:r w:rsidR="00327CFA">
        <w:rPr>
          <w:lang w:eastAsia="en-US" w:bidi="fa-IR"/>
        </w:rPr>
        <w:t>)</w:t>
      </w:r>
      <w:r>
        <w:rPr>
          <w:lang w:eastAsia="en-US" w:bidi="fa-IR"/>
        </w:rPr>
        <w:t xml:space="preserve"> for design element 1, for each policy option, in </w:t>
      </w:r>
      <w:r w:rsidR="00E51788">
        <w:rPr>
          <w:lang w:eastAsia="en-US" w:bidi="fa-IR"/>
        </w:rPr>
        <w:t>net present value</w:t>
      </w:r>
      <w:r>
        <w:rPr>
          <w:lang w:eastAsia="en-US" w:bidi="fa-IR"/>
        </w:rPr>
        <w:t xml:space="preserve"> terms </w:t>
      </w:r>
      <w:r w:rsidR="00E51788">
        <w:rPr>
          <w:lang w:eastAsia="en-US" w:bidi="fa-IR"/>
        </w:rPr>
        <w:t xml:space="preserve">(using a discount rate of 7 per cent) </w:t>
      </w:r>
      <w:r>
        <w:rPr>
          <w:lang w:eastAsia="en-US" w:bidi="fa-IR"/>
        </w:rPr>
        <w:t xml:space="preserve">are </w:t>
      </w:r>
      <w:r w:rsidR="00E51788">
        <w:rPr>
          <w:lang w:eastAsia="en-US" w:bidi="fa-IR"/>
        </w:rPr>
        <w:t>shown</w:t>
      </w:r>
      <w:r>
        <w:rPr>
          <w:lang w:eastAsia="en-US" w:bidi="fa-IR"/>
        </w:rPr>
        <w:t xml:space="preserve"> in table </w:t>
      </w:r>
      <w:r>
        <w:rPr>
          <w:lang w:eastAsia="en-US" w:bidi="fa-IR"/>
        </w:rPr>
        <w:fldChar w:fldCharType="begin"/>
      </w:r>
      <w:r>
        <w:rPr>
          <w:lang w:eastAsia="en-US" w:bidi="fa-IR"/>
        </w:rPr>
        <w:instrText xml:space="preserve"> REF _Caption8237 </w:instrText>
      </w:r>
      <w:r>
        <w:rPr>
          <w:lang w:eastAsia="en-US" w:bidi="fa-IR"/>
        </w:rPr>
        <w:fldChar w:fldCharType="separate"/>
      </w:r>
      <w:r>
        <w:rPr>
          <w:noProof/>
        </w:rPr>
        <w:t>5</w:t>
      </w:r>
      <w:r w:rsidRPr="00695C93">
        <w:rPr>
          <w:noProof/>
        </w:rPr>
        <w:t>.</w:t>
      </w:r>
      <w:r>
        <w:rPr>
          <w:noProof/>
        </w:rPr>
        <w:t>3</w:t>
      </w:r>
      <w:r>
        <w:rPr>
          <w:lang w:eastAsia="en-US" w:bidi="fa-IR"/>
        </w:rPr>
        <w:fldChar w:fldCharType="end"/>
      </w:r>
      <w:r>
        <w:rPr>
          <w:lang w:eastAsia="en-US" w:bidi="fa-IR"/>
        </w:rPr>
        <w:t>. The data in table </w:t>
      </w:r>
      <w:r>
        <w:rPr>
          <w:lang w:eastAsia="en-US" w:bidi="fa-IR"/>
        </w:rPr>
        <w:fldChar w:fldCharType="begin"/>
      </w:r>
      <w:r>
        <w:rPr>
          <w:lang w:eastAsia="en-US" w:bidi="fa-IR"/>
        </w:rPr>
        <w:instrText xml:space="preserve"> REF _Caption8237 </w:instrText>
      </w:r>
      <w:r>
        <w:rPr>
          <w:lang w:eastAsia="en-US" w:bidi="fa-IR"/>
        </w:rPr>
        <w:fldChar w:fldCharType="separate"/>
      </w:r>
      <w:r>
        <w:rPr>
          <w:noProof/>
        </w:rPr>
        <w:t>5</w:t>
      </w:r>
      <w:r w:rsidRPr="00695C93">
        <w:rPr>
          <w:noProof/>
        </w:rPr>
        <w:t>.</w:t>
      </w:r>
      <w:r>
        <w:rPr>
          <w:noProof/>
        </w:rPr>
        <w:t>3</w:t>
      </w:r>
      <w:r>
        <w:rPr>
          <w:lang w:eastAsia="en-US" w:bidi="fa-IR"/>
        </w:rPr>
        <w:fldChar w:fldCharType="end"/>
      </w:r>
      <w:r>
        <w:rPr>
          <w:lang w:eastAsia="en-US" w:bidi="fa-IR"/>
        </w:rPr>
        <w:t xml:space="preserve"> are a subtraction from the </w:t>
      </w:r>
      <w:r>
        <w:rPr>
          <w:lang w:eastAsia="en-US" w:bidi="fa-IR"/>
        </w:rPr>
        <w:lastRenderedPageBreak/>
        <w:t>net benefit of each policy option, should option A be adopted over option B for design element 1.</w:t>
      </w:r>
    </w:p>
    <w:p w:rsidR="007C6A5F" w:rsidRDefault="007C6A5F" w:rsidP="007C6A5F">
      <w:pPr>
        <w:pStyle w:val="Caption"/>
        <w:ind w:left="568" w:hanging="568"/>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w:instrText>
      </w:r>
      <w:r w:rsidRPr="00695C93">
        <w:fldChar w:fldCharType="separate"/>
      </w:r>
      <w:r>
        <w:rPr>
          <w:noProof/>
        </w:rPr>
        <w:instrText>5</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5</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3</w:instrText>
      </w:r>
      <w:r w:rsidRPr="00695C93">
        <w:fldChar w:fldCharType="end"/>
      </w:r>
      <w:r w:rsidRPr="00695C93">
        <w:instrText xml:space="preserve">" "" </w:instrText>
      </w:r>
      <w:r w:rsidRPr="00695C93">
        <w:fldChar w:fldCharType="separate"/>
      </w:r>
      <w:bookmarkStart w:id="4257" w:name="_Caption8549"/>
      <w:bookmarkStart w:id="4258" w:name="_Caption7731"/>
      <w:bookmarkStart w:id="4259" w:name="_Caption8624"/>
      <w:bookmarkStart w:id="4260" w:name="_Caption1175"/>
      <w:bookmarkStart w:id="4261" w:name="_Caption6143"/>
      <w:bookmarkStart w:id="4262" w:name="_Caption7004"/>
      <w:bookmarkStart w:id="4263" w:name="_Caption7597"/>
      <w:bookmarkStart w:id="4264" w:name="_Caption1997"/>
      <w:bookmarkStart w:id="4265" w:name="_Caption8411"/>
      <w:bookmarkStart w:id="4266" w:name="_Caption8026"/>
      <w:bookmarkStart w:id="4267" w:name="_Caption8237"/>
      <w:bookmarkStart w:id="4268" w:name="_Caption0240"/>
      <w:bookmarkStart w:id="4269" w:name="_Caption0876"/>
      <w:bookmarkStart w:id="4270" w:name="_Caption9713"/>
      <w:bookmarkStart w:id="4271" w:name="_Toc44598523"/>
      <w:bookmarkStart w:id="4272" w:name="_Toc45654154"/>
      <w:r w:rsidR="00272AF3">
        <w:rPr>
          <w:noProof/>
        </w:rPr>
        <w:t>5</w:t>
      </w:r>
      <w:r w:rsidR="00272AF3" w:rsidRPr="00695C93">
        <w:rPr>
          <w:noProof/>
        </w:rPr>
        <w:t>.</w:t>
      </w:r>
      <w:r w:rsidR="00272AF3">
        <w:rPr>
          <w:noProof/>
        </w:rPr>
        <w:t>3</w:t>
      </w:r>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r w:rsidRPr="00695C93">
        <w:fldChar w:fldCharType="end"/>
      </w:r>
      <w:r w:rsidRPr="00695C93">
        <w:tab/>
      </w:r>
      <w:r>
        <w:t>Additional compliance costs from selecting Option A for Design Element 1 (dwelling access)</w:t>
      </w:r>
      <w:bookmarkEnd w:id="4271"/>
      <w:bookmarkEnd w:id="4272"/>
      <w:r>
        <w:t xml:space="preserve"> </w:t>
      </w:r>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5.3"/>
        <w:tblDescription w:val="Additional compliance costs from selecting Option A for Design Element 1 (dwelling access) "/>
      </w:tblPr>
      <w:tblGrid>
        <w:gridCol w:w="1336"/>
        <w:gridCol w:w="1317"/>
        <w:gridCol w:w="1316"/>
        <w:gridCol w:w="1317"/>
        <w:gridCol w:w="1316"/>
        <w:gridCol w:w="1336"/>
      </w:tblGrid>
      <w:tr w:rsidR="007C6A5F" w:rsidRPr="00373115" w:rsidTr="004978E4">
        <w:trPr>
          <w:trHeight w:val="252"/>
          <w:tblHeader/>
        </w:trPr>
        <w:tc>
          <w:tcPr>
            <w:tcW w:w="1336" w:type="dxa"/>
            <w:shd w:val="clear" w:color="auto" w:fill="6F6652" w:themeFill="accent5"/>
          </w:tcPr>
          <w:p w:rsidR="007C6A5F" w:rsidRPr="00373115" w:rsidRDefault="004978E4" w:rsidP="00C36DA4">
            <w:pPr>
              <w:pStyle w:val="TableDataColumnHeading"/>
              <w:jc w:val="left"/>
            </w:pPr>
            <w:r>
              <w:t>Cost</w:t>
            </w:r>
          </w:p>
        </w:tc>
        <w:tc>
          <w:tcPr>
            <w:tcW w:w="1317" w:type="dxa"/>
            <w:shd w:val="clear" w:color="auto" w:fill="6F6652" w:themeFill="accent5"/>
            <w:noWrap/>
            <w:hideMark/>
          </w:tcPr>
          <w:p w:rsidR="007C6A5F" w:rsidRPr="00FE3F56" w:rsidRDefault="007C6A5F" w:rsidP="00C36DA4">
            <w:pPr>
              <w:pStyle w:val="TableDataColumnHeading"/>
            </w:pPr>
            <w:r w:rsidRPr="00FE3F56">
              <w:t>Option 1</w:t>
            </w:r>
            <w:r w:rsidR="004978E4">
              <w:br/>
              <w:t>($ million)</w:t>
            </w:r>
          </w:p>
        </w:tc>
        <w:tc>
          <w:tcPr>
            <w:tcW w:w="1316" w:type="dxa"/>
            <w:shd w:val="clear" w:color="auto" w:fill="6F6652" w:themeFill="accent5"/>
            <w:noWrap/>
            <w:hideMark/>
          </w:tcPr>
          <w:p w:rsidR="007C6A5F" w:rsidRPr="00FE3F56" w:rsidRDefault="007C6A5F" w:rsidP="00C36DA4">
            <w:pPr>
              <w:pStyle w:val="TableDataColumnHeading"/>
            </w:pPr>
            <w:r w:rsidRPr="00FE3F56">
              <w:t>Option 2</w:t>
            </w:r>
            <w:r w:rsidR="004978E4">
              <w:br/>
              <w:t>($ million)</w:t>
            </w:r>
          </w:p>
        </w:tc>
        <w:tc>
          <w:tcPr>
            <w:tcW w:w="1317" w:type="dxa"/>
            <w:shd w:val="clear" w:color="auto" w:fill="6F6652" w:themeFill="accent5"/>
            <w:noWrap/>
            <w:hideMark/>
          </w:tcPr>
          <w:p w:rsidR="007C6A5F" w:rsidRPr="00FE3F56" w:rsidRDefault="007C6A5F" w:rsidP="00C36DA4">
            <w:pPr>
              <w:pStyle w:val="TableDataColumnHeading"/>
            </w:pPr>
            <w:r w:rsidRPr="00FE3F56">
              <w:t>Option 3</w:t>
            </w:r>
            <w:r w:rsidR="004978E4">
              <w:br/>
              <w:t>($ million)</w:t>
            </w:r>
          </w:p>
        </w:tc>
        <w:tc>
          <w:tcPr>
            <w:tcW w:w="1316" w:type="dxa"/>
            <w:shd w:val="clear" w:color="auto" w:fill="6F6652" w:themeFill="accent5"/>
            <w:noWrap/>
            <w:hideMark/>
          </w:tcPr>
          <w:p w:rsidR="007C6A5F" w:rsidRPr="00AB0B85" w:rsidRDefault="007C6A5F" w:rsidP="00C36DA4">
            <w:pPr>
              <w:pStyle w:val="TableDataColumnHeading"/>
            </w:pPr>
            <w:r w:rsidRPr="00D2739F">
              <w:t>Option 4</w:t>
            </w:r>
            <w:r w:rsidR="004978E4">
              <w:br/>
              <w:t>($ million)</w:t>
            </w:r>
          </w:p>
        </w:tc>
        <w:tc>
          <w:tcPr>
            <w:tcW w:w="1336" w:type="dxa"/>
            <w:shd w:val="clear" w:color="auto" w:fill="6F6652" w:themeFill="accent5"/>
          </w:tcPr>
          <w:p w:rsidR="007C6A5F" w:rsidRPr="00326259" w:rsidRDefault="007C6A5F" w:rsidP="00C36DA4">
            <w:pPr>
              <w:pStyle w:val="TableDataColumnHeading"/>
            </w:pPr>
            <w:r w:rsidRPr="00AB0B85">
              <w:t>Option 5</w:t>
            </w:r>
            <w:r w:rsidR="004978E4">
              <w:br/>
              <w:t>($ million)</w:t>
            </w:r>
          </w:p>
        </w:tc>
      </w:tr>
      <w:tr w:rsidR="007C6A5F" w:rsidRPr="00373115" w:rsidTr="00B5160B">
        <w:trPr>
          <w:trHeight w:val="252"/>
        </w:trPr>
        <w:tc>
          <w:tcPr>
            <w:tcW w:w="1336" w:type="dxa"/>
            <w:tcBorders>
              <w:top w:val="single" w:sz="8" w:space="0" w:color="FFFFFF" w:themeColor="background1"/>
              <w:bottom w:val="single" w:sz="4" w:space="0" w:color="6F6652" w:themeColor="accent5"/>
            </w:tcBorders>
            <w:shd w:val="clear" w:color="auto" w:fill="E9E8E5" w:themeFill="background2"/>
          </w:tcPr>
          <w:p w:rsidR="007C6A5F" w:rsidRPr="00373115" w:rsidRDefault="007C6A5F" w:rsidP="00C36DA4">
            <w:pPr>
              <w:pStyle w:val="TableUnit"/>
              <w:jc w:val="left"/>
            </w:pPr>
            <w:r>
              <w:t>Additional cost</w:t>
            </w:r>
          </w:p>
        </w:tc>
        <w:tc>
          <w:tcPr>
            <w:tcW w:w="1317" w:type="dxa"/>
            <w:tcBorders>
              <w:top w:val="single" w:sz="8" w:space="0" w:color="FFFFFF" w:themeColor="background1"/>
              <w:bottom w:val="single" w:sz="4" w:space="0" w:color="6F6652" w:themeColor="accent5"/>
            </w:tcBorders>
            <w:shd w:val="clear" w:color="auto" w:fill="E9E8E5" w:themeFill="background2"/>
            <w:noWrap/>
            <w:hideMark/>
          </w:tcPr>
          <w:p w:rsidR="007C6A5F" w:rsidRPr="00373115" w:rsidRDefault="007C6A5F" w:rsidP="00C36DA4">
            <w:pPr>
              <w:pStyle w:val="TableDataEntries"/>
            </w:pPr>
            <w:r>
              <w:rPr>
                <w:color w:val="000000"/>
              </w:rPr>
              <w:t>2 215</w:t>
            </w:r>
          </w:p>
        </w:tc>
        <w:tc>
          <w:tcPr>
            <w:tcW w:w="1316" w:type="dxa"/>
            <w:tcBorders>
              <w:top w:val="single" w:sz="8" w:space="0" w:color="FFFFFF" w:themeColor="background1"/>
              <w:bottom w:val="single" w:sz="4" w:space="0" w:color="6F6652" w:themeColor="accent5"/>
            </w:tcBorders>
            <w:shd w:val="clear" w:color="auto" w:fill="E9E8E5" w:themeFill="background2"/>
            <w:noWrap/>
            <w:hideMark/>
          </w:tcPr>
          <w:p w:rsidR="007C6A5F" w:rsidRPr="00373115" w:rsidRDefault="007C6A5F" w:rsidP="00C36DA4">
            <w:pPr>
              <w:pStyle w:val="TableDataEntries"/>
            </w:pPr>
            <w:r>
              <w:rPr>
                <w:color w:val="000000"/>
              </w:rPr>
              <w:t>3 688</w:t>
            </w:r>
          </w:p>
        </w:tc>
        <w:tc>
          <w:tcPr>
            <w:tcW w:w="1317" w:type="dxa"/>
            <w:tcBorders>
              <w:top w:val="single" w:sz="8" w:space="0" w:color="FFFFFF" w:themeColor="background1"/>
              <w:bottom w:val="single" w:sz="4" w:space="0" w:color="6F6652" w:themeColor="accent5"/>
            </w:tcBorders>
            <w:shd w:val="clear" w:color="auto" w:fill="E9E8E5" w:themeFill="background2"/>
            <w:noWrap/>
            <w:hideMark/>
          </w:tcPr>
          <w:p w:rsidR="007C6A5F" w:rsidRPr="00373115" w:rsidRDefault="007C6A5F" w:rsidP="00C36DA4">
            <w:pPr>
              <w:pStyle w:val="TableDataEntries"/>
            </w:pPr>
            <w:r>
              <w:rPr>
                <w:color w:val="000000"/>
              </w:rPr>
              <w:t>3 688</w:t>
            </w:r>
          </w:p>
        </w:tc>
        <w:tc>
          <w:tcPr>
            <w:tcW w:w="1316" w:type="dxa"/>
            <w:tcBorders>
              <w:top w:val="single" w:sz="8" w:space="0" w:color="FFFFFF" w:themeColor="background1"/>
              <w:bottom w:val="single" w:sz="4" w:space="0" w:color="6F6652" w:themeColor="accent5"/>
            </w:tcBorders>
            <w:shd w:val="clear" w:color="auto" w:fill="E9E8E5" w:themeFill="background2"/>
            <w:noWrap/>
            <w:hideMark/>
          </w:tcPr>
          <w:p w:rsidR="007C6A5F" w:rsidRPr="00373115" w:rsidRDefault="007C6A5F" w:rsidP="00C36DA4">
            <w:pPr>
              <w:pStyle w:val="TableDataEntries"/>
            </w:pPr>
            <w:r>
              <w:rPr>
                <w:color w:val="000000"/>
              </w:rPr>
              <w:t>2 966</w:t>
            </w:r>
          </w:p>
        </w:tc>
        <w:tc>
          <w:tcPr>
            <w:tcW w:w="1336" w:type="dxa"/>
            <w:tcBorders>
              <w:top w:val="single" w:sz="8" w:space="0" w:color="FFFFFF" w:themeColor="background1"/>
              <w:bottom w:val="single" w:sz="4" w:space="0" w:color="6F6652" w:themeColor="accent5"/>
            </w:tcBorders>
            <w:shd w:val="clear" w:color="auto" w:fill="E9E8E5" w:themeFill="background2"/>
          </w:tcPr>
          <w:p w:rsidR="007C6A5F" w:rsidRPr="00373115" w:rsidRDefault="007C6A5F" w:rsidP="00C36DA4">
            <w:pPr>
              <w:pStyle w:val="TableDataEntries"/>
            </w:pPr>
            <w:r>
              <w:t>0</w:t>
            </w:r>
          </w:p>
        </w:tc>
      </w:tr>
    </w:tbl>
    <w:p w:rsidR="007C6A5F" w:rsidRDefault="007C6A5F" w:rsidP="007C6A5F">
      <w:pPr>
        <w:pStyle w:val="Note"/>
        <w:rPr>
          <w:lang w:bidi="fa-IR"/>
        </w:rPr>
      </w:pPr>
      <w:r>
        <w:rPr>
          <w:lang w:bidi="fa-IR"/>
        </w:rPr>
        <w:t>Note: Additional compliance costs are estimated in net present value terms over the 10</w:t>
      </w:r>
      <w:r>
        <w:rPr>
          <w:lang w:bidi="fa-IR"/>
        </w:rPr>
        <w:noBreakHyphen/>
        <w:t>year regulatory period, using a discount rate of 7 per cent.</w:t>
      </w:r>
    </w:p>
    <w:p w:rsidR="007C6A5F" w:rsidRDefault="007C6A5F" w:rsidP="007C6A5F">
      <w:pPr>
        <w:pStyle w:val="Source"/>
        <w:rPr>
          <w:lang w:bidi="fa-IR"/>
        </w:rPr>
      </w:pPr>
      <w:r w:rsidRPr="00373115">
        <w:rPr>
          <w:i/>
          <w:lang w:bidi="fa-IR"/>
        </w:rPr>
        <w:t>Source:</w:t>
      </w:r>
      <w:r>
        <w:rPr>
          <w:lang w:bidi="fa-IR"/>
        </w:rPr>
        <w:t xml:space="preserve"> </w:t>
      </w:r>
      <w:r w:rsidR="00C36DA4">
        <w:rPr>
          <w:lang w:bidi="fa-IR"/>
        </w:rPr>
        <w:t>CIE.</w:t>
      </w:r>
    </w:p>
    <w:p w:rsidR="007C6A5F" w:rsidRDefault="007C6A5F" w:rsidP="007C6A5F">
      <w:pPr>
        <w:pStyle w:val="Heading4"/>
        <w:numPr>
          <w:ilvl w:val="3"/>
          <w:numId w:val="5"/>
        </w:numPr>
      </w:pPr>
      <w:r>
        <w:t>DCWC cost estimates</w:t>
      </w:r>
    </w:p>
    <w:p w:rsidR="007C6A5F" w:rsidRDefault="007C6A5F" w:rsidP="007C6A5F">
      <w:pPr>
        <w:pStyle w:val="BodyText"/>
      </w:pPr>
      <w:r>
        <w:t>DCWC’s cost estimates are provided in detail in Appendix I, with further details provided in the accompanying report.</w:t>
      </w:r>
    </w:p>
    <w:p w:rsidR="007C6A5F" w:rsidRDefault="007C6A5F" w:rsidP="007C6A5F">
      <w:pPr>
        <w:pStyle w:val="Heading4"/>
        <w:numPr>
          <w:ilvl w:val="3"/>
          <w:numId w:val="5"/>
        </w:numPr>
      </w:pPr>
      <w:r>
        <w:t>Other cost information gathered</w:t>
      </w:r>
    </w:p>
    <w:p w:rsidR="007C6A5F" w:rsidRDefault="007C6A5F" w:rsidP="007C6A5F">
      <w:pPr>
        <w:pStyle w:val="BodyText"/>
      </w:pPr>
      <w:r>
        <w:t>DCWC’s cost estimates appear relatively conservative relative to cost estimates provided by industry</w:t>
      </w:r>
      <w:r w:rsidRPr="000D05A2">
        <w:t>. One stakeholder estimated that accessibility</w:t>
      </w:r>
      <w:r>
        <w:t xml:space="preserve"> features could add $10</w:t>
      </w:r>
      <w:r>
        <w:noBreakHyphen/>
        <w:t>20 000 to the cost of each dwelling (the difference may partly be explained by additional excavation costs — see below).</w:t>
      </w:r>
    </w:p>
    <w:p w:rsidR="007C6A5F" w:rsidRDefault="007C6A5F" w:rsidP="007C6A5F">
      <w:pPr>
        <w:pStyle w:val="Invisiblepara"/>
      </w:pPr>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Box 5.4"/>
        <w:tblDescription w:val="Questions for stakeholders"/>
      </w:tblPr>
      <w:tblGrid>
        <w:gridCol w:w="7938"/>
      </w:tblGrid>
      <w:tr w:rsidR="007C6A5F" w:rsidRPr="00E05C8C" w:rsidTr="00622BDD">
        <w:trPr>
          <w:tblHeader/>
        </w:trPr>
        <w:tc>
          <w:tcPr>
            <w:tcW w:w="7938" w:type="dxa"/>
            <w:shd w:val="clear" w:color="auto" w:fill="C6BFAB" w:themeFill="accent3"/>
          </w:tcPr>
          <w:bookmarkStart w:id="4273" w:name="_Toc32321826"/>
          <w:bookmarkStart w:id="4274" w:name="_Caption8389"/>
          <w:bookmarkStart w:id="4275" w:name="_Caption4716"/>
          <w:p w:rsidR="007C6A5F" w:rsidRPr="00E05C8C" w:rsidRDefault="007C6A5F" w:rsidP="005A6F87">
            <w:pPr>
              <w:pStyle w:val="Caption"/>
              <w:numPr>
                <w:ilvl w:val="0"/>
                <w:numId w:val="13"/>
              </w:numPr>
              <w:spacing w:before="120" w:after="100"/>
            </w:pPr>
            <w:r w:rsidRPr="00E05C8C">
              <w:fldChar w:fldCharType="begin"/>
            </w:r>
            <w:bookmarkEnd w:id="4273"/>
            <w:bookmarkEnd w:id="4274"/>
            <w:bookmarkEnd w:id="4275"/>
            <w:r w:rsidRPr="00E05C8C">
              <w:instrText xml:space="preserve"> IF 1 = 1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E05C8C">
              <w:instrText xml:space="preserve"> = 0 ""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E05C8C">
              <w:instrText xml:space="preserve">." </w:instrText>
            </w:r>
            <w:r w:rsidRPr="00E05C8C">
              <w:fldChar w:fldCharType="separate"/>
            </w:r>
            <w:r>
              <w:rPr>
                <w:noProof/>
              </w:rPr>
              <w:instrText>5</w:instrText>
            </w:r>
            <w:r w:rsidRPr="00E05C8C">
              <w:rPr>
                <w:noProof/>
              </w:rPr>
              <w:instrText>.</w:instrText>
            </w:r>
            <w:r w:rsidRPr="00E05C8C">
              <w:fldChar w:fldCharType="end"/>
            </w:r>
            <w:r w:rsidRPr="00E05C8C">
              <w:instrText>" "</w:instrText>
            </w:r>
            <w:r w:rsidR="00F56BFF">
              <w:fldChar w:fldCharType="begin"/>
            </w:r>
            <w:r w:rsidR="00F56BFF">
              <w:instrText xml:space="preserve"> STYLEREF "Heading 6" \l \n </w:instrText>
            </w:r>
            <w:r w:rsidR="00F56BFF">
              <w:fldChar w:fldCharType="separate"/>
            </w:r>
            <w:r w:rsidRPr="00E05C8C">
              <w:instrText>B</w:instrText>
            </w:r>
            <w:r w:rsidR="00F56BFF">
              <w:fldChar w:fldCharType="end"/>
            </w:r>
            <w:r w:rsidRPr="00E05C8C">
              <w:instrText xml:space="preserve">." </w:instrText>
            </w:r>
            <w:r w:rsidRPr="00E05C8C">
              <w:fldChar w:fldCharType="separate"/>
            </w:r>
            <w:r w:rsidR="00272AF3">
              <w:rPr>
                <w:noProof/>
              </w:rPr>
              <w:instrText>5</w:instrText>
            </w:r>
            <w:r w:rsidR="00272AF3"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E05C8C">
              <w:instrText xml:space="preserve"> = 0 "" "1" </w:instrText>
            </w:r>
            <w:r w:rsidRPr="00E05C8C">
              <w:fldChar w:fldCharType="separate"/>
            </w:r>
            <w:r w:rsidR="00272AF3" w:rsidRPr="00E05C8C">
              <w:rPr>
                <w:noProof/>
              </w:rPr>
              <w:instrText>1</w:instrText>
            </w:r>
            <w:r w:rsidRPr="00E05C8C">
              <w:fldChar w:fldCharType="end"/>
            </w:r>
            <w:r w:rsidRPr="00E05C8C">
              <w:instrText xml:space="preserve">" "6" </w:instrText>
            </w:r>
            <w:r w:rsidRPr="00E05C8C">
              <w:fldChar w:fldCharType="separate"/>
            </w:r>
            <w:r w:rsidR="00272AF3" w:rsidRPr="00E05C8C">
              <w:rPr>
                <w:noProof/>
              </w:rPr>
              <w:instrText>1</w:instrText>
            </w:r>
            <w:r w:rsidRPr="00E05C8C">
              <w:fldChar w:fldCharType="end"/>
            </w:r>
            <w:r w:rsidRPr="00E05C8C">
              <w:instrText xml:space="preserve"> </w:instrText>
            </w:r>
            <w:r w:rsidRPr="00E05C8C">
              <w:fldChar w:fldCharType="separate"/>
            </w:r>
            <w:r>
              <w:rPr>
                <w:noProof/>
              </w:rPr>
              <w:instrText>4</w:instrText>
            </w:r>
            <w:r w:rsidRPr="00E05C8C">
              <w:fldChar w:fldCharType="end"/>
            </w:r>
            <w:r w:rsidRPr="00E05C8C">
              <w:instrText xml:space="preserve">" "" </w:instrText>
            </w:r>
            <w:r w:rsidRPr="00E05C8C">
              <w:fldChar w:fldCharType="separate"/>
            </w:r>
            <w:bookmarkStart w:id="4276" w:name="_Caption7588"/>
            <w:bookmarkStart w:id="4277" w:name="_Caption3459"/>
            <w:bookmarkStart w:id="4278" w:name="_Caption8712"/>
            <w:bookmarkStart w:id="4279" w:name="_Caption6622"/>
            <w:bookmarkStart w:id="4280" w:name="_Caption2401"/>
            <w:bookmarkStart w:id="4281" w:name="_Caption5844"/>
            <w:bookmarkStart w:id="4282" w:name="_Caption3551"/>
            <w:bookmarkStart w:id="4283" w:name="_Caption3850"/>
            <w:bookmarkStart w:id="4284" w:name="_Caption9196"/>
            <w:bookmarkStart w:id="4285" w:name="_Caption8682"/>
            <w:bookmarkStart w:id="4286" w:name="_Caption3451"/>
            <w:bookmarkStart w:id="4287" w:name="_Caption6174"/>
            <w:bookmarkStart w:id="4288" w:name="_Caption9050"/>
            <w:bookmarkStart w:id="4289" w:name="_Caption0080"/>
            <w:bookmarkStart w:id="4290" w:name="_Caption2064"/>
            <w:bookmarkStart w:id="4291" w:name="_Caption7693"/>
            <w:bookmarkStart w:id="4292" w:name="_Caption2102"/>
            <w:bookmarkStart w:id="4293" w:name="_Caption8924"/>
            <w:bookmarkStart w:id="4294" w:name="_Caption8970"/>
            <w:bookmarkStart w:id="4295" w:name="_Caption7518"/>
            <w:bookmarkStart w:id="4296" w:name="_Caption4994"/>
            <w:bookmarkStart w:id="4297" w:name="_Caption4085"/>
            <w:bookmarkStart w:id="4298" w:name="_Caption9209"/>
            <w:bookmarkStart w:id="4299" w:name="_Caption0105"/>
            <w:bookmarkStart w:id="4300" w:name="_Caption5521"/>
            <w:bookmarkStart w:id="4301" w:name="_Caption5041"/>
            <w:bookmarkStart w:id="4302" w:name="_Caption5886"/>
            <w:bookmarkStart w:id="4303" w:name="_Caption3561"/>
            <w:bookmarkStart w:id="4304" w:name="_Caption8997"/>
            <w:bookmarkStart w:id="4305" w:name="_Caption7197"/>
            <w:bookmarkStart w:id="4306" w:name="_Caption9638"/>
            <w:bookmarkStart w:id="4307" w:name="_Caption1254"/>
            <w:bookmarkStart w:id="4308" w:name="_Caption8597"/>
            <w:bookmarkStart w:id="4309" w:name="_Caption7886"/>
            <w:bookmarkStart w:id="4310" w:name="_Caption3022"/>
            <w:bookmarkStart w:id="4311" w:name="_Caption3471"/>
            <w:bookmarkStart w:id="4312" w:name="_Caption9035"/>
            <w:bookmarkStart w:id="4313" w:name="_Caption9014"/>
            <w:bookmarkStart w:id="4314" w:name="_Caption4433"/>
            <w:bookmarkStart w:id="4315" w:name="_Caption9368"/>
            <w:bookmarkStart w:id="4316" w:name="_Caption2884"/>
            <w:bookmarkStart w:id="4317" w:name="_Caption0351"/>
            <w:bookmarkStart w:id="4318" w:name="_Caption2205"/>
            <w:bookmarkStart w:id="4319" w:name="_Caption2835"/>
            <w:bookmarkStart w:id="4320" w:name="_Caption5495"/>
            <w:bookmarkStart w:id="4321" w:name="_Caption1273"/>
            <w:bookmarkStart w:id="4322" w:name="_Caption9377"/>
            <w:bookmarkStart w:id="4323" w:name="_Caption9780"/>
            <w:bookmarkStart w:id="4324" w:name="_Caption7211"/>
            <w:bookmarkStart w:id="4325" w:name="_Caption9424"/>
            <w:bookmarkStart w:id="4326" w:name="_Caption9597"/>
            <w:bookmarkStart w:id="4327" w:name="_Caption6706"/>
            <w:bookmarkStart w:id="4328" w:name="_Caption3790"/>
            <w:bookmarkStart w:id="4329" w:name="_Caption3838"/>
            <w:bookmarkStart w:id="4330" w:name="_Caption0888"/>
            <w:bookmarkStart w:id="4331" w:name="_Caption1420"/>
            <w:bookmarkStart w:id="4332" w:name="_Caption3012"/>
            <w:bookmarkStart w:id="4333" w:name="_Caption2127"/>
            <w:bookmarkStart w:id="4334" w:name="_Caption2882"/>
            <w:bookmarkStart w:id="4335" w:name="_Caption1290"/>
            <w:bookmarkStart w:id="4336" w:name="_Caption2357"/>
            <w:bookmarkStart w:id="4337" w:name="_Caption8394"/>
            <w:bookmarkStart w:id="4338" w:name="_Caption1550"/>
            <w:bookmarkStart w:id="4339" w:name="_Caption5740"/>
            <w:bookmarkStart w:id="4340" w:name="_Caption6925"/>
            <w:bookmarkStart w:id="4341" w:name="_Caption3027"/>
            <w:bookmarkStart w:id="4342" w:name="_Caption9738"/>
            <w:bookmarkStart w:id="4343" w:name="_Toc44598524"/>
            <w:bookmarkStart w:id="4344" w:name="_Toc45654155"/>
            <w:r w:rsidR="00272AF3">
              <w:rPr>
                <w:noProof/>
              </w:rPr>
              <w:t>5</w:t>
            </w:r>
            <w:r w:rsidR="00272AF3" w:rsidRPr="00E05C8C">
              <w:rPr>
                <w:noProof/>
              </w:rPr>
              <w:t>.</w:t>
            </w:r>
            <w:r w:rsidR="00272AF3">
              <w:rPr>
                <w:noProof/>
              </w:rPr>
              <w:t>4</w:t>
            </w:r>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r w:rsidRPr="00E05C8C">
              <w:fldChar w:fldCharType="end"/>
            </w:r>
            <w:r w:rsidRPr="00E05C8C">
              <w:tab/>
            </w:r>
            <w:r>
              <w:t>Questions for stakeholders</w:t>
            </w:r>
            <w:bookmarkEnd w:id="4343"/>
            <w:bookmarkEnd w:id="4344"/>
          </w:p>
        </w:tc>
      </w:tr>
      <w:tr w:rsidR="007C6A5F" w:rsidTr="00B5160B">
        <w:tc>
          <w:tcPr>
            <w:tcW w:w="7938" w:type="dxa"/>
            <w:tcBorders>
              <w:bottom w:val="single" w:sz="4" w:space="0" w:color="9B917E" w:themeColor="accent4"/>
            </w:tcBorders>
            <w:shd w:val="clear" w:color="auto" w:fill="E9E8E5" w:themeFill="background2"/>
          </w:tcPr>
          <w:p w:rsidR="005600BF" w:rsidRDefault="005600BF" w:rsidP="005600BF">
            <w:pPr>
              <w:pStyle w:val="ListBullet"/>
              <w:numPr>
                <w:ilvl w:val="0"/>
                <w:numId w:val="17"/>
              </w:numPr>
            </w:pPr>
            <w:r w:rsidRPr="00F4098C">
              <w:t xml:space="preserve">Are the </w:t>
            </w:r>
            <w:r>
              <w:t xml:space="preserve">scenarios of possible impact (DCWC </w:t>
            </w:r>
            <w:r w:rsidRPr="00F4098C">
              <w:t>descriptions</w:t>
            </w:r>
            <w:r>
              <w:t xml:space="preserve">) broadly representative of </w:t>
            </w:r>
            <w:r w:rsidRPr="00740AB9">
              <w:t xml:space="preserve">the scale of the adjustments required for designs to comply </w:t>
            </w:r>
            <w:r>
              <w:t xml:space="preserve">with </w:t>
            </w:r>
            <w:r w:rsidRPr="00F4098C">
              <w:t xml:space="preserve">the proposed </w:t>
            </w:r>
            <w:r>
              <w:t>accessibility standards (</w:t>
            </w:r>
            <w:r w:rsidRPr="00F4098C">
              <w:t>Options 1-3</w:t>
            </w:r>
            <w:r>
              <w:t>)?</w:t>
            </w:r>
          </w:p>
          <w:p w:rsidR="005600BF" w:rsidRDefault="005600BF" w:rsidP="005600BF">
            <w:pPr>
              <w:pStyle w:val="ListBullet"/>
              <w:numPr>
                <w:ilvl w:val="0"/>
                <w:numId w:val="17"/>
              </w:numPr>
            </w:pPr>
            <w:r w:rsidRPr="004F3527">
              <w:t xml:space="preserve">For each of the </w:t>
            </w:r>
            <w:r>
              <w:t>building types</w:t>
            </w:r>
            <w:r w:rsidRPr="004F3527">
              <w:t xml:space="preserve">, </w:t>
            </w:r>
            <w:r>
              <w:t xml:space="preserve">are the weighted average cost estimates broadly representative of the additional construction costs to comply with the proposed accessibility standards (Options 1-3)? </w:t>
            </w:r>
          </w:p>
          <w:p w:rsidR="007C6A5F" w:rsidRPr="00BF2F67" w:rsidRDefault="005600BF" w:rsidP="00F851D8">
            <w:pPr>
              <w:pStyle w:val="ListBullet"/>
              <w:numPr>
                <w:ilvl w:val="0"/>
                <w:numId w:val="17"/>
              </w:numPr>
              <w:spacing w:after="120"/>
            </w:pPr>
            <w:r>
              <w:t>Can you provide evidence to inform the cost weightings? (See Appendix I)?</w:t>
            </w:r>
          </w:p>
        </w:tc>
      </w:tr>
    </w:tbl>
    <w:p w:rsidR="007C6A5F" w:rsidRDefault="007C6A5F" w:rsidP="007C6A5F">
      <w:pPr>
        <w:pStyle w:val="Heading3"/>
        <w:numPr>
          <w:ilvl w:val="2"/>
          <w:numId w:val="5"/>
        </w:numPr>
      </w:pPr>
      <w:r>
        <w:t>Space</w:t>
      </w:r>
      <w:r>
        <w:noBreakHyphen/>
        <w:t xml:space="preserve">related costs  </w:t>
      </w:r>
    </w:p>
    <w:p w:rsidR="007C6A5F" w:rsidRDefault="007C6A5F" w:rsidP="007C6A5F">
      <w:pPr>
        <w:pStyle w:val="BodyText"/>
      </w:pPr>
      <w:r>
        <w:t xml:space="preserve">Several accessible design elements have the effect of widening entry passages and increasing garages and bathroom sizes, compared to existing practice. </w:t>
      </w:r>
    </w:p>
    <w:p w:rsidR="007C6A5F" w:rsidRDefault="007C6A5F" w:rsidP="007C6A5F">
      <w:pPr>
        <w:pStyle w:val="BodyText"/>
      </w:pPr>
      <w:r>
        <w:t>There are 2 ways that these additional space requirements could be accommodated:</w:t>
      </w:r>
    </w:p>
    <w:p w:rsidR="007C6A5F" w:rsidRDefault="007C6A5F" w:rsidP="005A6F87">
      <w:pPr>
        <w:pStyle w:val="ListBullet"/>
        <w:numPr>
          <w:ilvl w:val="0"/>
          <w:numId w:val="17"/>
        </w:numPr>
      </w:pPr>
      <w:r>
        <w:t>Expanding the footprint of the building – this means the additional space must come from either:</w:t>
      </w:r>
    </w:p>
    <w:p w:rsidR="007C6A5F" w:rsidRDefault="007C6A5F" w:rsidP="005A6F87">
      <w:pPr>
        <w:pStyle w:val="ListBullet2"/>
        <w:numPr>
          <w:ilvl w:val="1"/>
          <w:numId w:val="17"/>
        </w:numPr>
        <w:ind w:left="568" w:hanging="284"/>
      </w:pPr>
      <w:r>
        <w:t>a loss of outdoor (garden) space</w:t>
      </w:r>
      <w:r w:rsidR="00C36DA4">
        <w:t>,</w:t>
      </w:r>
      <w:r>
        <w:t xml:space="preserve"> or</w:t>
      </w:r>
    </w:p>
    <w:p w:rsidR="007C6A5F" w:rsidRDefault="007C6A5F" w:rsidP="005A6F87">
      <w:pPr>
        <w:pStyle w:val="ListBullet2"/>
        <w:numPr>
          <w:ilvl w:val="1"/>
          <w:numId w:val="17"/>
        </w:numPr>
        <w:ind w:left="568" w:hanging="284"/>
      </w:pPr>
      <w:r>
        <w:t>an increase in lot size/width, which implies fewer lots in any given development area. This would mean that the value of the additional lots would be foregone.</w:t>
      </w:r>
    </w:p>
    <w:p w:rsidR="007C6A5F" w:rsidRDefault="007C6A5F" w:rsidP="005A6F87">
      <w:pPr>
        <w:pStyle w:val="ListBullet"/>
        <w:numPr>
          <w:ilvl w:val="0"/>
          <w:numId w:val="17"/>
        </w:numPr>
      </w:pPr>
      <w:r>
        <w:lastRenderedPageBreak/>
        <w:t xml:space="preserve">Accommodating the additional space requirements within the existing footprint of the building </w:t>
      </w:r>
      <w:r w:rsidR="00C36DA4">
        <w:t>—</w:t>
      </w:r>
      <w:r>
        <w:t xml:space="preserve"> this implies a loss of living (or bedroom space).</w:t>
      </w:r>
    </w:p>
    <w:p w:rsidR="007C6A5F" w:rsidRDefault="007C6A5F" w:rsidP="007C6A5F">
      <w:pPr>
        <w:pStyle w:val="BodyText"/>
      </w:pPr>
      <w:r>
        <w:t>For Class 1a separate dwellings, increasing the building footprint to accommodate accessible design elements may be possible on larger lots. However, there may be more significant impacts on some smaller lots.</w:t>
      </w:r>
    </w:p>
    <w:p w:rsidR="007C6A5F" w:rsidRDefault="007C6A5F" w:rsidP="005A6F87">
      <w:pPr>
        <w:pStyle w:val="ListBullet"/>
        <w:numPr>
          <w:ilvl w:val="0"/>
          <w:numId w:val="17"/>
        </w:numPr>
      </w:pPr>
      <w:r>
        <w:t>There has been a recent trend towards smaller lots for greenfield housing (chart </w:t>
      </w:r>
      <w:r>
        <w:rPr>
          <w:noProof/>
        </w:rPr>
        <w:t>5.5</w:t>
      </w:r>
      <w:r>
        <w:t>).</w:t>
      </w:r>
    </w:p>
    <w:p w:rsidR="007C6A5F" w:rsidRPr="00C2155C" w:rsidRDefault="007C6A5F" w:rsidP="005A6F87">
      <w:pPr>
        <w:pStyle w:val="ListBullet"/>
        <w:numPr>
          <w:ilvl w:val="0"/>
          <w:numId w:val="17"/>
        </w:numPr>
      </w:pPr>
      <w:r w:rsidRPr="00C2155C">
        <w:t>Modern subdivisions have lot sizes at 4.5, 6.2, 9 or 12.5m wide.</w:t>
      </w:r>
    </w:p>
    <w:p w:rsidR="007C6A5F" w:rsidRPr="00C2155C" w:rsidRDefault="007C6A5F" w:rsidP="005A6F87">
      <w:pPr>
        <w:pStyle w:val="ListBullet"/>
        <w:numPr>
          <w:ilvl w:val="0"/>
          <w:numId w:val="17"/>
        </w:numPr>
      </w:pPr>
      <w:r w:rsidRPr="00C2155C">
        <w:t>Side setbacks are often zero on one side and 900 on other side</w:t>
      </w:r>
    </w:p>
    <w:p w:rsidR="007C6A5F" w:rsidRPr="00C2155C" w:rsidRDefault="007C6A5F" w:rsidP="005A6F87">
      <w:pPr>
        <w:pStyle w:val="ListBullet"/>
        <w:numPr>
          <w:ilvl w:val="0"/>
          <w:numId w:val="17"/>
        </w:numPr>
      </w:pPr>
      <w:r w:rsidRPr="00C2155C">
        <w:t xml:space="preserve">It is usual for homes to be designed to span the whole width of the block up </w:t>
      </w:r>
      <w:r>
        <w:t xml:space="preserve">to </w:t>
      </w:r>
      <w:r w:rsidRPr="00C2155C">
        <w:t>the setbacks.</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w:instrText>
      </w:r>
      <w:r w:rsidRPr="00695C93">
        <w:fldChar w:fldCharType="separate"/>
      </w:r>
      <w:r>
        <w:rPr>
          <w:noProof/>
        </w:rPr>
        <w:instrText>5</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sidR="00272AF3">
        <w:rPr>
          <w:noProof/>
        </w:rPr>
        <w:instrText>5</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5</w:instrText>
      </w:r>
      <w:r w:rsidRPr="00695C93">
        <w:fldChar w:fldCharType="end"/>
      </w:r>
      <w:r w:rsidRPr="00695C93">
        <w:instrText xml:space="preserve">" "" </w:instrText>
      </w:r>
      <w:r w:rsidRPr="00695C93">
        <w:fldChar w:fldCharType="separate"/>
      </w:r>
      <w:bookmarkStart w:id="4345" w:name="_Caption5466"/>
      <w:bookmarkStart w:id="4346" w:name="_Caption2048"/>
      <w:bookmarkStart w:id="4347" w:name="_Caption0793"/>
      <w:bookmarkStart w:id="4348" w:name="_Caption0129"/>
      <w:bookmarkStart w:id="4349" w:name="_Caption0320"/>
      <w:bookmarkStart w:id="4350" w:name="_Caption0821"/>
      <w:bookmarkStart w:id="4351" w:name="_Caption9117"/>
      <w:bookmarkStart w:id="4352" w:name="_Caption1729"/>
      <w:bookmarkStart w:id="4353" w:name="_Caption3509"/>
      <w:bookmarkStart w:id="4354" w:name="_Caption3399"/>
      <w:bookmarkStart w:id="4355" w:name="_Caption9604"/>
      <w:bookmarkStart w:id="4356" w:name="_Caption8665"/>
      <w:bookmarkStart w:id="4357" w:name="_Caption7108"/>
      <w:bookmarkStart w:id="4358" w:name="_Caption2303"/>
      <w:bookmarkStart w:id="4359" w:name="_Caption7834"/>
      <w:bookmarkStart w:id="4360" w:name="_Caption9138"/>
      <w:bookmarkStart w:id="4361" w:name="_Caption0889"/>
      <w:bookmarkStart w:id="4362" w:name="_Caption7040"/>
      <w:bookmarkStart w:id="4363" w:name="_Caption1207"/>
      <w:bookmarkStart w:id="4364" w:name="_Caption2129"/>
      <w:bookmarkStart w:id="4365" w:name="_Caption0959"/>
      <w:bookmarkStart w:id="4366" w:name="_Caption4033"/>
      <w:bookmarkStart w:id="4367" w:name="_Caption6998"/>
      <w:bookmarkStart w:id="4368" w:name="_Caption8277"/>
      <w:bookmarkStart w:id="4369" w:name="_Caption8542"/>
      <w:bookmarkStart w:id="4370" w:name="_Caption0996"/>
      <w:bookmarkStart w:id="4371" w:name="_Caption4335"/>
      <w:bookmarkStart w:id="4372" w:name="_Caption5502"/>
      <w:bookmarkStart w:id="4373" w:name="_Caption7482"/>
      <w:bookmarkStart w:id="4374" w:name="_Caption2459"/>
      <w:bookmarkStart w:id="4375" w:name="_Caption0875"/>
      <w:bookmarkStart w:id="4376" w:name="_Caption0949"/>
      <w:bookmarkStart w:id="4377" w:name="_Caption5341"/>
      <w:bookmarkStart w:id="4378" w:name="_Caption6166"/>
      <w:bookmarkStart w:id="4379" w:name="_Caption1353"/>
      <w:bookmarkStart w:id="4380" w:name="_Caption9416"/>
      <w:bookmarkStart w:id="4381" w:name="_Caption6027"/>
      <w:bookmarkStart w:id="4382" w:name="_Caption8948"/>
      <w:bookmarkStart w:id="4383" w:name="_Caption2929"/>
      <w:bookmarkStart w:id="4384" w:name="_Caption2208"/>
      <w:bookmarkStart w:id="4385" w:name="_Caption3243"/>
      <w:bookmarkStart w:id="4386" w:name="_Caption4412"/>
      <w:bookmarkStart w:id="4387" w:name="_Caption1052"/>
      <w:bookmarkStart w:id="4388" w:name="_Caption3160"/>
      <w:bookmarkStart w:id="4389" w:name="_Caption1713"/>
      <w:bookmarkStart w:id="4390" w:name="_Caption3159"/>
      <w:bookmarkStart w:id="4391" w:name="_Caption3973"/>
      <w:bookmarkStart w:id="4392" w:name="_Caption2789"/>
      <w:bookmarkStart w:id="4393" w:name="_Caption6518"/>
      <w:bookmarkStart w:id="4394" w:name="_Caption3663"/>
      <w:bookmarkStart w:id="4395" w:name="_Caption5959"/>
      <w:bookmarkStart w:id="4396" w:name="_Caption0896"/>
      <w:bookmarkStart w:id="4397" w:name="_Caption8749"/>
      <w:bookmarkStart w:id="4398" w:name="_Caption6920"/>
      <w:bookmarkStart w:id="4399" w:name="_Caption4422"/>
      <w:bookmarkStart w:id="4400" w:name="_Caption6055"/>
      <w:bookmarkStart w:id="4401" w:name="_Caption4676"/>
      <w:bookmarkStart w:id="4402" w:name="_Caption5704"/>
      <w:bookmarkStart w:id="4403" w:name="_Caption9045"/>
      <w:bookmarkStart w:id="4404" w:name="_Caption2148"/>
      <w:bookmarkStart w:id="4405" w:name="_Caption5285"/>
      <w:bookmarkStart w:id="4406" w:name="_Caption1894"/>
      <w:bookmarkStart w:id="4407" w:name="_Caption5611"/>
      <w:bookmarkStart w:id="4408" w:name="_Caption9181"/>
      <w:bookmarkStart w:id="4409" w:name="_Caption4437"/>
      <w:bookmarkStart w:id="4410" w:name="_Caption5524"/>
      <w:bookmarkStart w:id="4411" w:name="_Caption5946"/>
      <w:bookmarkStart w:id="4412" w:name="_Caption7692"/>
      <w:bookmarkStart w:id="4413" w:name="_Caption6088"/>
      <w:bookmarkStart w:id="4414" w:name="_Caption6410"/>
      <w:bookmarkStart w:id="4415" w:name="_Caption1573"/>
      <w:bookmarkStart w:id="4416" w:name="_Caption4648"/>
      <w:bookmarkStart w:id="4417" w:name="_Caption9618"/>
      <w:bookmarkStart w:id="4418" w:name="_Caption7106"/>
      <w:bookmarkStart w:id="4419" w:name="_Caption8150"/>
      <w:bookmarkStart w:id="4420" w:name="_Caption5129"/>
      <w:bookmarkStart w:id="4421" w:name="_Caption9691"/>
      <w:bookmarkStart w:id="4422" w:name="_Caption6596"/>
      <w:bookmarkStart w:id="4423" w:name="_Caption8752"/>
      <w:bookmarkStart w:id="4424" w:name="_Caption9449"/>
      <w:bookmarkStart w:id="4425" w:name="_Caption4377"/>
      <w:bookmarkStart w:id="4426" w:name="_Caption3926"/>
      <w:bookmarkStart w:id="4427" w:name="_Caption9298"/>
      <w:bookmarkStart w:id="4428" w:name="_Caption1225"/>
      <w:bookmarkStart w:id="4429" w:name="_Caption7364"/>
      <w:bookmarkStart w:id="4430" w:name="_Caption5726"/>
      <w:bookmarkStart w:id="4431" w:name="_Caption6369"/>
      <w:bookmarkStart w:id="4432" w:name="_Caption6293"/>
      <w:bookmarkStart w:id="4433" w:name="_Caption9448"/>
      <w:bookmarkStart w:id="4434" w:name="_Caption8845"/>
      <w:bookmarkStart w:id="4435" w:name="_Caption8169"/>
      <w:bookmarkStart w:id="4436" w:name="_Caption6485"/>
      <w:bookmarkStart w:id="4437" w:name="_Caption4967"/>
      <w:bookmarkStart w:id="4438" w:name="_Caption3566"/>
      <w:bookmarkStart w:id="4439" w:name="_Caption8517"/>
      <w:bookmarkStart w:id="4440" w:name="_Caption3646"/>
      <w:bookmarkStart w:id="4441" w:name="_Caption5848"/>
      <w:bookmarkStart w:id="4442" w:name="_Caption7172"/>
      <w:bookmarkStart w:id="4443" w:name="_Caption2868"/>
      <w:bookmarkStart w:id="4444" w:name="_Caption9605"/>
      <w:bookmarkStart w:id="4445" w:name="_Caption7045"/>
      <w:bookmarkStart w:id="4446" w:name="_Caption9498"/>
      <w:bookmarkStart w:id="4447" w:name="_Caption2239"/>
      <w:bookmarkStart w:id="4448" w:name="_Caption6669"/>
      <w:bookmarkStart w:id="4449" w:name="_Caption5152"/>
      <w:bookmarkStart w:id="4450" w:name="_Caption4011"/>
      <w:bookmarkStart w:id="4451" w:name="_Caption3167"/>
      <w:bookmarkStart w:id="4452" w:name="_Caption6859"/>
      <w:bookmarkStart w:id="4453" w:name="_Caption6041"/>
      <w:bookmarkStart w:id="4454" w:name="_Caption6858"/>
      <w:bookmarkStart w:id="4455" w:name="_Caption7838"/>
      <w:bookmarkStart w:id="4456" w:name="_Caption7646"/>
      <w:bookmarkStart w:id="4457" w:name="_Caption3924"/>
      <w:bookmarkStart w:id="4458" w:name="_Caption6141"/>
      <w:bookmarkStart w:id="4459" w:name="_Caption7713"/>
      <w:bookmarkStart w:id="4460" w:name="_Caption7870"/>
      <w:bookmarkStart w:id="4461" w:name="_Caption5715"/>
      <w:bookmarkStart w:id="4462" w:name="_Caption6232"/>
      <w:bookmarkStart w:id="4463" w:name="_Caption2793"/>
      <w:bookmarkStart w:id="4464" w:name="_Caption2245"/>
      <w:bookmarkStart w:id="4465" w:name="_Caption5456"/>
      <w:bookmarkStart w:id="4466" w:name="_Caption3130"/>
      <w:bookmarkStart w:id="4467" w:name="_Caption4664"/>
      <w:bookmarkStart w:id="4468" w:name="_Caption6238"/>
      <w:bookmarkStart w:id="4469" w:name="_Caption2676"/>
      <w:bookmarkStart w:id="4470" w:name="_Caption7296"/>
      <w:bookmarkStart w:id="4471" w:name="_Caption0485"/>
      <w:bookmarkStart w:id="4472" w:name="_Caption8225"/>
      <w:bookmarkStart w:id="4473" w:name="_Caption0343"/>
      <w:bookmarkStart w:id="4474" w:name="_Caption0696"/>
      <w:bookmarkStart w:id="4475" w:name="_Caption4124"/>
      <w:bookmarkStart w:id="4476" w:name="_Caption1093"/>
      <w:bookmarkStart w:id="4477" w:name="_Caption8456"/>
      <w:bookmarkStart w:id="4478" w:name="_Caption6740"/>
      <w:bookmarkStart w:id="4479" w:name="_Caption1061"/>
      <w:bookmarkStart w:id="4480" w:name="_Caption5440"/>
      <w:bookmarkStart w:id="4481" w:name="_Caption8430"/>
      <w:bookmarkStart w:id="4482" w:name="_Caption5642"/>
      <w:bookmarkStart w:id="4483" w:name="_Caption3409"/>
      <w:bookmarkStart w:id="4484" w:name="_Caption1788"/>
      <w:bookmarkStart w:id="4485" w:name="_Caption1921"/>
      <w:bookmarkStart w:id="4486" w:name="_Caption0474"/>
      <w:bookmarkStart w:id="4487" w:name="_Caption8979"/>
      <w:bookmarkStart w:id="4488" w:name="_Caption1830"/>
      <w:bookmarkStart w:id="4489" w:name="_Caption7784"/>
      <w:bookmarkStart w:id="4490" w:name="_Caption3366"/>
      <w:bookmarkStart w:id="4491" w:name="_Caption7727"/>
      <w:bookmarkStart w:id="4492" w:name="_Caption3103"/>
      <w:bookmarkStart w:id="4493" w:name="_Toc24977962"/>
      <w:bookmarkStart w:id="4494" w:name="_Toc32321827"/>
      <w:bookmarkStart w:id="4495" w:name="_Toc44598525"/>
      <w:bookmarkStart w:id="4496" w:name="_Toc45654156"/>
      <w:r w:rsidR="00272AF3">
        <w:rPr>
          <w:noProof/>
        </w:rPr>
        <w:t>5</w:t>
      </w:r>
      <w:r w:rsidR="00272AF3" w:rsidRPr="00695C93">
        <w:rPr>
          <w:noProof/>
        </w:rPr>
        <w:t>.</w:t>
      </w:r>
      <w:r w:rsidR="00272AF3">
        <w:rPr>
          <w:noProof/>
        </w:rPr>
        <w:t>5</w:t>
      </w:r>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r w:rsidRPr="00695C93">
        <w:fldChar w:fldCharType="end"/>
      </w:r>
      <w:r w:rsidRPr="00695C93">
        <w:tab/>
      </w:r>
      <w:r>
        <w:t>Median lot size</w:t>
      </w:r>
      <w:bookmarkEnd w:id="4493"/>
      <w:bookmarkEnd w:id="4494"/>
      <w:bookmarkEnd w:id="4495"/>
      <w:bookmarkEnd w:id="4496"/>
    </w:p>
    <w:p w:rsidR="007C6A5F" w:rsidRDefault="007C6A5F" w:rsidP="007C6A5F">
      <w:pPr>
        <w:pStyle w:val="Subtitlebox"/>
      </w:pPr>
      <w:r>
        <w:rPr>
          <w:noProof/>
        </w:rPr>
        <w:drawing>
          <wp:inline distT="0" distB="0" distL="0" distR="0" wp14:anchorId="15B39B3A" wp14:editId="2656C1A2">
            <wp:extent cx="5040000" cy="2478095"/>
            <wp:effectExtent l="57150" t="57150" r="65405" b="55880"/>
            <wp:docPr id="2" name="Picture 2" descr="Chart 5.5 - Median lo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6604.tmp"/>
                    <pic:cNvPicPr/>
                  </pic:nvPicPr>
                  <pic:blipFill>
                    <a:blip r:embed="rId33">
                      <a:extLst>
                        <a:ext uri="{28A0092B-C50C-407E-A947-70E740481C1C}">
                          <a14:useLocalDpi xmlns:a14="http://schemas.microsoft.com/office/drawing/2010/main" val="0"/>
                        </a:ext>
                      </a:extLst>
                    </a:blip>
                    <a:stretch>
                      <a:fillRect/>
                    </a:stretch>
                  </pic:blipFill>
                  <pic:spPr>
                    <a:xfrm>
                      <a:off x="0" y="0"/>
                      <a:ext cx="5040000" cy="2478095"/>
                    </a:xfrm>
                    <a:prstGeom prst="rect">
                      <a:avLst/>
                    </a:prstGeom>
                    <a:ln w="57150">
                      <a:solidFill>
                        <a:schemeClr val="bg2"/>
                      </a:solidFill>
                    </a:ln>
                  </pic:spPr>
                </pic:pic>
              </a:graphicData>
            </a:graphic>
          </wp:inline>
        </w:drawing>
      </w:r>
    </w:p>
    <w:p w:rsidR="007C6A5F" w:rsidRDefault="007C6A5F" w:rsidP="007C6A5F">
      <w:pPr>
        <w:pStyle w:val="Source"/>
      </w:pPr>
      <w:r>
        <w:rPr>
          <w:i/>
        </w:rPr>
        <w:t>Data source</w:t>
      </w:r>
      <w:r w:rsidRPr="00A67576">
        <w:rPr>
          <w:i/>
        </w:rPr>
        <w:t>:</w:t>
      </w:r>
      <w:r>
        <w:t xml:space="preserve"> Urban Development Institute of Australia, State of the Land 2018, National Residential Greenfield and Multi-Unit Market Study, p. 11.</w:t>
      </w:r>
    </w:p>
    <w:p w:rsidR="007C6A5F" w:rsidRDefault="007C6A5F" w:rsidP="007C6A5F">
      <w:pPr>
        <w:pStyle w:val="BodyText"/>
      </w:pPr>
      <w:r>
        <w:t>Consequently, it may not always be possible (or straightforward) to increase the building footprint.</w:t>
      </w:r>
    </w:p>
    <w:p w:rsidR="007C6A5F" w:rsidRDefault="007C6A5F" w:rsidP="005A6F87">
      <w:pPr>
        <w:pStyle w:val="ListBullet"/>
        <w:numPr>
          <w:ilvl w:val="0"/>
          <w:numId w:val="17"/>
        </w:numPr>
      </w:pPr>
      <w:r>
        <w:t>This could mean that some commonly used dwelling designs may not be possible on smaller lots, resulting in less</w:t>
      </w:r>
      <w:r>
        <w:noBreakHyphen/>
        <w:t>preferred designs, such as designs with smaller living (or other) areas to offset increased floorspace elsewhere (to meet the minimum standards).</w:t>
      </w:r>
    </w:p>
    <w:p w:rsidR="007C6A5F" w:rsidRDefault="007C6A5F" w:rsidP="005A6F87">
      <w:pPr>
        <w:pStyle w:val="ListBullet"/>
        <w:numPr>
          <w:ilvl w:val="0"/>
          <w:numId w:val="17"/>
        </w:numPr>
      </w:pPr>
      <w:r>
        <w:t>Alternatively, developers and planning authorities may need to widen lot sizes to accommodate accessible dwellings, leading to fewer lots on a given subdivision (this could also reduce the viability of some developments).</w:t>
      </w:r>
    </w:p>
    <w:p w:rsidR="007C6A5F" w:rsidRDefault="007C6A5F" w:rsidP="005A6F87">
      <w:pPr>
        <w:pStyle w:val="ListBullet"/>
        <w:numPr>
          <w:ilvl w:val="0"/>
          <w:numId w:val="17"/>
        </w:numPr>
      </w:pPr>
      <w:r>
        <w:t>Even when it is possible to expand the footprint of the building on a smaller block, this would reduce the (already limited) outdoor space.</w:t>
      </w:r>
    </w:p>
    <w:p w:rsidR="007C6A5F" w:rsidRDefault="007C6A5F" w:rsidP="007C6A5F">
      <w:pPr>
        <w:pStyle w:val="BodyText"/>
      </w:pPr>
      <w:r>
        <w:t>These space requirements may also affect some apartment developments and multi-dwelling townhouse developments. As with separate Class 1a buildings, any additional space in some parts of the dwelling to comply with the minimum standards would require either:</w:t>
      </w:r>
    </w:p>
    <w:p w:rsidR="007C6A5F" w:rsidRDefault="007C6A5F" w:rsidP="005A6F87">
      <w:pPr>
        <w:pStyle w:val="ListBullet"/>
        <w:numPr>
          <w:ilvl w:val="0"/>
          <w:numId w:val="17"/>
        </w:numPr>
      </w:pPr>
      <w:r>
        <w:lastRenderedPageBreak/>
        <w:t>offsetting reduction in floor space in other interior spaces (such as living areas), reducing amenity (and possibly prices);</w:t>
      </w:r>
    </w:p>
    <w:p w:rsidR="007C6A5F" w:rsidRDefault="007C6A5F" w:rsidP="005A6F87">
      <w:pPr>
        <w:pStyle w:val="ListBullet"/>
        <w:numPr>
          <w:ilvl w:val="0"/>
          <w:numId w:val="17"/>
        </w:numPr>
      </w:pPr>
      <w:r>
        <w:t>fewer dwellings within a given building envelope (for apartments) or subdivision area (for townhouses). As above, this could affect the viability of some developments.</w:t>
      </w:r>
    </w:p>
    <w:p w:rsidR="007C6A5F" w:rsidRDefault="007C6A5F" w:rsidP="007C6A5F">
      <w:pPr>
        <w:pStyle w:val="Heading4"/>
        <w:numPr>
          <w:ilvl w:val="3"/>
          <w:numId w:val="5"/>
        </w:numPr>
      </w:pPr>
      <w:r>
        <w:t>Estimated impact on space</w:t>
      </w:r>
    </w:p>
    <w:p w:rsidR="007C6A5F" w:rsidRPr="00135BD9" w:rsidRDefault="007C6A5F" w:rsidP="007C6A5F">
      <w:pPr>
        <w:pStyle w:val="BodyText"/>
      </w:pPr>
      <w:r>
        <w:t xml:space="preserve">Our estimates for the space impacts are noted in </w:t>
      </w:r>
      <w:r w:rsidRPr="00E36739">
        <w:t xml:space="preserve">Table </w:t>
      </w:r>
      <w:r w:rsidRPr="00E36739">
        <w:fldChar w:fldCharType="begin"/>
      </w:r>
      <w:r w:rsidRPr="00E36739">
        <w:instrText xml:space="preserve"> REF _Caption1895 </w:instrText>
      </w:r>
      <w:r>
        <w:instrText xml:space="preserve"> \* MERGEFORMAT </w:instrText>
      </w:r>
      <w:r w:rsidRPr="00E36739">
        <w:fldChar w:fldCharType="separate"/>
      </w:r>
      <w:r>
        <w:rPr>
          <w:noProof/>
        </w:rPr>
        <w:t>5</w:t>
      </w:r>
      <w:r w:rsidRPr="00135BD9">
        <w:rPr>
          <w:noProof/>
        </w:rPr>
        <w:t>.</w:t>
      </w:r>
      <w:r>
        <w:rPr>
          <w:noProof/>
        </w:rPr>
        <w:t>6</w:t>
      </w:r>
      <w:r w:rsidRPr="00E36739">
        <w:rPr>
          <w:noProof/>
        </w:rPr>
        <w:fldChar w:fldCharType="end"/>
      </w:r>
      <w:r w:rsidRPr="00E36739">
        <w:t>, derived</w:t>
      </w:r>
      <w:r>
        <w:t xml:space="preserve"> from estimates and data provided by DCWC. Further details are provided in Appendix I.</w:t>
      </w:r>
    </w:p>
    <w:p w:rsidR="007C6A5F" w:rsidRDefault="007C6A5F" w:rsidP="007C6A5F">
      <w:pPr>
        <w:pStyle w:val="Caption"/>
      </w:pPr>
      <w:r w:rsidRPr="00135BD9">
        <w:fldChar w:fldCharType="begin"/>
      </w:r>
      <w:r w:rsidRPr="00135BD9">
        <w:instrText xml:space="preserve"> IF 1 = 1 "</w:instrText>
      </w:r>
      <w:r w:rsidRPr="00135BD9">
        <w:fldChar w:fldCharType="begin"/>
      </w:r>
      <w:r w:rsidRPr="00135BD9">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135BD9">
        <w:instrText xml:space="preserve"> = 0 "</w:instrText>
      </w:r>
      <w:r w:rsidRPr="00135BD9">
        <w:fldChar w:fldCharType="begin"/>
      </w:r>
      <w:r w:rsidRPr="00135BD9">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135BD9">
        <w:instrText xml:space="preserve"> = 0 ""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135BD9">
        <w:instrText xml:space="preserve">." </w:instrText>
      </w:r>
      <w:r w:rsidRPr="00135BD9">
        <w:fldChar w:fldCharType="separate"/>
      </w:r>
      <w:r>
        <w:rPr>
          <w:noProof/>
        </w:rPr>
        <w:instrText>5</w:instrText>
      </w:r>
      <w:r w:rsidRPr="00135BD9">
        <w:rPr>
          <w:noProof/>
        </w:rPr>
        <w:instrText>.</w:instrText>
      </w:r>
      <w:r w:rsidRPr="00135BD9">
        <w:fldChar w:fldCharType="end"/>
      </w:r>
      <w:r w:rsidRPr="00135BD9">
        <w:instrText>" "</w:instrText>
      </w:r>
      <w:r w:rsidR="00F56BFF">
        <w:fldChar w:fldCharType="begin"/>
      </w:r>
      <w:r w:rsidR="00F56BFF">
        <w:instrText xml:space="preserve"> STYLEREF "Heading 6" \l</w:instrText>
      </w:r>
      <w:r w:rsidR="00F56BFF">
        <w:instrText xml:space="preserve"> \n </w:instrText>
      </w:r>
      <w:r w:rsidR="00F56BFF">
        <w:fldChar w:fldCharType="separate"/>
      </w:r>
      <w:r w:rsidRPr="00135BD9">
        <w:instrText>B</w:instrText>
      </w:r>
      <w:r w:rsidR="00F56BFF">
        <w:fldChar w:fldCharType="end"/>
      </w:r>
      <w:r w:rsidRPr="00135BD9">
        <w:instrText xml:space="preserve">." </w:instrText>
      </w:r>
      <w:r w:rsidRPr="00135BD9">
        <w:fldChar w:fldCharType="separate"/>
      </w:r>
      <w:r w:rsidR="00272AF3">
        <w:rPr>
          <w:noProof/>
        </w:rPr>
        <w:instrText>5</w:instrText>
      </w:r>
      <w:r w:rsidR="00272AF3" w:rsidRPr="00135BD9">
        <w:rPr>
          <w:noProof/>
        </w:rPr>
        <w:instrText>.</w:instrText>
      </w:r>
      <w:r w:rsidRPr="00135BD9">
        <w:fldChar w:fldCharType="end"/>
      </w:r>
      <w:r w:rsidRPr="00135BD9">
        <w:fldChar w:fldCharType="begin"/>
      </w:r>
      <w:r w:rsidRPr="00135BD9">
        <w:instrText xml:space="preserve"> SEQ Item \* ARABIC \s </w:instrText>
      </w:r>
      <w:r w:rsidRPr="00135BD9">
        <w:fldChar w:fldCharType="begin"/>
      </w:r>
      <w:r w:rsidRPr="00135BD9">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135BD9">
        <w:instrText xml:space="preserve"> = 0 "</w:instrText>
      </w:r>
      <w:r w:rsidRPr="00135BD9">
        <w:fldChar w:fldCharType="begin"/>
      </w:r>
      <w:r w:rsidRPr="00135BD9">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135BD9">
        <w:instrText xml:space="preserve"> = 0 "" "1" </w:instrText>
      </w:r>
      <w:r w:rsidRPr="00135BD9">
        <w:fldChar w:fldCharType="separate"/>
      </w:r>
      <w:r w:rsidR="00272AF3" w:rsidRPr="00135BD9">
        <w:rPr>
          <w:noProof/>
        </w:rPr>
        <w:instrText>1</w:instrText>
      </w:r>
      <w:r w:rsidRPr="00135BD9">
        <w:fldChar w:fldCharType="end"/>
      </w:r>
      <w:r w:rsidRPr="00135BD9">
        <w:instrText xml:space="preserve">" "6" </w:instrText>
      </w:r>
      <w:r w:rsidRPr="00135BD9">
        <w:fldChar w:fldCharType="separate"/>
      </w:r>
      <w:r w:rsidR="00272AF3" w:rsidRPr="00135BD9">
        <w:rPr>
          <w:noProof/>
        </w:rPr>
        <w:instrText>1</w:instrText>
      </w:r>
      <w:r w:rsidRPr="00135BD9">
        <w:fldChar w:fldCharType="end"/>
      </w:r>
      <w:r w:rsidRPr="00135BD9">
        <w:instrText xml:space="preserve"> </w:instrText>
      </w:r>
      <w:r w:rsidRPr="00135BD9">
        <w:fldChar w:fldCharType="separate"/>
      </w:r>
      <w:r>
        <w:rPr>
          <w:noProof/>
        </w:rPr>
        <w:instrText>6</w:instrText>
      </w:r>
      <w:r w:rsidRPr="00135BD9">
        <w:fldChar w:fldCharType="end"/>
      </w:r>
      <w:r w:rsidRPr="00135BD9">
        <w:instrText xml:space="preserve">" "" </w:instrText>
      </w:r>
      <w:r w:rsidRPr="00135BD9">
        <w:fldChar w:fldCharType="separate"/>
      </w:r>
      <w:bookmarkStart w:id="4497" w:name="_Caption8298"/>
      <w:bookmarkStart w:id="4498" w:name="_Caption7201"/>
      <w:bookmarkStart w:id="4499" w:name="_Caption3276"/>
      <w:bookmarkStart w:id="4500" w:name="_Caption6218"/>
      <w:bookmarkStart w:id="4501" w:name="_Caption5897"/>
      <w:bookmarkStart w:id="4502" w:name="_Caption9859"/>
      <w:bookmarkStart w:id="4503" w:name="_Caption9975"/>
      <w:bookmarkStart w:id="4504" w:name="_Caption9858"/>
      <w:bookmarkStart w:id="4505" w:name="_Caption5174"/>
      <w:bookmarkStart w:id="4506" w:name="_Caption1410"/>
      <w:bookmarkStart w:id="4507" w:name="_Caption0952"/>
      <w:bookmarkStart w:id="4508" w:name="_Caption0400"/>
      <w:bookmarkStart w:id="4509" w:name="_Caption2342"/>
      <w:bookmarkStart w:id="4510" w:name="_Caption0421"/>
      <w:bookmarkStart w:id="4511" w:name="_Caption3750"/>
      <w:bookmarkStart w:id="4512" w:name="_Caption8832"/>
      <w:bookmarkStart w:id="4513" w:name="_Caption8219"/>
      <w:bookmarkStart w:id="4514" w:name="_Caption6359"/>
      <w:bookmarkStart w:id="4515" w:name="_Caption8406"/>
      <w:bookmarkStart w:id="4516" w:name="_Caption1895"/>
      <w:bookmarkStart w:id="4517" w:name="_Caption2663"/>
      <w:bookmarkStart w:id="4518" w:name="_Caption8023"/>
      <w:bookmarkStart w:id="4519" w:name="_Caption6540"/>
      <w:bookmarkStart w:id="4520" w:name="_Caption5292"/>
      <w:bookmarkStart w:id="4521" w:name="_Caption8324"/>
      <w:bookmarkStart w:id="4522" w:name="_Caption0121"/>
      <w:bookmarkStart w:id="4523" w:name="_Caption3714"/>
      <w:bookmarkStart w:id="4524" w:name="_Caption5558"/>
      <w:bookmarkStart w:id="4525" w:name="_Caption2879"/>
      <w:bookmarkStart w:id="4526" w:name="_Caption3210"/>
      <w:bookmarkStart w:id="4527" w:name="_Toc32321828"/>
      <w:bookmarkStart w:id="4528" w:name="_Toc44598526"/>
      <w:bookmarkStart w:id="4529" w:name="_Toc45654157"/>
      <w:r w:rsidR="00272AF3">
        <w:rPr>
          <w:noProof/>
        </w:rPr>
        <w:t>5</w:t>
      </w:r>
      <w:r w:rsidR="00272AF3" w:rsidRPr="00135BD9">
        <w:rPr>
          <w:noProof/>
        </w:rPr>
        <w:t>.</w:t>
      </w:r>
      <w:r w:rsidR="00272AF3">
        <w:rPr>
          <w:noProof/>
        </w:rPr>
        <w:t>6</w:t>
      </w:r>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r w:rsidRPr="00135BD9">
        <w:fldChar w:fldCharType="end"/>
      </w:r>
      <w:r w:rsidRPr="00135BD9">
        <w:tab/>
        <w:t>Estimated space impacts of complying with proposed changes to NCC</w:t>
      </w:r>
      <w:bookmarkEnd w:id="4527"/>
      <w:bookmarkEnd w:id="4528"/>
      <w:bookmarkEnd w:id="4529"/>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5.6"/>
        <w:tblDescription w:val="Estimated space impacts of complying with proposed changes to NCC"/>
      </w:tblPr>
      <w:tblGrid>
        <w:gridCol w:w="1524"/>
        <w:gridCol w:w="1525"/>
        <w:gridCol w:w="2445"/>
        <w:gridCol w:w="2444"/>
      </w:tblGrid>
      <w:tr w:rsidR="00622BDD" w:rsidTr="00D75227">
        <w:trPr>
          <w:trHeight w:val="68"/>
          <w:tblHeader/>
        </w:trPr>
        <w:tc>
          <w:tcPr>
            <w:tcW w:w="1524" w:type="dxa"/>
            <w:shd w:val="clear" w:color="auto" w:fill="6F6652" w:themeFill="accent5"/>
          </w:tcPr>
          <w:p w:rsidR="00622BDD" w:rsidRDefault="00622BDD" w:rsidP="00C36DA4">
            <w:pPr>
              <w:pStyle w:val="TableDataColumnHeading"/>
              <w:jc w:val="left"/>
              <w:rPr>
                <w:lang w:val="en-GB"/>
              </w:rPr>
            </w:pPr>
            <w:r>
              <w:rPr>
                <w:lang w:val="en-GB"/>
              </w:rPr>
              <w:t>Option</w:t>
            </w:r>
          </w:p>
        </w:tc>
        <w:tc>
          <w:tcPr>
            <w:tcW w:w="1525" w:type="dxa"/>
            <w:shd w:val="clear" w:color="auto" w:fill="6F6652" w:themeFill="accent5"/>
          </w:tcPr>
          <w:p w:rsidR="00622BDD" w:rsidRDefault="00622BDD" w:rsidP="00C36DA4">
            <w:pPr>
              <w:pStyle w:val="TableDataColumnHeading"/>
              <w:jc w:val="left"/>
              <w:rPr>
                <w:lang w:val="en-GB"/>
              </w:rPr>
            </w:pPr>
            <w:r>
              <w:rPr>
                <w:lang w:val="en-GB"/>
              </w:rPr>
              <w:t>Building</w:t>
            </w:r>
          </w:p>
        </w:tc>
        <w:tc>
          <w:tcPr>
            <w:tcW w:w="2445" w:type="dxa"/>
            <w:shd w:val="clear" w:color="auto" w:fill="6F6652" w:themeFill="accent5"/>
          </w:tcPr>
          <w:p w:rsidR="00622BDD" w:rsidRDefault="00622BDD" w:rsidP="00C36DA4">
            <w:pPr>
              <w:pStyle w:val="TableDataColumnHeading"/>
              <w:rPr>
                <w:lang w:val="en-GB"/>
              </w:rPr>
            </w:pPr>
            <w:r>
              <w:rPr>
                <w:lang w:val="en-GB"/>
              </w:rPr>
              <w:t>Estimated space impacts</w:t>
            </w:r>
            <w:r>
              <w:rPr>
                <w:lang w:val="en-GB"/>
              </w:rPr>
              <w:br/>
              <w:t>(m</w:t>
            </w:r>
            <w:r w:rsidRPr="006373D7">
              <w:rPr>
                <w:vertAlign w:val="superscript"/>
                <w:lang w:val="en-GB"/>
              </w:rPr>
              <w:t>2</w:t>
            </w:r>
            <w:r>
              <w:rPr>
                <w:lang w:val="en-GB"/>
              </w:rPr>
              <w:t>)</w:t>
            </w:r>
          </w:p>
        </w:tc>
        <w:tc>
          <w:tcPr>
            <w:tcW w:w="2444" w:type="dxa"/>
            <w:shd w:val="clear" w:color="auto" w:fill="6F6652" w:themeFill="accent5"/>
          </w:tcPr>
          <w:p w:rsidR="00622BDD" w:rsidRDefault="00622BDD" w:rsidP="00C36DA4">
            <w:pPr>
              <w:pStyle w:val="TableDataColumnHeading"/>
              <w:rPr>
                <w:lang w:val="en-GB"/>
              </w:rPr>
            </w:pPr>
            <w:r>
              <w:rPr>
                <w:lang w:val="en-GB"/>
              </w:rPr>
              <w:t>Share of dwelling footprint</w:t>
            </w:r>
            <w:r>
              <w:rPr>
                <w:lang w:val="en-GB"/>
              </w:rPr>
              <w:br/>
              <w:t>(per cent)</w:t>
            </w:r>
          </w:p>
        </w:tc>
      </w:tr>
      <w:tr w:rsidR="00622BDD" w:rsidTr="0042091F">
        <w:trPr>
          <w:trHeight w:val="230"/>
        </w:trPr>
        <w:tc>
          <w:tcPr>
            <w:tcW w:w="1524" w:type="dxa"/>
            <w:tcBorders>
              <w:top w:val="single" w:sz="8" w:space="0" w:color="FFFFFF" w:themeColor="background1"/>
              <w:bottom w:val="single" w:sz="8" w:space="0" w:color="FFFFFF" w:themeColor="background1"/>
            </w:tcBorders>
            <w:shd w:val="clear" w:color="auto" w:fill="E9E8E5" w:themeFill="background2"/>
          </w:tcPr>
          <w:p w:rsidR="00622BDD" w:rsidRDefault="00622BDD" w:rsidP="00622BDD">
            <w:pPr>
              <w:pStyle w:val="TableDataEntries"/>
              <w:jc w:val="left"/>
              <w:rPr>
                <w:lang w:val="en-GB"/>
              </w:rPr>
            </w:pPr>
            <w:r>
              <w:rPr>
                <w:lang w:val="en-GB"/>
              </w:rPr>
              <w:t>Option 1 (Silver)</w:t>
            </w:r>
          </w:p>
        </w:tc>
        <w:tc>
          <w:tcPr>
            <w:tcW w:w="1525" w:type="dxa"/>
            <w:tcBorders>
              <w:top w:val="single" w:sz="8" w:space="0" w:color="FFFFFF" w:themeColor="background1"/>
              <w:bottom w:val="single" w:sz="8" w:space="0" w:color="FFFFFF" w:themeColor="background1"/>
            </w:tcBorders>
            <w:shd w:val="clear" w:color="auto" w:fill="E9E8E5" w:themeFill="background2"/>
          </w:tcPr>
          <w:p w:rsidR="00622BDD" w:rsidRDefault="00622BDD" w:rsidP="00622BDD">
            <w:pPr>
              <w:pStyle w:val="TableDataEntries"/>
              <w:jc w:val="left"/>
              <w:rPr>
                <w:lang w:val="en-GB"/>
              </w:rPr>
            </w:pPr>
            <w:r>
              <w:rPr>
                <w:lang w:val="en-GB"/>
              </w:rPr>
              <w:t>Separate house</w:t>
            </w:r>
          </w:p>
        </w:tc>
        <w:tc>
          <w:tcPr>
            <w:tcW w:w="2445" w:type="dxa"/>
            <w:tcBorders>
              <w:top w:val="single" w:sz="8" w:space="0" w:color="FFFFFF" w:themeColor="background1"/>
              <w:bottom w:val="single" w:sz="8" w:space="0" w:color="FFFFFF" w:themeColor="background1"/>
            </w:tcBorders>
            <w:shd w:val="clear" w:color="auto" w:fill="E9E8E5" w:themeFill="background2"/>
          </w:tcPr>
          <w:p w:rsidR="00622BDD" w:rsidRPr="00135BD9" w:rsidRDefault="00622BDD" w:rsidP="00622BDD">
            <w:pPr>
              <w:pStyle w:val="TableDataEntries"/>
            </w:pPr>
            <w:r>
              <w:rPr>
                <w:szCs w:val="16"/>
              </w:rPr>
              <w:t>0.6</w:t>
            </w:r>
          </w:p>
        </w:tc>
        <w:tc>
          <w:tcPr>
            <w:tcW w:w="2444" w:type="dxa"/>
            <w:tcBorders>
              <w:top w:val="single" w:sz="8" w:space="0" w:color="FFFFFF" w:themeColor="background1"/>
              <w:bottom w:val="single" w:sz="8" w:space="0" w:color="FFFFFF" w:themeColor="background1"/>
            </w:tcBorders>
            <w:shd w:val="clear" w:color="auto" w:fill="E9E8E5" w:themeFill="background2"/>
          </w:tcPr>
          <w:p w:rsidR="00622BDD" w:rsidRPr="00135BD9" w:rsidRDefault="00622BDD" w:rsidP="00622BDD">
            <w:pPr>
              <w:pStyle w:val="TableDataEntries"/>
            </w:pPr>
            <w:r>
              <w:t>0.4</w:t>
            </w:r>
          </w:p>
        </w:tc>
      </w:tr>
      <w:tr w:rsidR="00622BDD" w:rsidTr="0042091F">
        <w:trPr>
          <w:trHeight w:val="230"/>
        </w:trPr>
        <w:tc>
          <w:tcPr>
            <w:tcW w:w="1524" w:type="dxa"/>
            <w:tcBorders>
              <w:top w:val="single" w:sz="8" w:space="0" w:color="FFFFFF" w:themeColor="background1"/>
              <w:bottom w:val="single" w:sz="8" w:space="0" w:color="FFFFFF" w:themeColor="background1"/>
            </w:tcBorders>
            <w:shd w:val="clear" w:color="auto" w:fill="E9E8E5" w:themeFill="background2"/>
          </w:tcPr>
          <w:p w:rsidR="00622BDD" w:rsidRDefault="00622BDD" w:rsidP="00622BDD">
            <w:pPr>
              <w:pStyle w:val="TableDataEntries"/>
              <w:jc w:val="left"/>
              <w:rPr>
                <w:lang w:val="en-GB"/>
              </w:rPr>
            </w:pPr>
            <w:r w:rsidRPr="00170CE3">
              <w:rPr>
                <w:lang w:val="en-GB"/>
              </w:rPr>
              <w:t>Option 1 (Silver)</w:t>
            </w:r>
          </w:p>
        </w:tc>
        <w:tc>
          <w:tcPr>
            <w:tcW w:w="1525" w:type="dxa"/>
            <w:tcBorders>
              <w:top w:val="single" w:sz="8" w:space="0" w:color="FFFFFF" w:themeColor="background1"/>
              <w:bottom w:val="single" w:sz="8" w:space="0" w:color="FFFFFF" w:themeColor="background1"/>
            </w:tcBorders>
            <w:shd w:val="clear" w:color="auto" w:fill="E9E8E5" w:themeFill="background2"/>
          </w:tcPr>
          <w:p w:rsidR="00622BDD" w:rsidRDefault="00622BDD" w:rsidP="00622BDD">
            <w:pPr>
              <w:pStyle w:val="TableDataEntries"/>
              <w:jc w:val="left"/>
              <w:rPr>
                <w:lang w:val="en-GB"/>
              </w:rPr>
            </w:pPr>
            <w:r>
              <w:rPr>
                <w:lang w:val="en-GB"/>
              </w:rPr>
              <w:t>Townhouse</w:t>
            </w:r>
          </w:p>
        </w:tc>
        <w:tc>
          <w:tcPr>
            <w:tcW w:w="2445" w:type="dxa"/>
            <w:tcBorders>
              <w:top w:val="single" w:sz="8" w:space="0" w:color="FFFFFF" w:themeColor="background1"/>
              <w:bottom w:val="single" w:sz="8" w:space="0" w:color="FFFFFF" w:themeColor="background1"/>
            </w:tcBorders>
            <w:shd w:val="clear" w:color="auto" w:fill="E9E8E5" w:themeFill="background2"/>
          </w:tcPr>
          <w:p w:rsidR="00622BDD" w:rsidRPr="00135BD9" w:rsidRDefault="00622BDD" w:rsidP="00622BDD">
            <w:pPr>
              <w:pStyle w:val="TableDataEntries"/>
            </w:pPr>
            <w:r>
              <w:rPr>
                <w:color w:val="000000"/>
                <w:szCs w:val="16"/>
              </w:rPr>
              <w:t>1.2</w:t>
            </w:r>
          </w:p>
        </w:tc>
        <w:tc>
          <w:tcPr>
            <w:tcW w:w="2444" w:type="dxa"/>
            <w:tcBorders>
              <w:top w:val="single" w:sz="8" w:space="0" w:color="FFFFFF" w:themeColor="background1"/>
              <w:bottom w:val="single" w:sz="8" w:space="0" w:color="FFFFFF" w:themeColor="background1"/>
            </w:tcBorders>
            <w:shd w:val="clear" w:color="auto" w:fill="E9E8E5" w:themeFill="background2"/>
          </w:tcPr>
          <w:p w:rsidR="00622BDD" w:rsidRPr="00135BD9" w:rsidRDefault="00622BDD" w:rsidP="00622BDD">
            <w:pPr>
              <w:pStyle w:val="TableDataEntries"/>
            </w:pPr>
            <w:r>
              <w:t>1.2</w:t>
            </w:r>
          </w:p>
        </w:tc>
      </w:tr>
      <w:tr w:rsidR="00622BDD" w:rsidTr="0042091F">
        <w:trPr>
          <w:trHeight w:val="230"/>
        </w:trPr>
        <w:tc>
          <w:tcPr>
            <w:tcW w:w="1524" w:type="dxa"/>
            <w:tcBorders>
              <w:top w:val="single" w:sz="8" w:space="0" w:color="FFFFFF" w:themeColor="background1"/>
              <w:bottom w:val="single" w:sz="8" w:space="0" w:color="FFFFFF" w:themeColor="background1"/>
            </w:tcBorders>
            <w:shd w:val="clear" w:color="auto" w:fill="E9E8E5" w:themeFill="background2"/>
          </w:tcPr>
          <w:p w:rsidR="00622BDD" w:rsidRDefault="00622BDD" w:rsidP="00622BDD">
            <w:pPr>
              <w:pStyle w:val="TableDataEntries"/>
              <w:jc w:val="left"/>
              <w:rPr>
                <w:lang w:val="en-GB"/>
              </w:rPr>
            </w:pPr>
            <w:r w:rsidRPr="00170CE3">
              <w:rPr>
                <w:lang w:val="en-GB"/>
              </w:rPr>
              <w:t>Option 1 (Silver)</w:t>
            </w:r>
          </w:p>
        </w:tc>
        <w:tc>
          <w:tcPr>
            <w:tcW w:w="1525" w:type="dxa"/>
            <w:tcBorders>
              <w:top w:val="single" w:sz="8" w:space="0" w:color="FFFFFF" w:themeColor="background1"/>
              <w:bottom w:val="single" w:sz="8" w:space="0" w:color="FFFFFF" w:themeColor="background1"/>
            </w:tcBorders>
            <w:shd w:val="clear" w:color="auto" w:fill="E9E8E5" w:themeFill="background2"/>
          </w:tcPr>
          <w:p w:rsidR="00622BDD" w:rsidRDefault="00622BDD" w:rsidP="00622BDD">
            <w:pPr>
              <w:pStyle w:val="TableDataEntries"/>
              <w:jc w:val="left"/>
              <w:rPr>
                <w:lang w:val="en-GB"/>
              </w:rPr>
            </w:pPr>
            <w:r>
              <w:rPr>
                <w:lang w:val="en-GB"/>
              </w:rPr>
              <w:t>Apartment</w:t>
            </w:r>
          </w:p>
        </w:tc>
        <w:tc>
          <w:tcPr>
            <w:tcW w:w="2445" w:type="dxa"/>
            <w:tcBorders>
              <w:top w:val="single" w:sz="8" w:space="0" w:color="FFFFFF" w:themeColor="background1"/>
              <w:bottom w:val="single" w:sz="8" w:space="0" w:color="FFFFFF" w:themeColor="background1"/>
            </w:tcBorders>
            <w:shd w:val="clear" w:color="auto" w:fill="E9E8E5" w:themeFill="background2"/>
          </w:tcPr>
          <w:p w:rsidR="00622BDD" w:rsidRPr="00135BD9" w:rsidRDefault="00622BDD" w:rsidP="00622BDD">
            <w:pPr>
              <w:pStyle w:val="TableDataEntries"/>
            </w:pPr>
            <w:r>
              <w:rPr>
                <w:color w:val="000000"/>
                <w:szCs w:val="16"/>
              </w:rPr>
              <w:t>0.6</w:t>
            </w:r>
          </w:p>
        </w:tc>
        <w:tc>
          <w:tcPr>
            <w:tcW w:w="2444" w:type="dxa"/>
            <w:tcBorders>
              <w:top w:val="single" w:sz="8" w:space="0" w:color="FFFFFF" w:themeColor="background1"/>
              <w:bottom w:val="single" w:sz="8" w:space="0" w:color="FFFFFF" w:themeColor="background1"/>
            </w:tcBorders>
            <w:shd w:val="clear" w:color="auto" w:fill="E9E8E5" w:themeFill="background2"/>
          </w:tcPr>
          <w:p w:rsidR="00622BDD" w:rsidRPr="00135BD9" w:rsidRDefault="00622BDD" w:rsidP="00622BDD">
            <w:pPr>
              <w:pStyle w:val="TableDataEntries"/>
            </w:pPr>
            <w:r>
              <w:t>0.5</w:t>
            </w:r>
          </w:p>
        </w:tc>
      </w:tr>
      <w:tr w:rsidR="00622BDD" w:rsidTr="0042091F">
        <w:trPr>
          <w:trHeight w:val="230"/>
        </w:trPr>
        <w:tc>
          <w:tcPr>
            <w:tcW w:w="1524" w:type="dxa"/>
            <w:tcBorders>
              <w:top w:val="single" w:sz="8" w:space="0" w:color="FFFFFF" w:themeColor="background1"/>
              <w:bottom w:val="single" w:sz="8" w:space="0" w:color="FFFFFF" w:themeColor="background1"/>
            </w:tcBorders>
            <w:shd w:val="clear" w:color="auto" w:fill="E9E8E5" w:themeFill="background2"/>
          </w:tcPr>
          <w:p w:rsidR="00622BDD" w:rsidRDefault="00622BDD" w:rsidP="00622BDD">
            <w:pPr>
              <w:pStyle w:val="TableDataEntries"/>
              <w:jc w:val="left"/>
              <w:rPr>
                <w:lang w:val="en-GB"/>
              </w:rPr>
            </w:pPr>
            <w:r>
              <w:rPr>
                <w:lang w:val="en-GB"/>
              </w:rPr>
              <w:t>Option 2 (Gold)</w:t>
            </w:r>
          </w:p>
        </w:tc>
        <w:tc>
          <w:tcPr>
            <w:tcW w:w="1525" w:type="dxa"/>
            <w:tcBorders>
              <w:top w:val="single" w:sz="8" w:space="0" w:color="FFFFFF" w:themeColor="background1"/>
              <w:bottom w:val="single" w:sz="8" w:space="0" w:color="FFFFFF" w:themeColor="background1"/>
            </w:tcBorders>
            <w:shd w:val="clear" w:color="auto" w:fill="E9E8E5" w:themeFill="background2"/>
          </w:tcPr>
          <w:p w:rsidR="00622BDD" w:rsidRDefault="00622BDD" w:rsidP="00622BDD">
            <w:pPr>
              <w:pStyle w:val="TableDataEntries"/>
              <w:jc w:val="left"/>
              <w:rPr>
                <w:lang w:val="en-GB"/>
              </w:rPr>
            </w:pPr>
            <w:r>
              <w:rPr>
                <w:lang w:val="en-GB"/>
              </w:rPr>
              <w:t>Separate house</w:t>
            </w:r>
          </w:p>
        </w:tc>
        <w:tc>
          <w:tcPr>
            <w:tcW w:w="2445" w:type="dxa"/>
            <w:tcBorders>
              <w:top w:val="single" w:sz="8" w:space="0" w:color="FFFFFF" w:themeColor="background1"/>
              <w:bottom w:val="single" w:sz="8" w:space="0" w:color="FFFFFF" w:themeColor="background1"/>
            </w:tcBorders>
            <w:shd w:val="clear" w:color="auto" w:fill="E9E8E5" w:themeFill="background2"/>
          </w:tcPr>
          <w:p w:rsidR="00622BDD" w:rsidRPr="00135BD9" w:rsidRDefault="00622BDD" w:rsidP="00622BDD">
            <w:pPr>
              <w:pStyle w:val="TableDataEntries"/>
            </w:pPr>
            <w:r>
              <w:rPr>
                <w:szCs w:val="16"/>
              </w:rPr>
              <w:t>3.6</w:t>
            </w:r>
          </w:p>
        </w:tc>
        <w:tc>
          <w:tcPr>
            <w:tcW w:w="2444" w:type="dxa"/>
            <w:tcBorders>
              <w:top w:val="single" w:sz="8" w:space="0" w:color="FFFFFF" w:themeColor="background1"/>
              <w:bottom w:val="single" w:sz="8" w:space="0" w:color="FFFFFF" w:themeColor="background1"/>
            </w:tcBorders>
            <w:shd w:val="clear" w:color="auto" w:fill="E9E8E5" w:themeFill="background2"/>
          </w:tcPr>
          <w:p w:rsidR="00622BDD" w:rsidRPr="00135BD9" w:rsidRDefault="00622BDD" w:rsidP="00622BDD">
            <w:pPr>
              <w:pStyle w:val="TableDataEntries"/>
            </w:pPr>
            <w:r>
              <w:t>2.4</w:t>
            </w:r>
          </w:p>
        </w:tc>
      </w:tr>
      <w:tr w:rsidR="00622BDD" w:rsidTr="0042091F">
        <w:trPr>
          <w:trHeight w:val="230"/>
        </w:trPr>
        <w:tc>
          <w:tcPr>
            <w:tcW w:w="1524" w:type="dxa"/>
            <w:tcBorders>
              <w:top w:val="single" w:sz="8" w:space="0" w:color="FFFFFF" w:themeColor="background1"/>
              <w:bottom w:val="single" w:sz="8" w:space="0" w:color="FFFFFF" w:themeColor="background1"/>
            </w:tcBorders>
            <w:shd w:val="clear" w:color="auto" w:fill="E9E8E5" w:themeFill="background2"/>
          </w:tcPr>
          <w:p w:rsidR="00622BDD" w:rsidRDefault="00622BDD" w:rsidP="00622BDD">
            <w:pPr>
              <w:pStyle w:val="TableDataEntries"/>
              <w:jc w:val="left"/>
              <w:rPr>
                <w:lang w:val="en-GB"/>
              </w:rPr>
            </w:pPr>
            <w:r w:rsidRPr="001F1BD2">
              <w:rPr>
                <w:lang w:val="en-GB"/>
              </w:rPr>
              <w:t>Option 2 (Gold)</w:t>
            </w:r>
          </w:p>
        </w:tc>
        <w:tc>
          <w:tcPr>
            <w:tcW w:w="1525" w:type="dxa"/>
            <w:tcBorders>
              <w:top w:val="single" w:sz="8" w:space="0" w:color="FFFFFF" w:themeColor="background1"/>
              <w:bottom w:val="single" w:sz="8" w:space="0" w:color="FFFFFF" w:themeColor="background1"/>
            </w:tcBorders>
            <w:shd w:val="clear" w:color="auto" w:fill="E9E8E5" w:themeFill="background2"/>
          </w:tcPr>
          <w:p w:rsidR="00622BDD" w:rsidRDefault="00622BDD" w:rsidP="00622BDD">
            <w:pPr>
              <w:pStyle w:val="TableDataEntries"/>
              <w:jc w:val="left"/>
              <w:rPr>
                <w:lang w:val="en-GB"/>
              </w:rPr>
            </w:pPr>
            <w:r>
              <w:rPr>
                <w:lang w:val="en-GB"/>
              </w:rPr>
              <w:t>Townhouse</w:t>
            </w:r>
          </w:p>
        </w:tc>
        <w:tc>
          <w:tcPr>
            <w:tcW w:w="2445" w:type="dxa"/>
            <w:tcBorders>
              <w:top w:val="single" w:sz="8" w:space="0" w:color="FFFFFF" w:themeColor="background1"/>
              <w:bottom w:val="single" w:sz="8" w:space="0" w:color="FFFFFF" w:themeColor="background1"/>
            </w:tcBorders>
            <w:shd w:val="clear" w:color="auto" w:fill="E9E8E5" w:themeFill="background2"/>
          </w:tcPr>
          <w:p w:rsidR="00622BDD" w:rsidRPr="00135BD9" w:rsidRDefault="00622BDD" w:rsidP="00622BDD">
            <w:pPr>
              <w:pStyle w:val="TableDataEntries"/>
            </w:pPr>
            <w:r>
              <w:rPr>
                <w:szCs w:val="16"/>
              </w:rPr>
              <w:t>6.5</w:t>
            </w:r>
          </w:p>
        </w:tc>
        <w:tc>
          <w:tcPr>
            <w:tcW w:w="2444" w:type="dxa"/>
            <w:tcBorders>
              <w:top w:val="single" w:sz="8" w:space="0" w:color="FFFFFF" w:themeColor="background1"/>
              <w:bottom w:val="single" w:sz="8" w:space="0" w:color="FFFFFF" w:themeColor="background1"/>
            </w:tcBorders>
            <w:shd w:val="clear" w:color="auto" w:fill="E9E8E5" w:themeFill="background2"/>
          </w:tcPr>
          <w:p w:rsidR="00622BDD" w:rsidRPr="00135BD9" w:rsidRDefault="00622BDD" w:rsidP="00622BDD">
            <w:pPr>
              <w:pStyle w:val="TableDataEntries"/>
            </w:pPr>
            <w:r>
              <w:t>6.5</w:t>
            </w:r>
          </w:p>
        </w:tc>
      </w:tr>
      <w:tr w:rsidR="00622BDD" w:rsidTr="0042091F">
        <w:trPr>
          <w:trHeight w:val="230"/>
        </w:trPr>
        <w:tc>
          <w:tcPr>
            <w:tcW w:w="1524" w:type="dxa"/>
            <w:tcBorders>
              <w:top w:val="single" w:sz="8" w:space="0" w:color="FFFFFF" w:themeColor="background1"/>
              <w:bottom w:val="single" w:sz="8" w:space="0" w:color="FFFFFF" w:themeColor="background1"/>
            </w:tcBorders>
            <w:shd w:val="clear" w:color="auto" w:fill="E9E8E5" w:themeFill="background2"/>
          </w:tcPr>
          <w:p w:rsidR="00622BDD" w:rsidRDefault="00622BDD" w:rsidP="00622BDD">
            <w:pPr>
              <w:pStyle w:val="TableDataEntries"/>
              <w:jc w:val="left"/>
              <w:rPr>
                <w:lang w:val="en-GB"/>
              </w:rPr>
            </w:pPr>
            <w:r w:rsidRPr="001F1BD2">
              <w:rPr>
                <w:lang w:val="en-GB"/>
              </w:rPr>
              <w:t>Option 2 (Gold)</w:t>
            </w:r>
          </w:p>
        </w:tc>
        <w:tc>
          <w:tcPr>
            <w:tcW w:w="1525" w:type="dxa"/>
            <w:tcBorders>
              <w:top w:val="single" w:sz="8" w:space="0" w:color="FFFFFF" w:themeColor="background1"/>
              <w:bottom w:val="single" w:sz="8" w:space="0" w:color="FFFFFF" w:themeColor="background1"/>
            </w:tcBorders>
            <w:shd w:val="clear" w:color="auto" w:fill="E9E8E5" w:themeFill="background2"/>
          </w:tcPr>
          <w:p w:rsidR="00622BDD" w:rsidRDefault="00622BDD" w:rsidP="00622BDD">
            <w:pPr>
              <w:pStyle w:val="TableDataEntries"/>
              <w:jc w:val="left"/>
              <w:rPr>
                <w:lang w:val="en-GB"/>
              </w:rPr>
            </w:pPr>
            <w:r>
              <w:rPr>
                <w:lang w:val="en-GB"/>
              </w:rPr>
              <w:t>Apartment</w:t>
            </w:r>
          </w:p>
        </w:tc>
        <w:tc>
          <w:tcPr>
            <w:tcW w:w="2445" w:type="dxa"/>
            <w:tcBorders>
              <w:top w:val="single" w:sz="8" w:space="0" w:color="FFFFFF" w:themeColor="background1"/>
              <w:bottom w:val="single" w:sz="8" w:space="0" w:color="FFFFFF" w:themeColor="background1"/>
            </w:tcBorders>
            <w:shd w:val="clear" w:color="auto" w:fill="E9E8E5" w:themeFill="background2"/>
          </w:tcPr>
          <w:p w:rsidR="00622BDD" w:rsidRPr="00135BD9" w:rsidRDefault="00622BDD" w:rsidP="00622BDD">
            <w:pPr>
              <w:pStyle w:val="TableDataEntries"/>
            </w:pPr>
            <w:r>
              <w:rPr>
                <w:szCs w:val="16"/>
              </w:rPr>
              <w:t>3.5</w:t>
            </w:r>
          </w:p>
        </w:tc>
        <w:tc>
          <w:tcPr>
            <w:tcW w:w="2444" w:type="dxa"/>
            <w:tcBorders>
              <w:top w:val="single" w:sz="8" w:space="0" w:color="FFFFFF" w:themeColor="background1"/>
              <w:bottom w:val="single" w:sz="8" w:space="0" w:color="FFFFFF" w:themeColor="background1"/>
            </w:tcBorders>
            <w:shd w:val="clear" w:color="auto" w:fill="E9E8E5" w:themeFill="background2"/>
          </w:tcPr>
          <w:p w:rsidR="00622BDD" w:rsidRPr="00135BD9" w:rsidRDefault="00622BDD" w:rsidP="00622BDD">
            <w:pPr>
              <w:pStyle w:val="TableDataEntries"/>
            </w:pPr>
            <w:r>
              <w:t>2.8</w:t>
            </w:r>
          </w:p>
        </w:tc>
      </w:tr>
      <w:tr w:rsidR="00622BDD" w:rsidTr="0042091F">
        <w:trPr>
          <w:trHeight w:val="230"/>
        </w:trPr>
        <w:tc>
          <w:tcPr>
            <w:tcW w:w="1524" w:type="dxa"/>
            <w:tcBorders>
              <w:top w:val="single" w:sz="8" w:space="0" w:color="FFFFFF" w:themeColor="background1"/>
              <w:bottom w:val="single" w:sz="8" w:space="0" w:color="FFFFFF" w:themeColor="background1"/>
            </w:tcBorders>
            <w:shd w:val="clear" w:color="auto" w:fill="E9E8E5" w:themeFill="background2"/>
          </w:tcPr>
          <w:p w:rsidR="00622BDD" w:rsidRDefault="00622BDD" w:rsidP="00622BDD">
            <w:pPr>
              <w:pStyle w:val="TableDataEntries"/>
              <w:jc w:val="left"/>
              <w:rPr>
                <w:lang w:val="en-GB"/>
              </w:rPr>
            </w:pPr>
            <w:r>
              <w:rPr>
                <w:lang w:val="en-GB"/>
              </w:rPr>
              <w:t>Option 3 (Gold+)</w:t>
            </w:r>
          </w:p>
        </w:tc>
        <w:tc>
          <w:tcPr>
            <w:tcW w:w="1525" w:type="dxa"/>
            <w:tcBorders>
              <w:top w:val="single" w:sz="8" w:space="0" w:color="FFFFFF" w:themeColor="background1"/>
              <w:bottom w:val="single" w:sz="8" w:space="0" w:color="FFFFFF" w:themeColor="background1"/>
            </w:tcBorders>
            <w:shd w:val="clear" w:color="auto" w:fill="E9E8E5" w:themeFill="background2"/>
          </w:tcPr>
          <w:p w:rsidR="00622BDD" w:rsidRDefault="00622BDD" w:rsidP="00622BDD">
            <w:pPr>
              <w:pStyle w:val="TableDataEntries"/>
              <w:jc w:val="left"/>
              <w:rPr>
                <w:lang w:val="en-GB"/>
              </w:rPr>
            </w:pPr>
            <w:r>
              <w:rPr>
                <w:lang w:val="en-GB"/>
              </w:rPr>
              <w:t>Separate house</w:t>
            </w:r>
          </w:p>
        </w:tc>
        <w:tc>
          <w:tcPr>
            <w:tcW w:w="2445" w:type="dxa"/>
            <w:tcBorders>
              <w:top w:val="single" w:sz="8" w:space="0" w:color="FFFFFF" w:themeColor="background1"/>
              <w:bottom w:val="single" w:sz="8" w:space="0" w:color="FFFFFF" w:themeColor="background1"/>
            </w:tcBorders>
            <w:shd w:val="clear" w:color="auto" w:fill="E9E8E5" w:themeFill="background2"/>
          </w:tcPr>
          <w:p w:rsidR="00622BDD" w:rsidRPr="00135BD9" w:rsidRDefault="00622BDD" w:rsidP="00622BDD">
            <w:pPr>
              <w:pStyle w:val="TableDataEntries"/>
            </w:pPr>
            <w:r>
              <w:t>4.8</w:t>
            </w:r>
          </w:p>
        </w:tc>
        <w:tc>
          <w:tcPr>
            <w:tcW w:w="2444" w:type="dxa"/>
            <w:tcBorders>
              <w:top w:val="single" w:sz="8" w:space="0" w:color="FFFFFF" w:themeColor="background1"/>
              <w:bottom w:val="single" w:sz="8" w:space="0" w:color="FFFFFF" w:themeColor="background1"/>
            </w:tcBorders>
            <w:shd w:val="clear" w:color="auto" w:fill="E9E8E5" w:themeFill="background2"/>
          </w:tcPr>
          <w:p w:rsidR="00622BDD" w:rsidRPr="00135BD9" w:rsidRDefault="00622BDD" w:rsidP="00622BDD">
            <w:pPr>
              <w:pStyle w:val="TableDataEntries"/>
            </w:pPr>
            <w:r>
              <w:t>3.2</w:t>
            </w:r>
          </w:p>
        </w:tc>
      </w:tr>
      <w:tr w:rsidR="00622BDD" w:rsidTr="0042091F">
        <w:trPr>
          <w:trHeight w:val="230"/>
        </w:trPr>
        <w:tc>
          <w:tcPr>
            <w:tcW w:w="1524" w:type="dxa"/>
            <w:tcBorders>
              <w:top w:val="single" w:sz="8" w:space="0" w:color="FFFFFF" w:themeColor="background1"/>
              <w:bottom w:val="single" w:sz="8" w:space="0" w:color="FFFFFF" w:themeColor="background1"/>
            </w:tcBorders>
            <w:shd w:val="clear" w:color="auto" w:fill="E9E8E5" w:themeFill="background2"/>
          </w:tcPr>
          <w:p w:rsidR="00622BDD" w:rsidRDefault="00622BDD" w:rsidP="00622BDD">
            <w:pPr>
              <w:pStyle w:val="TableDataEntries"/>
              <w:jc w:val="left"/>
              <w:rPr>
                <w:lang w:val="en-GB"/>
              </w:rPr>
            </w:pPr>
            <w:r w:rsidRPr="00E06B6A">
              <w:rPr>
                <w:lang w:val="en-GB"/>
              </w:rPr>
              <w:t>Option 3 (Gold+)</w:t>
            </w:r>
          </w:p>
        </w:tc>
        <w:tc>
          <w:tcPr>
            <w:tcW w:w="1525" w:type="dxa"/>
            <w:tcBorders>
              <w:top w:val="single" w:sz="8" w:space="0" w:color="FFFFFF" w:themeColor="background1"/>
              <w:bottom w:val="single" w:sz="8" w:space="0" w:color="FFFFFF" w:themeColor="background1"/>
            </w:tcBorders>
            <w:shd w:val="clear" w:color="auto" w:fill="E9E8E5" w:themeFill="background2"/>
          </w:tcPr>
          <w:p w:rsidR="00622BDD" w:rsidRDefault="00622BDD" w:rsidP="00622BDD">
            <w:pPr>
              <w:pStyle w:val="TableDataEntries"/>
              <w:jc w:val="left"/>
              <w:rPr>
                <w:lang w:val="en-GB"/>
              </w:rPr>
            </w:pPr>
            <w:r>
              <w:rPr>
                <w:lang w:val="en-GB"/>
              </w:rPr>
              <w:t>Townhouse</w:t>
            </w:r>
          </w:p>
        </w:tc>
        <w:tc>
          <w:tcPr>
            <w:tcW w:w="2445" w:type="dxa"/>
            <w:tcBorders>
              <w:top w:val="single" w:sz="8" w:space="0" w:color="FFFFFF" w:themeColor="background1"/>
              <w:bottom w:val="single" w:sz="8" w:space="0" w:color="FFFFFF" w:themeColor="background1"/>
            </w:tcBorders>
            <w:shd w:val="clear" w:color="auto" w:fill="E9E8E5" w:themeFill="background2"/>
          </w:tcPr>
          <w:p w:rsidR="00622BDD" w:rsidRPr="00135BD9" w:rsidRDefault="00622BDD" w:rsidP="00622BDD">
            <w:pPr>
              <w:pStyle w:val="TableDataEntries"/>
            </w:pPr>
            <w:r>
              <w:t>7.8</w:t>
            </w:r>
          </w:p>
        </w:tc>
        <w:tc>
          <w:tcPr>
            <w:tcW w:w="2444" w:type="dxa"/>
            <w:tcBorders>
              <w:top w:val="single" w:sz="8" w:space="0" w:color="FFFFFF" w:themeColor="background1"/>
              <w:bottom w:val="single" w:sz="8" w:space="0" w:color="FFFFFF" w:themeColor="background1"/>
            </w:tcBorders>
            <w:shd w:val="clear" w:color="auto" w:fill="E9E8E5" w:themeFill="background2"/>
          </w:tcPr>
          <w:p w:rsidR="00622BDD" w:rsidRPr="00135BD9" w:rsidRDefault="00622BDD" w:rsidP="00622BDD">
            <w:pPr>
              <w:pStyle w:val="TableDataEntries"/>
            </w:pPr>
            <w:r>
              <w:t>7.8</w:t>
            </w:r>
          </w:p>
        </w:tc>
      </w:tr>
      <w:tr w:rsidR="00622BDD" w:rsidTr="0042091F">
        <w:trPr>
          <w:trHeight w:val="230"/>
        </w:trPr>
        <w:tc>
          <w:tcPr>
            <w:tcW w:w="1524" w:type="dxa"/>
            <w:tcBorders>
              <w:top w:val="single" w:sz="8" w:space="0" w:color="FFFFFF" w:themeColor="background1"/>
              <w:bottom w:val="single" w:sz="4" w:space="0" w:color="6F6652" w:themeColor="accent5"/>
            </w:tcBorders>
            <w:shd w:val="clear" w:color="auto" w:fill="E9E8E5" w:themeFill="background2"/>
          </w:tcPr>
          <w:p w:rsidR="00622BDD" w:rsidRDefault="00622BDD" w:rsidP="00622BDD">
            <w:pPr>
              <w:pStyle w:val="TableDataEntries"/>
              <w:jc w:val="left"/>
              <w:rPr>
                <w:lang w:val="en-GB"/>
              </w:rPr>
            </w:pPr>
            <w:r w:rsidRPr="00E06B6A">
              <w:rPr>
                <w:lang w:val="en-GB"/>
              </w:rPr>
              <w:t>Option 3 (Gold+)</w:t>
            </w:r>
          </w:p>
        </w:tc>
        <w:tc>
          <w:tcPr>
            <w:tcW w:w="1525" w:type="dxa"/>
            <w:tcBorders>
              <w:top w:val="single" w:sz="8" w:space="0" w:color="FFFFFF" w:themeColor="background1"/>
              <w:bottom w:val="single" w:sz="4" w:space="0" w:color="6F6652" w:themeColor="accent5"/>
            </w:tcBorders>
            <w:shd w:val="clear" w:color="auto" w:fill="E9E8E5" w:themeFill="background2"/>
          </w:tcPr>
          <w:p w:rsidR="00622BDD" w:rsidRDefault="00622BDD" w:rsidP="00622BDD">
            <w:pPr>
              <w:pStyle w:val="TableDataEntries"/>
              <w:jc w:val="left"/>
              <w:rPr>
                <w:lang w:val="en-GB"/>
              </w:rPr>
            </w:pPr>
            <w:r>
              <w:rPr>
                <w:lang w:val="en-GB"/>
              </w:rPr>
              <w:t>Apartment</w:t>
            </w:r>
          </w:p>
        </w:tc>
        <w:tc>
          <w:tcPr>
            <w:tcW w:w="2445" w:type="dxa"/>
            <w:tcBorders>
              <w:top w:val="single" w:sz="8" w:space="0" w:color="FFFFFF" w:themeColor="background1"/>
              <w:bottom w:val="single" w:sz="4" w:space="0" w:color="6F6652" w:themeColor="accent5"/>
            </w:tcBorders>
            <w:shd w:val="clear" w:color="auto" w:fill="E9E8E5" w:themeFill="background2"/>
          </w:tcPr>
          <w:p w:rsidR="00622BDD" w:rsidRPr="00135BD9" w:rsidRDefault="00622BDD" w:rsidP="00622BDD">
            <w:pPr>
              <w:pStyle w:val="TableDataEntries"/>
            </w:pPr>
            <w:r>
              <w:t>4.4</w:t>
            </w:r>
          </w:p>
        </w:tc>
        <w:tc>
          <w:tcPr>
            <w:tcW w:w="2444" w:type="dxa"/>
            <w:tcBorders>
              <w:top w:val="single" w:sz="8" w:space="0" w:color="FFFFFF" w:themeColor="background1"/>
              <w:bottom w:val="single" w:sz="4" w:space="0" w:color="6F6652" w:themeColor="accent5"/>
            </w:tcBorders>
            <w:shd w:val="clear" w:color="auto" w:fill="E9E8E5" w:themeFill="background2"/>
          </w:tcPr>
          <w:p w:rsidR="00622BDD" w:rsidRPr="00135BD9" w:rsidRDefault="00622BDD" w:rsidP="00622BDD">
            <w:pPr>
              <w:pStyle w:val="TableDataEntries"/>
            </w:pPr>
            <w:r>
              <w:t>3.6</w:t>
            </w:r>
          </w:p>
        </w:tc>
      </w:tr>
    </w:tbl>
    <w:p w:rsidR="007C6A5F" w:rsidRDefault="007C6A5F" w:rsidP="007C6A5F">
      <w:pPr>
        <w:pStyle w:val="Source"/>
      </w:pPr>
      <w:r>
        <w:rPr>
          <w:i/>
        </w:rPr>
        <w:t>Source</w:t>
      </w:r>
      <w:r w:rsidRPr="00E4232C">
        <w:rPr>
          <w:i/>
        </w:rPr>
        <w:t>:</w:t>
      </w:r>
      <w:r>
        <w:t xml:space="preserve"> CIE estimates.</w:t>
      </w:r>
    </w:p>
    <w:p w:rsidR="007C6A5F" w:rsidRDefault="007C6A5F" w:rsidP="007C6A5F">
      <w:pPr>
        <w:pStyle w:val="Heading4"/>
        <w:numPr>
          <w:ilvl w:val="3"/>
          <w:numId w:val="5"/>
        </w:numPr>
      </w:pPr>
      <w:r>
        <w:t>Valuing the space impacts through the marginal value of land for Class 1a buildings</w:t>
      </w:r>
    </w:p>
    <w:p w:rsidR="007C6A5F" w:rsidRDefault="007C6A5F" w:rsidP="007C6A5F">
      <w:pPr>
        <w:pStyle w:val="BodyText"/>
      </w:pPr>
      <w:r>
        <w:t>One way the additional internal space requirements to comply with the proposed standards could manifest is through a loss of outdoor/garden space. These space impacts can be valued through estimating the marginal value of land. The marginal value of land reflects the willingness to pay for an additional square metre of land.</w:t>
      </w:r>
    </w:p>
    <w:p w:rsidR="007C6A5F" w:rsidRDefault="007C6A5F" w:rsidP="005A6F87">
      <w:pPr>
        <w:pStyle w:val="ListBullet"/>
        <w:numPr>
          <w:ilvl w:val="0"/>
          <w:numId w:val="17"/>
        </w:numPr>
      </w:pPr>
      <w:r>
        <w:t>A recent Reserve Bank of Australia (RBA) Research Discussion Paper estimated the price elasticity of demand for land with respect to lot size in Sydney, Melbourne, Brisbane and Perth. These elasticities can be interpreted as the percentage increase in the sale price of a property for a 1 per cent increase in the size of the lot.</w:t>
      </w:r>
    </w:p>
    <w:p w:rsidR="007C6A5F" w:rsidRDefault="007C6A5F" w:rsidP="005A6F87">
      <w:pPr>
        <w:pStyle w:val="ListBullet"/>
        <w:numPr>
          <w:ilvl w:val="0"/>
          <w:numId w:val="17"/>
        </w:numPr>
      </w:pPr>
      <w:r>
        <w:t>Based on approximate median greenfield lot sizes in capital cities reported in the Urban Development Institute of Australia’s State of the Land 2019 report, a 1 m</w:t>
      </w:r>
      <w:r w:rsidRPr="00467823">
        <w:rPr>
          <w:vertAlign w:val="superscript"/>
        </w:rPr>
        <w:t>2</w:t>
      </w:r>
      <w:r>
        <w:t xml:space="preserve"> increase in the footprint of the building is equivalent to a 0.2 to 0.3 per cent reduction in the median lot size.</w:t>
      </w:r>
    </w:p>
    <w:p w:rsidR="007C6A5F" w:rsidRDefault="007C6A5F" w:rsidP="005A6F87">
      <w:pPr>
        <w:pStyle w:val="ListBullet"/>
        <w:numPr>
          <w:ilvl w:val="0"/>
          <w:numId w:val="17"/>
        </w:numPr>
      </w:pPr>
      <w:r>
        <w:t>This implies a 0.05</w:t>
      </w:r>
      <w:r>
        <w:noBreakHyphen/>
        <w:t>0.06 per cent reduction in property values. Based on the median house prices, this implies a weighted average opportunity cost of land equivalent to around $500 per m</w:t>
      </w:r>
      <w:r w:rsidRPr="00FE5BF7">
        <w:rPr>
          <w:vertAlign w:val="superscript"/>
        </w:rPr>
        <w:t>2</w:t>
      </w:r>
      <w:r>
        <w:t xml:space="preserve"> (table </w:t>
      </w:r>
      <w:r>
        <w:rPr>
          <w:noProof/>
        </w:rPr>
        <w:fldChar w:fldCharType="begin"/>
      </w:r>
      <w:r>
        <w:rPr>
          <w:noProof/>
        </w:rPr>
        <w:instrText xml:space="preserve"> REF _Caption5004 </w:instrText>
      </w:r>
      <w:r>
        <w:rPr>
          <w:noProof/>
        </w:rPr>
        <w:fldChar w:fldCharType="separate"/>
      </w:r>
      <w:r>
        <w:rPr>
          <w:noProof/>
        </w:rPr>
        <w:t>5</w:t>
      </w:r>
      <w:r w:rsidRPr="00695C93">
        <w:rPr>
          <w:noProof/>
        </w:rPr>
        <w:t>.</w:t>
      </w:r>
      <w:r>
        <w:rPr>
          <w:noProof/>
        </w:rPr>
        <w:t>7</w:t>
      </w:r>
      <w:r>
        <w:rPr>
          <w:noProof/>
        </w:rPr>
        <w:fldChar w:fldCharType="end"/>
      </w:r>
      <w:r>
        <w:t>).</w:t>
      </w:r>
    </w:p>
    <w:p w:rsidR="007C6A5F" w:rsidRDefault="007C6A5F" w:rsidP="007C6A5F">
      <w:pPr>
        <w:pStyle w:val="BodyText"/>
      </w:pPr>
      <w:r>
        <w:t>Note that the implied cost per square metre is significantly lower than the average price of land in some cities. The RBA attributes this gap to land use restrictions (such as zoning).</w:t>
      </w:r>
    </w:p>
    <w:p w:rsidR="007C6A5F" w:rsidRDefault="007C6A5F" w:rsidP="007C6A5F">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w:instrText>
      </w:r>
      <w:r w:rsidRPr="00695C93">
        <w:fldChar w:fldCharType="separate"/>
      </w:r>
      <w:r>
        <w:rPr>
          <w:noProof/>
        </w:rPr>
        <w:instrText>5</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w:instrText>
      </w:r>
      <w:r w:rsidR="00F56BFF">
        <w:instrText xml:space="preserve">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5</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7</w:instrText>
      </w:r>
      <w:r w:rsidRPr="00695C93">
        <w:fldChar w:fldCharType="end"/>
      </w:r>
      <w:r w:rsidRPr="00695C93">
        <w:instrText xml:space="preserve">" "" </w:instrText>
      </w:r>
      <w:r w:rsidRPr="00695C93">
        <w:fldChar w:fldCharType="separate"/>
      </w:r>
      <w:bookmarkStart w:id="4530" w:name="_Caption9407"/>
      <w:bookmarkStart w:id="4531" w:name="_Caption9545"/>
      <w:bookmarkStart w:id="4532" w:name="_Caption1293"/>
      <w:bookmarkStart w:id="4533" w:name="_Caption3868"/>
      <w:bookmarkStart w:id="4534" w:name="_Caption4096"/>
      <w:bookmarkStart w:id="4535" w:name="_Caption3955"/>
      <w:bookmarkStart w:id="4536" w:name="_Caption0381"/>
      <w:bookmarkStart w:id="4537" w:name="_Caption2033"/>
      <w:bookmarkStart w:id="4538" w:name="_Caption1874"/>
      <w:bookmarkStart w:id="4539" w:name="_Caption1101"/>
      <w:bookmarkStart w:id="4540" w:name="_Caption5866"/>
      <w:bookmarkStart w:id="4541" w:name="_Caption2576"/>
      <w:bookmarkStart w:id="4542" w:name="_Caption9766"/>
      <w:bookmarkStart w:id="4543" w:name="_Caption4564"/>
      <w:bookmarkStart w:id="4544" w:name="_Caption6719"/>
      <w:bookmarkStart w:id="4545" w:name="_Caption8257"/>
      <w:bookmarkStart w:id="4546" w:name="_Caption3051"/>
      <w:bookmarkStart w:id="4547" w:name="_Caption1526"/>
      <w:bookmarkStart w:id="4548" w:name="_Caption4732"/>
      <w:bookmarkStart w:id="4549" w:name="_Caption8332"/>
      <w:bookmarkStart w:id="4550" w:name="_Caption3436"/>
      <w:bookmarkStart w:id="4551" w:name="_Caption0408"/>
      <w:bookmarkStart w:id="4552" w:name="_Caption6593"/>
      <w:bookmarkStart w:id="4553" w:name="_Caption3480"/>
      <w:bookmarkStart w:id="4554" w:name="_Caption3257"/>
      <w:bookmarkStart w:id="4555" w:name="_Caption0855"/>
      <w:bookmarkStart w:id="4556" w:name="_Caption7153"/>
      <w:bookmarkStart w:id="4557" w:name="_Caption7445"/>
      <w:bookmarkStart w:id="4558" w:name="_Caption3674"/>
      <w:bookmarkStart w:id="4559" w:name="_Caption9161"/>
      <w:bookmarkStart w:id="4560" w:name="_Caption3434"/>
      <w:bookmarkStart w:id="4561" w:name="_Caption8679"/>
      <w:bookmarkStart w:id="4562" w:name="_Caption9743"/>
      <w:bookmarkStart w:id="4563" w:name="_Caption9591"/>
      <w:bookmarkStart w:id="4564" w:name="_Caption2328"/>
      <w:bookmarkStart w:id="4565" w:name="_Caption6172"/>
      <w:bookmarkStart w:id="4566" w:name="_Caption3719"/>
      <w:bookmarkStart w:id="4567" w:name="_Caption9900"/>
      <w:bookmarkStart w:id="4568" w:name="_Caption3502"/>
      <w:bookmarkStart w:id="4569" w:name="_Caption0895"/>
      <w:bookmarkStart w:id="4570" w:name="_Caption7032"/>
      <w:bookmarkStart w:id="4571" w:name="_Caption9027"/>
      <w:bookmarkStart w:id="4572" w:name="_Caption4230"/>
      <w:bookmarkStart w:id="4573" w:name="_Caption5004"/>
      <w:bookmarkStart w:id="4574" w:name="_Caption2341"/>
      <w:bookmarkStart w:id="4575" w:name="_Caption5326"/>
      <w:bookmarkStart w:id="4576" w:name="_Caption3558"/>
      <w:bookmarkStart w:id="4577" w:name="_Caption6722"/>
      <w:bookmarkStart w:id="4578" w:name="_Caption8964"/>
      <w:bookmarkStart w:id="4579" w:name="_Caption0728"/>
      <w:bookmarkStart w:id="4580" w:name="_Caption8296"/>
      <w:bookmarkStart w:id="4581" w:name="_Caption4348"/>
      <w:bookmarkStart w:id="4582" w:name="_Caption0076"/>
      <w:bookmarkStart w:id="4583" w:name="_Caption8183"/>
      <w:bookmarkStart w:id="4584" w:name="_Caption3177"/>
      <w:bookmarkStart w:id="4585" w:name="_Caption6217"/>
      <w:bookmarkStart w:id="4586" w:name="_Caption1444"/>
      <w:bookmarkStart w:id="4587" w:name="_Caption0774"/>
      <w:bookmarkStart w:id="4588" w:name="_Caption0002"/>
      <w:bookmarkStart w:id="4589" w:name="_Caption8871"/>
      <w:bookmarkStart w:id="4590" w:name="_Toc32321829"/>
      <w:bookmarkStart w:id="4591" w:name="_Toc44598527"/>
      <w:bookmarkStart w:id="4592" w:name="_Toc45654158"/>
      <w:r w:rsidR="00272AF3">
        <w:rPr>
          <w:noProof/>
        </w:rPr>
        <w:t>5</w:t>
      </w:r>
      <w:r w:rsidR="00272AF3" w:rsidRPr="00695C93">
        <w:rPr>
          <w:noProof/>
        </w:rPr>
        <w:t>.</w:t>
      </w:r>
      <w:r w:rsidR="00272AF3">
        <w:rPr>
          <w:noProof/>
        </w:rPr>
        <w:t>7</w:t>
      </w:r>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r w:rsidRPr="00695C93">
        <w:fldChar w:fldCharType="end"/>
      </w:r>
      <w:r w:rsidRPr="00695C93">
        <w:tab/>
      </w:r>
      <w:r>
        <w:t>Estimated marginal cost of land</w:t>
      </w:r>
      <w:bookmarkEnd w:id="4590"/>
      <w:bookmarkEnd w:id="4591"/>
      <w:bookmarkEnd w:id="4592"/>
    </w:p>
    <w:tbl>
      <w:tblPr>
        <w:tblStyle w:val="TableGridLight"/>
        <w:tblW w:w="7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5.7"/>
        <w:tblDescription w:val="Estimated marginal cost of land"/>
      </w:tblPr>
      <w:tblGrid>
        <w:gridCol w:w="1769"/>
        <w:gridCol w:w="1028"/>
        <w:gridCol w:w="1028"/>
        <w:gridCol w:w="1029"/>
        <w:gridCol w:w="1028"/>
        <w:gridCol w:w="1029"/>
        <w:gridCol w:w="1028"/>
      </w:tblGrid>
      <w:tr w:rsidR="007C6A5F" w:rsidTr="0084480A">
        <w:trPr>
          <w:trHeight w:val="922"/>
          <w:tblHeader/>
        </w:trPr>
        <w:tc>
          <w:tcPr>
            <w:tcW w:w="1769" w:type="dxa"/>
            <w:shd w:val="clear" w:color="auto" w:fill="6F6652" w:themeFill="accent5"/>
          </w:tcPr>
          <w:p w:rsidR="007C6A5F" w:rsidRDefault="0084480A" w:rsidP="00C36DA4">
            <w:pPr>
              <w:pStyle w:val="TableDataColumnHeading"/>
              <w:jc w:val="left"/>
              <w:rPr>
                <w:lang w:val="en-GB"/>
              </w:rPr>
            </w:pPr>
            <w:r>
              <w:rPr>
                <w:lang w:val="en-GB"/>
              </w:rPr>
              <w:t>City</w:t>
            </w:r>
          </w:p>
        </w:tc>
        <w:tc>
          <w:tcPr>
            <w:tcW w:w="1028" w:type="dxa"/>
            <w:shd w:val="clear" w:color="auto" w:fill="6F6652" w:themeFill="accent5"/>
          </w:tcPr>
          <w:p w:rsidR="007C6A5F" w:rsidRDefault="007C6A5F" w:rsidP="00C36DA4">
            <w:pPr>
              <w:pStyle w:val="TableDataColumnHeading"/>
              <w:rPr>
                <w:lang w:val="en-GB"/>
              </w:rPr>
            </w:pPr>
            <w:r>
              <w:rPr>
                <w:lang w:val="en-GB"/>
              </w:rPr>
              <w:t>Elasticity</w:t>
            </w:r>
          </w:p>
        </w:tc>
        <w:tc>
          <w:tcPr>
            <w:tcW w:w="1028" w:type="dxa"/>
            <w:shd w:val="clear" w:color="auto" w:fill="6F6652" w:themeFill="accent5"/>
          </w:tcPr>
          <w:p w:rsidR="007C6A5F" w:rsidRDefault="007C6A5F" w:rsidP="00C36DA4">
            <w:pPr>
              <w:pStyle w:val="TableDataColumnHeading"/>
              <w:rPr>
                <w:lang w:val="en-GB"/>
              </w:rPr>
            </w:pPr>
            <w:r>
              <w:rPr>
                <w:lang w:val="en-GB"/>
              </w:rPr>
              <w:t xml:space="preserve">Median greenfield lot size </w:t>
            </w:r>
            <w:r w:rsidRPr="00B46BCC">
              <w:rPr>
                <w:rStyle w:val="NoteLabel"/>
                <w:color w:val="FFFFFF" w:themeColor="background1"/>
              </w:rPr>
              <w:t>c</w:t>
            </w:r>
            <w:r w:rsidR="0084480A">
              <w:rPr>
                <w:rStyle w:val="NoteLabel"/>
                <w:color w:val="FFFFFF" w:themeColor="background1"/>
              </w:rPr>
              <w:br/>
            </w:r>
            <w:r w:rsidR="0084480A">
              <w:rPr>
                <w:lang w:val="en-GB"/>
              </w:rPr>
              <w:t>(m</w:t>
            </w:r>
            <w:r w:rsidR="0084480A" w:rsidRPr="0084480A">
              <w:rPr>
                <w:vertAlign w:val="superscript"/>
                <w:lang w:val="en-GB"/>
              </w:rPr>
              <w:t>2</w:t>
            </w:r>
            <w:r w:rsidR="0084480A">
              <w:rPr>
                <w:lang w:val="en-GB"/>
              </w:rPr>
              <w:t>)</w:t>
            </w:r>
          </w:p>
        </w:tc>
        <w:tc>
          <w:tcPr>
            <w:tcW w:w="1029" w:type="dxa"/>
            <w:shd w:val="clear" w:color="auto" w:fill="6F6652" w:themeFill="accent5"/>
          </w:tcPr>
          <w:p w:rsidR="007C6A5F" w:rsidRDefault="007C6A5F" w:rsidP="00C36DA4">
            <w:pPr>
              <w:pStyle w:val="TableDataColumnHeading"/>
              <w:rPr>
                <w:lang w:val="en-GB"/>
              </w:rPr>
            </w:pPr>
            <w:r>
              <w:rPr>
                <w:lang w:val="en-GB"/>
              </w:rPr>
              <w:t>1 m</w:t>
            </w:r>
            <w:r w:rsidRPr="001A5906">
              <w:rPr>
                <w:vertAlign w:val="superscript"/>
                <w:lang w:val="en-GB"/>
              </w:rPr>
              <w:t>2</w:t>
            </w:r>
            <w:r>
              <w:rPr>
                <w:lang w:val="en-GB"/>
              </w:rPr>
              <w:t xml:space="preserve"> reduction in lot size</w:t>
            </w:r>
            <w:r w:rsidR="0084480A">
              <w:rPr>
                <w:lang w:val="en-GB"/>
              </w:rPr>
              <w:br/>
              <w:t>(per cent)</w:t>
            </w:r>
          </w:p>
        </w:tc>
        <w:tc>
          <w:tcPr>
            <w:tcW w:w="1028" w:type="dxa"/>
            <w:shd w:val="clear" w:color="auto" w:fill="6F6652" w:themeFill="accent5"/>
          </w:tcPr>
          <w:p w:rsidR="007C6A5F" w:rsidRDefault="007C6A5F" w:rsidP="00C36DA4">
            <w:pPr>
              <w:pStyle w:val="TableDataColumnHeading"/>
              <w:rPr>
                <w:lang w:val="en-GB"/>
              </w:rPr>
            </w:pPr>
            <w:r>
              <w:rPr>
                <w:lang w:val="en-GB"/>
              </w:rPr>
              <w:t xml:space="preserve">Implied reduction in property value </w:t>
            </w:r>
            <w:r w:rsidRPr="00B46BCC">
              <w:rPr>
                <w:rStyle w:val="NoteLabel"/>
                <w:color w:val="FFFFFF" w:themeColor="background1"/>
              </w:rPr>
              <w:t>e</w:t>
            </w:r>
            <w:r w:rsidR="0084480A">
              <w:rPr>
                <w:rStyle w:val="NoteLabel"/>
                <w:color w:val="FFFFFF" w:themeColor="background1"/>
              </w:rPr>
              <w:br/>
            </w:r>
            <w:r w:rsidR="0084480A">
              <w:rPr>
                <w:lang w:val="en-GB"/>
              </w:rPr>
              <w:t>(per cent)</w:t>
            </w:r>
          </w:p>
        </w:tc>
        <w:tc>
          <w:tcPr>
            <w:tcW w:w="1029" w:type="dxa"/>
            <w:shd w:val="clear" w:color="auto" w:fill="6F6652" w:themeFill="accent5"/>
          </w:tcPr>
          <w:p w:rsidR="007C6A5F" w:rsidRDefault="007C6A5F" w:rsidP="00C36DA4">
            <w:pPr>
              <w:pStyle w:val="TableDataColumnHeading"/>
              <w:rPr>
                <w:lang w:val="en-GB"/>
              </w:rPr>
            </w:pPr>
            <w:r>
              <w:rPr>
                <w:lang w:val="en-GB"/>
              </w:rPr>
              <w:t xml:space="preserve">Median property value </w:t>
            </w:r>
            <w:r w:rsidRPr="00B46BCC">
              <w:rPr>
                <w:rStyle w:val="NoteLabel"/>
                <w:color w:val="FFFFFF" w:themeColor="background1"/>
              </w:rPr>
              <w:t>f</w:t>
            </w:r>
            <w:r w:rsidR="0084480A">
              <w:rPr>
                <w:rStyle w:val="NoteLabel"/>
                <w:color w:val="FFFFFF" w:themeColor="background1"/>
              </w:rPr>
              <w:br/>
            </w:r>
            <w:r w:rsidR="0084480A">
              <w:rPr>
                <w:lang w:val="en-GB"/>
              </w:rPr>
              <w:t>($’000)</w:t>
            </w:r>
          </w:p>
        </w:tc>
        <w:tc>
          <w:tcPr>
            <w:tcW w:w="1028" w:type="dxa"/>
            <w:shd w:val="clear" w:color="auto" w:fill="6F6652" w:themeFill="accent5"/>
          </w:tcPr>
          <w:p w:rsidR="007C6A5F" w:rsidRDefault="007C6A5F" w:rsidP="00C36DA4">
            <w:pPr>
              <w:pStyle w:val="TableDataColumnHeading"/>
              <w:rPr>
                <w:lang w:val="en-GB"/>
              </w:rPr>
            </w:pPr>
            <w:r>
              <w:rPr>
                <w:lang w:val="en-GB"/>
              </w:rPr>
              <w:t>Cost of lost space</w:t>
            </w:r>
            <w:r w:rsidR="0084480A">
              <w:rPr>
                <w:lang w:val="en-GB"/>
              </w:rPr>
              <w:br/>
              <w:t>($ per m</w:t>
            </w:r>
            <w:r w:rsidR="0084480A" w:rsidRPr="0084480A">
              <w:rPr>
                <w:vertAlign w:val="superscript"/>
                <w:lang w:val="en-GB"/>
              </w:rPr>
              <w:t>2</w:t>
            </w:r>
            <w:r w:rsidR="0084480A">
              <w:rPr>
                <w:lang w:val="en-GB"/>
              </w:rPr>
              <w:t>)</w:t>
            </w:r>
          </w:p>
        </w:tc>
      </w:tr>
      <w:tr w:rsidR="007C6A5F" w:rsidTr="00CB02C1">
        <w:trPr>
          <w:trHeight w:val="230"/>
        </w:trPr>
        <w:tc>
          <w:tcPr>
            <w:tcW w:w="176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Sydney</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0.24 </w:t>
            </w:r>
            <w:r w:rsidRPr="00B46BCC">
              <w:rPr>
                <w:rStyle w:val="NoteLabel"/>
                <w:color w:val="000000" w:themeColor="text1"/>
              </w:rPr>
              <w:t>a</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379</w:t>
            </w:r>
          </w:p>
        </w:tc>
        <w:tc>
          <w:tcPr>
            <w:tcW w:w="10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- 0.26</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- 0.06</w:t>
            </w:r>
          </w:p>
        </w:tc>
        <w:tc>
          <w:tcPr>
            <w:tcW w:w="10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1 142.2</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- 723</w:t>
            </w:r>
          </w:p>
        </w:tc>
      </w:tr>
      <w:tr w:rsidR="007C6A5F" w:rsidTr="00CB02C1">
        <w:trPr>
          <w:trHeight w:val="230"/>
        </w:trPr>
        <w:tc>
          <w:tcPr>
            <w:tcW w:w="176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Melbourne</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0.25 </w:t>
            </w:r>
            <w:r w:rsidRPr="00B46BCC">
              <w:rPr>
                <w:rStyle w:val="NoteLabel"/>
                <w:color w:val="000000" w:themeColor="text1"/>
              </w:rPr>
              <w:t>a</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400</w:t>
            </w:r>
          </w:p>
        </w:tc>
        <w:tc>
          <w:tcPr>
            <w:tcW w:w="10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- 0.25</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- 0.06</w:t>
            </w:r>
          </w:p>
        </w:tc>
        <w:tc>
          <w:tcPr>
            <w:tcW w:w="10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902.0</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- 564</w:t>
            </w:r>
          </w:p>
        </w:tc>
      </w:tr>
      <w:tr w:rsidR="007C6A5F" w:rsidTr="00CB02C1">
        <w:trPr>
          <w:trHeight w:val="230"/>
        </w:trPr>
        <w:tc>
          <w:tcPr>
            <w:tcW w:w="176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Brisbane</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0.21 </w:t>
            </w:r>
            <w:r w:rsidRPr="00B46BCC">
              <w:rPr>
                <w:rStyle w:val="NoteLabel"/>
                <w:color w:val="000000" w:themeColor="text1"/>
              </w:rPr>
              <w:t>a</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385</w:t>
            </w:r>
          </w:p>
        </w:tc>
        <w:tc>
          <w:tcPr>
            <w:tcW w:w="10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- 0.26</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- 0.05</w:t>
            </w:r>
          </w:p>
        </w:tc>
        <w:tc>
          <w:tcPr>
            <w:tcW w:w="10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577.7</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- 315</w:t>
            </w:r>
          </w:p>
        </w:tc>
      </w:tr>
      <w:tr w:rsidR="007C6A5F" w:rsidTr="00CB02C1">
        <w:trPr>
          <w:trHeight w:val="230"/>
        </w:trPr>
        <w:tc>
          <w:tcPr>
            <w:tcW w:w="176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Perth</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0.24 </w:t>
            </w:r>
            <w:r w:rsidRPr="00B46BCC">
              <w:rPr>
                <w:rStyle w:val="NoteLabel"/>
                <w:color w:val="000000" w:themeColor="text1"/>
              </w:rPr>
              <w:t>a</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375</w:t>
            </w:r>
          </w:p>
        </w:tc>
        <w:tc>
          <w:tcPr>
            <w:tcW w:w="10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- 0.27</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- 0.06</w:t>
            </w:r>
          </w:p>
        </w:tc>
        <w:tc>
          <w:tcPr>
            <w:tcW w:w="10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537.0</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- 344</w:t>
            </w:r>
          </w:p>
        </w:tc>
      </w:tr>
      <w:tr w:rsidR="007C6A5F" w:rsidTr="00CB02C1">
        <w:trPr>
          <w:trHeight w:val="230"/>
        </w:trPr>
        <w:tc>
          <w:tcPr>
            <w:tcW w:w="176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Adelaide</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0.24 </w:t>
            </w:r>
            <w:r w:rsidRPr="00B46BCC">
              <w:rPr>
                <w:rStyle w:val="NoteLabel"/>
                <w:color w:val="000000" w:themeColor="text1"/>
              </w:rPr>
              <w:t>b</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425</w:t>
            </w:r>
          </w:p>
        </w:tc>
        <w:tc>
          <w:tcPr>
            <w:tcW w:w="10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- 0.24</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- 0.06</w:t>
            </w:r>
          </w:p>
        </w:tc>
        <w:tc>
          <w:tcPr>
            <w:tcW w:w="10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542.9</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- 300</w:t>
            </w:r>
          </w:p>
        </w:tc>
      </w:tr>
      <w:tr w:rsidR="007C6A5F" w:rsidTr="00CB02C1">
        <w:trPr>
          <w:trHeight w:val="230"/>
        </w:trPr>
        <w:tc>
          <w:tcPr>
            <w:tcW w:w="176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Hobart</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0.24 </w:t>
            </w:r>
            <w:r w:rsidRPr="00B46BCC">
              <w:rPr>
                <w:rStyle w:val="NoteLabel"/>
                <w:color w:val="000000" w:themeColor="text1"/>
              </w:rPr>
              <w:t>b</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507</w:t>
            </w:r>
          </w:p>
        </w:tc>
        <w:tc>
          <w:tcPr>
            <w:tcW w:w="10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- 0.20 </w:t>
            </w:r>
            <w:r w:rsidRPr="00B46BCC">
              <w:rPr>
                <w:rStyle w:val="NoteLabel"/>
                <w:color w:val="000000" w:themeColor="text1"/>
              </w:rPr>
              <w:t>d</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- 0.05</w:t>
            </w:r>
          </w:p>
        </w:tc>
        <w:tc>
          <w:tcPr>
            <w:tcW w:w="10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530.6</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- 246</w:t>
            </w:r>
          </w:p>
        </w:tc>
      </w:tr>
      <w:tr w:rsidR="007C6A5F" w:rsidTr="00CB02C1">
        <w:trPr>
          <w:trHeight w:val="230"/>
        </w:trPr>
        <w:tc>
          <w:tcPr>
            <w:tcW w:w="176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Canberra</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0.24 </w:t>
            </w:r>
            <w:r w:rsidRPr="00B46BCC">
              <w:rPr>
                <w:rStyle w:val="NoteLabel"/>
                <w:color w:val="000000" w:themeColor="text1"/>
              </w:rPr>
              <w:t>b</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507</w:t>
            </w:r>
          </w:p>
        </w:tc>
        <w:tc>
          <w:tcPr>
            <w:tcW w:w="10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- 0.20</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- 0.05</w:t>
            </w:r>
          </w:p>
        </w:tc>
        <w:tc>
          <w:tcPr>
            <w:tcW w:w="10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788.6</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- 366</w:t>
            </w:r>
          </w:p>
        </w:tc>
      </w:tr>
      <w:tr w:rsidR="007C6A5F" w:rsidTr="00B5160B">
        <w:trPr>
          <w:trHeight w:val="230"/>
        </w:trPr>
        <w:tc>
          <w:tcPr>
            <w:tcW w:w="176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Darwin</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0.24 </w:t>
            </w:r>
            <w:r w:rsidRPr="00B46BCC">
              <w:rPr>
                <w:rStyle w:val="NoteLabel"/>
                <w:color w:val="000000" w:themeColor="text1"/>
              </w:rPr>
              <w:t>b</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507</w:t>
            </w:r>
          </w:p>
        </w:tc>
        <w:tc>
          <w:tcPr>
            <w:tcW w:w="10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- 0.20 </w:t>
            </w:r>
            <w:r w:rsidRPr="00B46BCC">
              <w:rPr>
                <w:rStyle w:val="NoteLabel"/>
                <w:color w:val="000000" w:themeColor="text1"/>
              </w:rPr>
              <w:t>d</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- 0.05</w:t>
            </w:r>
          </w:p>
        </w:tc>
        <w:tc>
          <w:tcPr>
            <w:tcW w:w="102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509.5</w:t>
            </w:r>
          </w:p>
        </w:tc>
        <w:tc>
          <w:tcPr>
            <w:tcW w:w="10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- 236</w:t>
            </w:r>
          </w:p>
        </w:tc>
      </w:tr>
      <w:tr w:rsidR="007C6A5F" w:rsidRPr="00964CCC" w:rsidTr="00B5160B">
        <w:trPr>
          <w:trHeight w:val="230"/>
        </w:trPr>
        <w:tc>
          <w:tcPr>
            <w:tcW w:w="1769" w:type="dxa"/>
            <w:tcBorders>
              <w:top w:val="single" w:sz="8" w:space="0" w:color="FFFFFF" w:themeColor="background1"/>
              <w:bottom w:val="single" w:sz="4" w:space="0" w:color="6F6652" w:themeColor="accent5"/>
            </w:tcBorders>
            <w:shd w:val="clear" w:color="auto" w:fill="C2DADB" w:themeFill="accent6" w:themeFillTint="99"/>
          </w:tcPr>
          <w:p w:rsidR="007C6A5F" w:rsidRPr="00964CCC" w:rsidRDefault="007C6A5F" w:rsidP="00C36DA4">
            <w:pPr>
              <w:pStyle w:val="TableDataEntries"/>
              <w:jc w:val="left"/>
              <w:rPr>
                <w:rFonts w:ascii="Franklin Gothic Demi" w:hAnsi="Franklin Gothic Demi"/>
                <w:lang w:val="en-GB"/>
              </w:rPr>
            </w:pPr>
            <w:r w:rsidRPr="00964CCC">
              <w:rPr>
                <w:rFonts w:ascii="Franklin Gothic Demi" w:hAnsi="Franklin Gothic Demi"/>
                <w:lang w:val="en-GB"/>
              </w:rPr>
              <w:t>Weighted average</w:t>
            </w:r>
          </w:p>
        </w:tc>
        <w:tc>
          <w:tcPr>
            <w:tcW w:w="1028" w:type="dxa"/>
            <w:tcBorders>
              <w:top w:val="single" w:sz="8" w:space="0" w:color="FFFFFF" w:themeColor="background1"/>
              <w:bottom w:val="single" w:sz="4" w:space="0" w:color="6F6652" w:themeColor="accent5"/>
            </w:tcBorders>
            <w:shd w:val="clear" w:color="auto" w:fill="C2DADB" w:themeFill="accent6" w:themeFillTint="99"/>
          </w:tcPr>
          <w:p w:rsidR="007C6A5F" w:rsidRPr="00964CCC" w:rsidRDefault="007C6A5F" w:rsidP="00C36DA4">
            <w:pPr>
              <w:pStyle w:val="TableDataEntries"/>
              <w:rPr>
                <w:rFonts w:ascii="Franklin Gothic Demi" w:hAnsi="Franklin Gothic Demi"/>
                <w:lang w:val="en-GB"/>
              </w:rPr>
            </w:pPr>
          </w:p>
        </w:tc>
        <w:tc>
          <w:tcPr>
            <w:tcW w:w="1028" w:type="dxa"/>
            <w:tcBorders>
              <w:top w:val="single" w:sz="8" w:space="0" w:color="FFFFFF" w:themeColor="background1"/>
              <w:bottom w:val="single" w:sz="4" w:space="0" w:color="6F6652" w:themeColor="accent5"/>
            </w:tcBorders>
            <w:shd w:val="clear" w:color="auto" w:fill="C2DADB" w:themeFill="accent6" w:themeFillTint="99"/>
          </w:tcPr>
          <w:p w:rsidR="007C6A5F" w:rsidRPr="00964CCC" w:rsidRDefault="007C6A5F" w:rsidP="00C36DA4">
            <w:pPr>
              <w:pStyle w:val="TableDataEntries"/>
              <w:rPr>
                <w:rFonts w:ascii="Franklin Gothic Demi" w:hAnsi="Franklin Gothic Demi"/>
                <w:lang w:val="en-GB"/>
              </w:rPr>
            </w:pPr>
          </w:p>
        </w:tc>
        <w:tc>
          <w:tcPr>
            <w:tcW w:w="1029" w:type="dxa"/>
            <w:tcBorders>
              <w:top w:val="single" w:sz="8" w:space="0" w:color="FFFFFF" w:themeColor="background1"/>
              <w:bottom w:val="single" w:sz="4" w:space="0" w:color="6F6652" w:themeColor="accent5"/>
            </w:tcBorders>
            <w:shd w:val="clear" w:color="auto" w:fill="C2DADB" w:themeFill="accent6" w:themeFillTint="99"/>
          </w:tcPr>
          <w:p w:rsidR="007C6A5F" w:rsidRPr="00964CCC" w:rsidRDefault="007C6A5F" w:rsidP="00C36DA4">
            <w:pPr>
              <w:pStyle w:val="TableDataEntries"/>
              <w:rPr>
                <w:rFonts w:ascii="Franklin Gothic Demi" w:hAnsi="Franklin Gothic Demi"/>
                <w:lang w:val="en-GB"/>
              </w:rPr>
            </w:pPr>
          </w:p>
        </w:tc>
        <w:tc>
          <w:tcPr>
            <w:tcW w:w="1028" w:type="dxa"/>
            <w:tcBorders>
              <w:top w:val="single" w:sz="8" w:space="0" w:color="FFFFFF" w:themeColor="background1"/>
              <w:bottom w:val="single" w:sz="4" w:space="0" w:color="6F6652" w:themeColor="accent5"/>
            </w:tcBorders>
            <w:shd w:val="clear" w:color="auto" w:fill="C2DADB" w:themeFill="accent6" w:themeFillTint="99"/>
          </w:tcPr>
          <w:p w:rsidR="007C6A5F" w:rsidRPr="00964CCC" w:rsidRDefault="007C6A5F" w:rsidP="00C36DA4">
            <w:pPr>
              <w:pStyle w:val="TableDataEntries"/>
              <w:rPr>
                <w:rFonts w:ascii="Franklin Gothic Demi" w:hAnsi="Franklin Gothic Demi"/>
                <w:lang w:val="en-GB"/>
              </w:rPr>
            </w:pPr>
          </w:p>
        </w:tc>
        <w:tc>
          <w:tcPr>
            <w:tcW w:w="1029" w:type="dxa"/>
            <w:tcBorders>
              <w:top w:val="single" w:sz="8" w:space="0" w:color="FFFFFF" w:themeColor="background1"/>
              <w:bottom w:val="single" w:sz="4" w:space="0" w:color="6F6652" w:themeColor="accent5"/>
            </w:tcBorders>
            <w:shd w:val="clear" w:color="auto" w:fill="C2DADB" w:themeFill="accent6" w:themeFillTint="99"/>
          </w:tcPr>
          <w:p w:rsidR="007C6A5F" w:rsidRPr="00964CCC" w:rsidRDefault="007C6A5F" w:rsidP="00C36DA4">
            <w:pPr>
              <w:pStyle w:val="TableDataEntries"/>
              <w:rPr>
                <w:rFonts w:ascii="Franklin Gothic Demi" w:hAnsi="Franklin Gothic Demi"/>
                <w:lang w:val="en-GB"/>
              </w:rPr>
            </w:pPr>
          </w:p>
        </w:tc>
        <w:tc>
          <w:tcPr>
            <w:tcW w:w="1028" w:type="dxa"/>
            <w:tcBorders>
              <w:top w:val="single" w:sz="8" w:space="0" w:color="FFFFFF" w:themeColor="background1"/>
              <w:bottom w:val="single" w:sz="4" w:space="0" w:color="6F6652" w:themeColor="accent5"/>
            </w:tcBorders>
            <w:shd w:val="clear" w:color="auto" w:fill="C2DADB" w:themeFill="accent6" w:themeFillTint="99"/>
          </w:tcPr>
          <w:p w:rsidR="007C6A5F" w:rsidRPr="00964CCC" w:rsidRDefault="007C6A5F" w:rsidP="00C36DA4">
            <w:pPr>
              <w:pStyle w:val="TableDataEntries"/>
              <w:rPr>
                <w:rFonts w:ascii="Franklin Gothic Demi" w:hAnsi="Franklin Gothic Demi"/>
                <w:lang w:val="en-GB"/>
              </w:rPr>
            </w:pPr>
            <w:r w:rsidRPr="00964CCC">
              <w:rPr>
                <w:rFonts w:ascii="Franklin Gothic Demi" w:hAnsi="Franklin Gothic Demi"/>
                <w:lang w:val="en-GB"/>
              </w:rPr>
              <w:t>- 506</w:t>
            </w:r>
          </w:p>
        </w:tc>
      </w:tr>
    </w:tbl>
    <w:p w:rsidR="007C6A5F" w:rsidRPr="00E4232C" w:rsidRDefault="007C6A5F" w:rsidP="007C6A5F">
      <w:pPr>
        <w:pStyle w:val="Note"/>
      </w:pPr>
      <w:r w:rsidRPr="00B46BCC">
        <w:rPr>
          <w:rStyle w:val="NoteLabel"/>
          <w:color w:val="000000" w:themeColor="text1"/>
        </w:rPr>
        <w:t>a</w:t>
      </w:r>
      <w:r>
        <w:t xml:space="preserve"> From ‘Large Equation’ reported in Kendall and Tulip (2018, p. 9). </w:t>
      </w:r>
      <w:r w:rsidRPr="00B46BCC">
        <w:rPr>
          <w:rStyle w:val="NoteLabel"/>
          <w:color w:val="000000" w:themeColor="text1"/>
        </w:rPr>
        <w:t>b</w:t>
      </w:r>
      <w:r>
        <w:t xml:space="preserve"> As Kendall and Tulip (2019) estimated the elasticities for Sydney, Melbourne, Brisbane and Perth only, the elasticities for the other cities were based on the average across Sydney, Melbourne, Brisbane and Perth. </w:t>
      </w:r>
      <w:r w:rsidRPr="00B46BCC">
        <w:rPr>
          <w:rStyle w:val="NoteLabel"/>
          <w:color w:val="000000" w:themeColor="text1"/>
        </w:rPr>
        <w:t>c</w:t>
      </w:r>
      <w:r>
        <w:t xml:space="preserve"> Approximate values taken from UDIA (2019, pp. 14</w:t>
      </w:r>
      <w:r>
        <w:noBreakHyphen/>
        <w:t xml:space="preserve">15). </w:t>
      </w:r>
      <w:r w:rsidRPr="00B46BCC">
        <w:rPr>
          <w:rStyle w:val="NoteLabel"/>
          <w:color w:val="000000" w:themeColor="text1"/>
        </w:rPr>
        <w:t>d</w:t>
      </w:r>
      <w:r>
        <w:t xml:space="preserve"> Median lot sizes were not reported for Darwin or Hobart. We assumed median lot sizes would be similar to Canberra. </w:t>
      </w:r>
      <w:r w:rsidRPr="00B46BCC">
        <w:rPr>
          <w:rStyle w:val="NoteLabel"/>
          <w:color w:val="000000" w:themeColor="text1"/>
        </w:rPr>
        <w:t>e</w:t>
      </w:r>
      <w:r>
        <w:t xml:space="preserve"> Reduction in lot size multiplied by the elasticity. </w:t>
      </w:r>
      <w:r w:rsidRPr="00B46BCC">
        <w:rPr>
          <w:rStyle w:val="NoteLabel"/>
          <w:color w:val="000000" w:themeColor="text1"/>
        </w:rPr>
        <w:t>f</w:t>
      </w:r>
      <w:r>
        <w:t xml:space="preserve"> From Domain House Price Report — December 2019, </w:t>
      </w:r>
      <w:hyperlink r:id="rId34" w:anchor="sydney" w:history="1">
        <w:r>
          <w:rPr>
            <w:rStyle w:val="Hyperlink"/>
          </w:rPr>
          <w:t>https://www.domain.com.au/research/house-price-report/december-2019/#sydney</w:t>
        </w:r>
      </w:hyperlink>
      <w:r>
        <w:t>, accessed 29 January 2020.</w:t>
      </w:r>
    </w:p>
    <w:p w:rsidR="007C6A5F" w:rsidRDefault="007C6A5F" w:rsidP="007C6A5F">
      <w:pPr>
        <w:pStyle w:val="Source"/>
      </w:pPr>
      <w:r>
        <w:rPr>
          <w:i/>
        </w:rPr>
        <w:t>Source</w:t>
      </w:r>
      <w:r w:rsidRPr="00E4232C">
        <w:rPr>
          <w:i/>
        </w:rPr>
        <w:t>:</w:t>
      </w:r>
      <w:r>
        <w:t xml:space="preserve"> Kendall, R. and Tulip, P. The Effect of Zoning on Housing Prices, Reserve Bank of Australia Research Discussion Paper RDP 2018</w:t>
      </w:r>
      <w:r>
        <w:noBreakHyphen/>
        <w:t>03, March 2018, p. 9; Urban Development Institute of Australia, State of the Land 2019, National Residential Greenfield and Apartment Market Study, pp. 14</w:t>
      </w:r>
      <w:r>
        <w:noBreakHyphen/>
        <w:t>15.</w:t>
      </w:r>
    </w:p>
    <w:p w:rsidR="007C6A5F" w:rsidRDefault="007C6A5F" w:rsidP="007C6A5F">
      <w:pPr>
        <w:pStyle w:val="BodyText"/>
      </w:pPr>
      <w:r>
        <w:t>As noted above, rather than expanding the building’s footprint, the additional space requirements for functional space could be accommodated within the existing building footprint through reducing the size of living areas or bedrooms. This is an effective loss of internal space.</w:t>
      </w:r>
    </w:p>
    <w:p w:rsidR="007C6A5F" w:rsidRDefault="007C6A5F" w:rsidP="007C6A5F">
      <w:pPr>
        <w:pStyle w:val="BodyText"/>
      </w:pPr>
      <w:r>
        <w:t>Some stakeholders argued that the loss of internal floor space can be overcome through better design. That is, the loss of amenity associated with a loss of internal floor space in living areas can be minimised through better design. Although this is a reasonable argument, we consider it unlikely that these amenity costs can be completely ‘designed away’. In our view, the loss of space is a real cost that should be included in the CBA.</w:t>
      </w:r>
    </w:p>
    <w:p w:rsidR="007C6A5F" w:rsidRDefault="007C6A5F" w:rsidP="007C6A5F">
      <w:pPr>
        <w:pStyle w:val="BodyText"/>
      </w:pPr>
      <w:r>
        <w:t>We argue that it is reasonable to infer that the costs associated with an effective loss of internal space would be of a similar magnitude to the increase in construction costs and the loss of garden space in the scenario where the building footprint expands.</w:t>
      </w:r>
    </w:p>
    <w:p w:rsidR="007C6A5F" w:rsidRDefault="007C6A5F" w:rsidP="005A6F87">
      <w:pPr>
        <w:pStyle w:val="ListBullet"/>
        <w:numPr>
          <w:ilvl w:val="0"/>
          <w:numId w:val="17"/>
        </w:numPr>
      </w:pPr>
      <w:r>
        <w:t>The footprint of the building relative to the size of the lot is effectively a trade</w:t>
      </w:r>
      <w:r>
        <w:noBreakHyphen/>
        <w:t>off between indoor and outdoor space. Subject to planning constraints (such as setback requirements) we would expect that an owner would choose a building footprint to the point where the marginal benefit of additional internal floor space (i.e. the additional value from the last square metre of floor space) is equal to the marginal cost (the marginal cost of additional floor space is the associated construction costs plus the value placed on the loss of outdoor space).</w:t>
      </w:r>
    </w:p>
    <w:p w:rsidR="007C6A5F" w:rsidRDefault="007C6A5F" w:rsidP="005A6F87">
      <w:pPr>
        <w:pStyle w:val="ListBullet"/>
        <w:numPr>
          <w:ilvl w:val="0"/>
          <w:numId w:val="17"/>
        </w:numPr>
      </w:pPr>
      <w:r>
        <w:t>If the marginal cost of the last square metre of internal floor space (i.e. construction costs plus the loss of external space) was much higher than the marginal benefit of that last square metre of internal floor space, this implies that the building owner could have made themselves better off by reducing the size of their house.</w:t>
      </w:r>
    </w:p>
    <w:p w:rsidR="007C6A5F" w:rsidRDefault="007C6A5F" w:rsidP="005A6F87">
      <w:pPr>
        <w:pStyle w:val="ListBullet"/>
        <w:numPr>
          <w:ilvl w:val="0"/>
          <w:numId w:val="17"/>
        </w:numPr>
      </w:pPr>
      <w:r>
        <w:lastRenderedPageBreak/>
        <w:t>This implies that if the balance between internal and external space is optimised under the baseline (i.e. under status quo requirements), the total cost of expanding the building’s footprint to meet the proposed standards would be similar to the loss of amenity associated with smaller living spaces.</w:t>
      </w:r>
    </w:p>
    <w:p w:rsidR="007C6A5F" w:rsidRDefault="007C6A5F" w:rsidP="007C6A5F">
      <w:pPr>
        <w:pStyle w:val="KeyPoint"/>
      </w:pPr>
      <w:r>
        <w:t>The additional construction costs plus the value of land in the scenario where the building footprint expands is likely to be a reasonable indicator of costs, regardless of whether the building footprint expands or additional space requirements are absorbed internally.</w:t>
      </w:r>
    </w:p>
    <w:p w:rsidR="007C6A5F" w:rsidRDefault="007C6A5F" w:rsidP="007C6A5F">
      <w:pPr>
        <w:pStyle w:val="Heading4"/>
        <w:numPr>
          <w:ilvl w:val="3"/>
          <w:numId w:val="5"/>
        </w:numPr>
      </w:pPr>
      <w:r>
        <w:t>Valuing the loss of living space in apartments</w:t>
      </w:r>
    </w:p>
    <w:p w:rsidR="007C6A5F" w:rsidRDefault="007C6A5F" w:rsidP="007C6A5F">
      <w:pPr>
        <w:pStyle w:val="BodyText"/>
      </w:pPr>
      <w:r>
        <w:t>For apartments, it is likely that the footprint of the building would occupy as much of the lot as is permitted by planning restrictions. Consequently, there is likely to be little scope to expand the overall footprint of the building, implying that additional space requirements for functional spaces (bedrooms, kitchen and bathrooms) would come at the expense of living space.</w:t>
      </w:r>
    </w:p>
    <w:p w:rsidR="007C6A5F" w:rsidRPr="00F36A14" w:rsidRDefault="007C6A5F" w:rsidP="007C6A5F">
      <w:pPr>
        <w:pStyle w:val="BodyText"/>
      </w:pPr>
      <w:r w:rsidRPr="00317781">
        <w:t xml:space="preserve">One way to value the loss of living space in apartments is to treat it as an effective reduction is the size of the apartment (assuming that the initial balance between living and functional spaces is optimised under the baseline scenario). </w:t>
      </w:r>
      <w:r w:rsidRPr="00F36A14">
        <w:t>Based on current apartment prices and estimated on the average size of a new apartment, we estimate that the weighted average price per square metre (weighted by apartment completions) is around $4 500</w:t>
      </w:r>
      <w:r w:rsidRPr="00317781">
        <w:t xml:space="preserve"> (table </w:t>
      </w:r>
      <w:r w:rsidRPr="00317781">
        <w:rPr>
          <w:noProof/>
        </w:rPr>
        <w:fldChar w:fldCharType="begin"/>
      </w:r>
      <w:r w:rsidRPr="00317781">
        <w:rPr>
          <w:noProof/>
        </w:rPr>
        <w:instrText xml:space="preserve"> REF _Caption7944 </w:instrText>
      </w:r>
      <w:r w:rsidRPr="001A242A">
        <w:rPr>
          <w:noProof/>
        </w:rPr>
        <w:instrText xml:space="preserve"> \* MERGEFORMAT </w:instrText>
      </w:r>
      <w:r w:rsidRPr="00317781">
        <w:rPr>
          <w:noProof/>
        </w:rPr>
        <w:fldChar w:fldCharType="separate"/>
      </w:r>
      <w:r>
        <w:rPr>
          <w:noProof/>
        </w:rPr>
        <w:t>5</w:t>
      </w:r>
      <w:r w:rsidRPr="00695C93">
        <w:rPr>
          <w:noProof/>
        </w:rPr>
        <w:t>.</w:t>
      </w:r>
      <w:r>
        <w:rPr>
          <w:noProof/>
        </w:rPr>
        <w:t>8</w:t>
      </w:r>
      <w:r w:rsidRPr="00317781">
        <w:rPr>
          <w:noProof/>
        </w:rPr>
        <w:fldChar w:fldCharType="end"/>
      </w:r>
      <w:r w:rsidRPr="00317781">
        <w:t xml:space="preserve">). </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w:instrText>
      </w:r>
      <w:r w:rsidRPr="00695C93">
        <w:fldChar w:fldCharType="separate"/>
      </w:r>
      <w:r>
        <w:rPr>
          <w:noProof/>
        </w:rPr>
        <w:instrText>5</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5</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8</w:instrText>
      </w:r>
      <w:r w:rsidRPr="00695C93">
        <w:fldChar w:fldCharType="end"/>
      </w:r>
      <w:r w:rsidRPr="00695C93">
        <w:instrText xml:space="preserve">" "" </w:instrText>
      </w:r>
      <w:r w:rsidRPr="00695C93">
        <w:fldChar w:fldCharType="separate"/>
      </w:r>
      <w:bookmarkStart w:id="4593" w:name="_Caption6278"/>
      <w:bookmarkStart w:id="4594" w:name="_Caption8289"/>
      <w:bookmarkStart w:id="4595" w:name="_Caption6310"/>
      <w:bookmarkStart w:id="4596" w:name="_Caption9648"/>
      <w:bookmarkStart w:id="4597" w:name="_Caption5669"/>
      <w:bookmarkStart w:id="4598" w:name="_Caption6865"/>
      <w:bookmarkStart w:id="4599" w:name="_Caption5988"/>
      <w:bookmarkStart w:id="4600" w:name="_Caption6182"/>
      <w:bookmarkStart w:id="4601" w:name="_Caption2592"/>
      <w:bookmarkStart w:id="4602" w:name="_Caption4546"/>
      <w:bookmarkStart w:id="4603" w:name="_Caption3928"/>
      <w:bookmarkStart w:id="4604" w:name="_Caption9501"/>
      <w:bookmarkStart w:id="4605" w:name="_Caption2329"/>
      <w:bookmarkStart w:id="4606" w:name="_Caption8943"/>
      <w:bookmarkStart w:id="4607" w:name="_Caption4516"/>
      <w:bookmarkStart w:id="4608" w:name="_Caption6021"/>
      <w:bookmarkStart w:id="4609" w:name="_Caption2616"/>
      <w:bookmarkStart w:id="4610" w:name="_Caption1570"/>
      <w:bookmarkStart w:id="4611" w:name="_Caption3337"/>
      <w:bookmarkStart w:id="4612" w:name="_Caption0362"/>
      <w:bookmarkStart w:id="4613" w:name="_Caption6357"/>
      <w:bookmarkStart w:id="4614" w:name="_Caption9495"/>
      <w:bookmarkStart w:id="4615" w:name="_Caption5878"/>
      <w:bookmarkStart w:id="4616" w:name="_Caption2258"/>
      <w:bookmarkStart w:id="4617" w:name="_Caption8748"/>
      <w:bookmarkStart w:id="4618" w:name="_Caption3854"/>
      <w:bookmarkStart w:id="4619" w:name="_Caption7391"/>
      <w:bookmarkStart w:id="4620" w:name="_Caption7944"/>
      <w:bookmarkStart w:id="4621" w:name="_Caption8668"/>
      <w:bookmarkStart w:id="4622" w:name="_Caption4147"/>
      <w:bookmarkStart w:id="4623" w:name="_Caption9017"/>
      <w:bookmarkStart w:id="4624" w:name="_Caption0450"/>
      <w:bookmarkStart w:id="4625" w:name="_Caption1266"/>
      <w:bookmarkStart w:id="4626" w:name="_Caption6470"/>
      <w:bookmarkStart w:id="4627" w:name="_Caption2561"/>
      <w:bookmarkStart w:id="4628" w:name="_Caption4392"/>
      <w:bookmarkStart w:id="4629" w:name="_Caption8796"/>
      <w:bookmarkStart w:id="4630" w:name="_Caption5191"/>
      <w:bookmarkStart w:id="4631" w:name="_Caption1400"/>
      <w:bookmarkStart w:id="4632" w:name="_Caption3359"/>
      <w:bookmarkStart w:id="4633" w:name="_Caption3259"/>
      <w:bookmarkStart w:id="4634" w:name="_Caption5392"/>
      <w:bookmarkStart w:id="4635" w:name="_Caption5493"/>
      <w:bookmarkStart w:id="4636" w:name="_Caption7501"/>
      <w:bookmarkStart w:id="4637" w:name="_Caption5834"/>
      <w:bookmarkStart w:id="4638" w:name="_Caption7128"/>
      <w:bookmarkStart w:id="4639" w:name="_Caption3211"/>
      <w:bookmarkStart w:id="4640" w:name="_Caption9687"/>
      <w:bookmarkStart w:id="4641" w:name="_Caption2411"/>
      <w:bookmarkStart w:id="4642" w:name="_Caption1372"/>
      <w:bookmarkStart w:id="4643" w:name="_Caption5838"/>
      <w:bookmarkStart w:id="4644" w:name="_Caption8265"/>
      <w:bookmarkStart w:id="4645" w:name="_Caption7050"/>
      <w:bookmarkStart w:id="4646" w:name="_Caption8299"/>
      <w:bookmarkStart w:id="4647" w:name="_Caption2596"/>
      <w:bookmarkStart w:id="4648" w:name="_Caption7189"/>
      <w:bookmarkStart w:id="4649" w:name="_Caption7328"/>
      <w:bookmarkStart w:id="4650" w:name="_Caption0765"/>
      <w:bookmarkStart w:id="4651" w:name="_Caption3296"/>
      <w:bookmarkStart w:id="4652" w:name="_Caption6509"/>
      <w:bookmarkStart w:id="4653" w:name="_Caption2574"/>
      <w:bookmarkStart w:id="4654" w:name="_Caption3681"/>
      <w:bookmarkStart w:id="4655" w:name="_Caption8182"/>
      <w:bookmarkStart w:id="4656" w:name="_Caption2302"/>
      <w:bookmarkStart w:id="4657" w:name="_Caption4120"/>
      <w:bookmarkStart w:id="4658" w:name="_Caption3246"/>
      <w:bookmarkStart w:id="4659" w:name="_Caption7019"/>
      <w:bookmarkStart w:id="4660" w:name="_Caption9471"/>
      <w:bookmarkStart w:id="4661" w:name="_Caption5856"/>
      <w:bookmarkStart w:id="4662" w:name="_Caption9912"/>
      <w:bookmarkStart w:id="4663" w:name="_Caption0769"/>
      <w:bookmarkStart w:id="4664" w:name="_Caption9225"/>
      <w:bookmarkStart w:id="4665" w:name="_Caption3268"/>
      <w:bookmarkStart w:id="4666" w:name="_Toc32321830"/>
      <w:bookmarkStart w:id="4667" w:name="_Toc44598528"/>
      <w:bookmarkStart w:id="4668" w:name="_Toc45654159"/>
      <w:r w:rsidR="00272AF3">
        <w:rPr>
          <w:noProof/>
        </w:rPr>
        <w:t>5</w:t>
      </w:r>
      <w:r w:rsidR="00272AF3" w:rsidRPr="00695C93">
        <w:rPr>
          <w:noProof/>
        </w:rPr>
        <w:t>.</w:t>
      </w:r>
      <w:r w:rsidR="00272AF3">
        <w:rPr>
          <w:noProof/>
        </w:rPr>
        <w:t>8</w:t>
      </w:r>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r w:rsidRPr="00695C93">
        <w:fldChar w:fldCharType="end"/>
      </w:r>
      <w:r w:rsidRPr="00695C93">
        <w:tab/>
      </w:r>
      <w:r>
        <w:t xml:space="preserve">Average price per square metre </w:t>
      </w:r>
      <w:r>
        <w:noBreakHyphen/>
        <w:t xml:space="preserve"> apartments</w:t>
      </w:r>
      <w:bookmarkEnd w:id="4666"/>
      <w:bookmarkEnd w:id="4667"/>
      <w:bookmarkEnd w:id="4668"/>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5.8"/>
        <w:tblDescription w:val="Average price per square metre   apartments"/>
      </w:tblPr>
      <w:tblGrid>
        <w:gridCol w:w="1701"/>
        <w:gridCol w:w="1985"/>
        <w:gridCol w:w="1984"/>
        <w:gridCol w:w="2268"/>
      </w:tblGrid>
      <w:tr w:rsidR="007C6A5F" w:rsidTr="009D41EB">
        <w:trPr>
          <w:trHeight w:val="409"/>
          <w:tblHeader/>
        </w:trPr>
        <w:tc>
          <w:tcPr>
            <w:tcW w:w="1701" w:type="dxa"/>
            <w:shd w:val="clear" w:color="auto" w:fill="6F6652" w:themeFill="accent5"/>
          </w:tcPr>
          <w:p w:rsidR="007C6A5F" w:rsidRDefault="009D41EB" w:rsidP="00C36DA4">
            <w:pPr>
              <w:pStyle w:val="TableDataColumnHeading"/>
              <w:jc w:val="left"/>
              <w:rPr>
                <w:lang w:val="en-GB"/>
              </w:rPr>
            </w:pPr>
            <w:r>
              <w:rPr>
                <w:lang w:val="en-GB"/>
              </w:rPr>
              <w:t>City</w:t>
            </w:r>
          </w:p>
        </w:tc>
        <w:tc>
          <w:tcPr>
            <w:tcW w:w="1985" w:type="dxa"/>
            <w:shd w:val="clear" w:color="auto" w:fill="6F6652" w:themeFill="accent5"/>
          </w:tcPr>
          <w:p w:rsidR="007C6A5F" w:rsidRDefault="007C6A5F" w:rsidP="00C36DA4">
            <w:pPr>
              <w:pStyle w:val="TableDataColumnHeading"/>
              <w:rPr>
                <w:lang w:val="en-GB"/>
              </w:rPr>
            </w:pPr>
            <w:r>
              <w:rPr>
                <w:lang w:val="en-GB"/>
              </w:rPr>
              <w:t>Median apartment price</w:t>
            </w:r>
            <w:r w:rsidRPr="00B46BCC">
              <w:rPr>
                <w:rStyle w:val="NoteLabel"/>
                <w:color w:val="FFFFFF" w:themeColor="background1"/>
              </w:rPr>
              <w:t>a</w:t>
            </w:r>
            <w:r w:rsidR="009D41EB">
              <w:rPr>
                <w:rStyle w:val="NoteLabel"/>
                <w:color w:val="FFFFFF" w:themeColor="background1"/>
              </w:rPr>
              <w:t xml:space="preserve"> </w:t>
            </w:r>
            <w:r w:rsidR="009D41EB">
              <w:rPr>
                <w:lang w:val="en-GB"/>
              </w:rPr>
              <w:t>($)</w:t>
            </w:r>
          </w:p>
        </w:tc>
        <w:tc>
          <w:tcPr>
            <w:tcW w:w="1984" w:type="dxa"/>
            <w:shd w:val="clear" w:color="auto" w:fill="6F6652" w:themeFill="accent5"/>
          </w:tcPr>
          <w:p w:rsidR="007C6A5F" w:rsidRDefault="007C6A5F" w:rsidP="00C36DA4">
            <w:pPr>
              <w:pStyle w:val="TableDataColumnHeading"/>
              <w:rPr>
                <w:lang w:val="en-GB"/>
              </w:rPr>
            </w:pPr>
            <w:r>
              <w:rPr>
                <w:lang w:val="en-GB"/>
              </w:rPr>
              <w:t>Average apartment size</w:t>
            </w:r>
            <w:r w:rsidRPr="00B46BCC">
              <w:rPr>
                <w:rStyle w:val="NoteLabel"/>
                <w:color w:val="FFFFFF" w:themeColor="background1"/>
              </w:rPr>
              <w:t>b</w:t>
            </w:r>
            <w:r w:rsidR="009D41EB">
              <w:rPr>
                <w:rStyle w:val="NoteLabel"/>
                <w:color w:val="FFFFFF" w:themeColor="background1"/>
              </w:rPr>
              <w:t xml:space="preserve"> </w:t>
            </w:r>
            <w:r w:rsidR="009D41EB">
              <w:rPr>
                <w:lang w:val="en-GB"/>
              </w:rPr>
              <w:t>(m</w:t>
            </w:r>
            <w:r w:rsidR="009D41EB" w:rsidRPr="009D41EB">
              <w:rPr>
                <w:vertAlign w:val="superscript"/>
                <w:lang w:val="en-GB"/>
              </w:rPr>
              <w:t>2</w:t>
            </w:r>
            <w:r w:rsidR="009D41EB">
              <w:rPr>
                <w:lang w:val="en-GB"/>
              </w:rPr>
              <w:t>)</w:t>
            </w:r>
          </w:p>
        </w:tc>
        <w:tc>
          <w:tcPr>
            <w:tcW w:w="2268" w:type="dxa"/>
            <w:shd w:val="clear" w:color="auto" w:fill="6F6652" w:themeFill="accent5"/>
          </w:tcPr>
          <w:p w:rsidR="007C6A5F" w:rsidRDefault="007C6A5F" w:rsidP="00C36DA4">
            <w:pPr>
              <w:pStyle w:val="TableDataColumnHeading"/>
              <w:rPr>
                <w:lang w:val="en-GB"/>
              </w:rPr>
            </w:pPr>
            <w:r>
              <w:rPr>
                <w:lang w:val="en-GB"/>
              </w:rPr>
              <w:t>Average cost per square metre</w:t>
            </w:r>
            <w:r w:rsidR="009D41EB">
              <w:rPr>
                <w:lang w:val="en-GB"/>
              </w:rPr>
              <w:t xml:space="preserve"> ($ per m</w:t>
            </w:r>
            <w:r w:rsidR="009D41EB" w:rsidRPr="009D41EB">
              <w:rPr>
                <w:vertAlign w:val="superscript"/>
                <w:lang w:val="en-GB"/>
              </w:rPr>
              <w:t>2</w:t>
            </w:r>
            <w:r w:rsidR="009D41EB">
              <w:rPr>
                <w:lang w:val="en-GB"/>
              </w:rPr>
              <w:t>)</w:t>
            </w:r>
          </w:p>
        </w:tc>
      </w:tr>
      <w:tr w:rsidR="007C6A5F" w:rsidTr="009D41EB">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Sydney</w:t>
            </w:r>
          </w:p>
        </w:tc>
        <w:tc>
          <w:tcPr>
            <w:tcW w:w="198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735 387</w:t>
            </w:r>
          </w:p>
        </w:tc>
        <w:tc>
          <w:tcPr>
            <w:tcW w:w="19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130</w:t>
            </w:r>
          </w:p>
        </w:tc>
        <w:tc>
          <w:tcPr>
            <w:tcW w:w="22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5 679</w:t>
            </w:r>
          </w:p>
        </w:tc>
      </w:tr>
      <w:tr w:rsidR="007C6A5F" w:rsidTr="009D41EB">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Melbourne</w:t>
            </w:r>
          </w:p>
        </w:tc>
        <w:tc>
          <w:tcPr>
            <w:tcW w:w="198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549 701</w:t>
            </w:r>
          </w:p>
        </w:tc>
        <w:tc>
          <w:tcPr>
            <w:tcW w:w="19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131</w:t>
            </w:r>
          </w:p>
        </w:tc>
        <w:tc>
          <w:tcPr>
            <w:tcW w:w="22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4 196</w:t>
            </w:r>
          </w:p>
        </w:tc>
      </w:tr>
      <w:tr w:rsidR="007C6A5F" w:rsidTr="009D41EB">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Brisbane</w:t>
            </w:r>
          </w:p>
        </w:tc>
        <w:tc>
          <w:tcPr>
            <w:tcW w:w="198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377 549</w:t>
            </w:r>
          </w:p>
        </w:tc>
        <w:tc>
          <w:tcPr>
            <w:tcW w:w="19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126</w:t>
            </w:r>
          </w:p>
        </w:tc>
        <w:tc>
          <w:tcPr>
            <w:tcW w:w="22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3 008</w:t>
            </w:r>
          </w:p>
        </w:tc>
      </w:tr>
      <w:tr w:rsidR="007C6A5F" w:rsidTr="009D41EB">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Perth</w:t>
            </w:r>
          </w:p>
        </w:tc>
        <w:tc>
          <w:tcPr>
            <w:tcW w:w="198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342 708</w:t>
            </w:r>
          </w:p>
        </w:tc>
        <w:tc>
          <w:tcPr>
            <w:tcW w:w="19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123</w:t>
            </w:r>
          </w:p>
        </w:tc>
        <w:tc>
          <w:tcPr>
            <w:tcW w:w="22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2 786</w:t>
            </w:r>
          </w:p>
        </w:tc>
      </w:tr>
      <w:tr w:rsidR="007C6A5F" w:rsidTr="009D41EB">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Adelaide</w:t>
            </w:r>
          </w:p>
        </w:tc>
        <w:tc>
          <w:tcPr>
            <w:tcW w:w="198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306 327</w:t>
            </w:r>
          </w:p>
        </w:tc>
        <w:tc>
          <w:tcPr>
            <w:tcW w:w="19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152</w:t>
            </w:r>
          </w:p>
        </w:tc>
        <w:tc>
          <w:tcPr>
            <w:tcW w:w="22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2 011</w:t>
            </w:r>
          </w:p>
        </w:tc>
      </w:tr>
      <w:tr w:rsidR="007C6A5F" w:rsidTr="009D41EB">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Hobart</w:t>
            </w:r>
          </w:p>
        </w:tc>
        <w:tc>
          <w:tcPr>
            <w:tcW w:w="198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441 104</w:t>
            </w:r>
          </w:p>
        </w:tc>
        <w:tc>
          <w:tcPr>
            <w:tcW w:w="19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130</w:t>
            </w:r>
          </w:p>
        </w:tc>
        <w:tc>
          <w:tcPr>
            <w:tcW w:w="22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3 398</w:t>
            </w:r>
          </w:p>
        </w:tc>
      </w:tr>
      <w:tr w:rsidR="007C6A5F" w:rsidTr="009D41EB">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Canberra</w:t>
            </w:r>
          </w:p>
        </w:tc>
        <w:tc>
          <w:tcPr>
            <w:tcW w:w="198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455 537</w:t>
            </w:r>
          </w:p>
        </w:tc>
        <w:tc>
          <w:tcPr>
            <w:tcW w:w="19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96</w:t>
            </w:r>
          </w:p>
        </w:tc>
        <w:tc>
          <w:tcPr>
            <w:tcW w:w="22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4 755</w:t>
            </w:r>
          </w:p>
        </w:tc>
      </w:tr>
      <w:tr w:rsidR="007C6A5F" w:rsidTr="009D41EB">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Darwin</w:t>
            </w:r>
          </w:p>
        </w:tc>
        <w:tc>
          <w:tcPr>
            <w:tcW w:w="198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286 249</w:t>
            </w:r>
          </w:p>
        </w:tc>
        <w:tc>
          <w:tcPr>
            <w:tcW w:w="19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155</w:t>
            </w:r>
          </w:p>
        </w:tc>
        <w:tc>
          <w:tcPr>
            <w:tcW w:w="22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1 853</w:t>
            </w:r>
          </w:p>
        </w:tc>
      </w:tr>
      <w:tr w:rsidR="007C6A5F" w:rsidRPr="00504F9E" w:rsidTr="009D41EB">
        <w:trPr>
          <w:trHeight w:val="230"/>
        </w:trPr>
        <w:tc>
          <w:tcPr>
            <w:tcW w:w="1701" w:type="dxa"/>
            <w:tcBorders>
              <w:top w:val="single" w:sz="8" w:space="0" w:color="FFFFFF" w:themeColor="background1"/>
              <w:bottom w:val="single" w:sz="4" w:space="0" w:color="6F6652" w:themeColor="accent5"/>
            </w:tcBorders>
            <w:shd w:val="clear" w:color="auto" w:fill="C2DADB" w:themeFill="accent6" w:themeFillTint="99"/>
          </w:tcPr>
          <w:p w:rsidR="007C6A5F" w:rsidRPr="00504F9E" w:rsidRDefault="007C6A5F" w:rsidP="00C36DA4">
            <w:pPr>
              <w:pStyle w:val="TableDataEntries"/>
              <w:jc w:val="left"/>
              <w:rPr>
                <w:rFonts w:ascii="Franklin Gothic Demi" w:hAnsi="Franklin Gothic Demi"/>
                <w:lang w:val="en-GB"/>
              </w:rPr>
            </w:pPr>
            <w:r w:rsidRPr="00504F9E">
              <w:rPr>
                <w:rFonts w:ascii="Franklin Gothic Demi" w:hAnsi="Franklin Gothic Demi"/>
                <w:lang w:val="en-GB"/>
              </w:rPr>
              <w:t>Weighted average</w:t>
            </w:r>
          </w:p>
        </w:tc>
        <w:tc>
          <w:tcPr>
            <w:tcW w:w="1985" w:type="dxa"/>
            <w:tcBorders>
              <w:top w:val="single" w:sz="8" w:space="0" w:color="FFFFFF" w:themeColor="background1"/>
              <w:bottom w:val="single" w:sz="4" w:space="0" w:color="6F6652" w:themeColor="accent5"/>
            </w:tcBorders>
            <w:shd w:val="clear" w:color="auto" w:fill="C2DADB" w:themeFill="accent6" w:themeFillTint="99"/>
          </w:tcPr>
          <w:p w:rsidR="007C6A5F" w:rsidRPr="00504F9E" w:rsidRDefault="007C6A5F" w:rsidP="00C36DA4">
            <w:pPr>
              <w:pStyle w:val="TableDataEntries"/>
              <w:rPr>
                <w:rFonts w:ascii="Franklin Gothic Demi" w:hAnsi="Franklin Gothic Demi"/>
                <w:lang w:val="en-GB"/>
              </w:rPr>
            </w:pPr>
          </w:p>
        </w:tc>
        <w:tc>
          <w:tcPr>
            <w:tcW w:w="1984" w:type="dxa"/>
            <w:tcBorders>
              <w:top w:val="single" w:sz="8" w:space="0" w:color="FFFFFF" w:themeColor="background1"/>
              <w:bottom w:val="single" w:sz="4" w:space="0" w:color="6F6652" w:themeColor="accent5"/>
            </w:tcBorders>
            <w:shd w:val="clear" w:color="auto" w:fill="C2DADB" w:themeFill="accent6" w:themeFillTint="99"/>
          </w:tcPr>
          <w:p w:rsidR="007C6A5F" w:rsidRPr="00504F9E" w:rsidRDefault="007C6A5F" w:rsidP="00C36DA4">
            <w:pPr>
              <w:pStyle w:val="TableDataEntries"/>
              <w:rPr>
                <w:rFonts w:ascii="Franklin Gothic Demi" w:hAnsi="Franklin Gothic Demi"/>
                <w:lang w:val="en-GB"/>
              </w:rPr>
            </w:pPr>
          </w:p>
        </w:tc>
        <w:tc>
          <w:tcPr>
            <w:tcW w:w="2268" w:type="dxa"/>
            <w:tcBorders>
              <w:top w:val="single" w:sz="8" w:space="0" w:color="FFFFFF" w:themeColor="background1"/>
              <w:bottom w:val="single" w:sz="4" w:space="0" w:color="6F6652" w:themeColor="accent5"/>
            </w:tcBorders>
            <w:shd w:val="clear" w:color="auto" w:fill="C2DADB" w:themeFill="accent6" w:themeFillTint="99"/>
          </w:tcPr>
          <w:p w:rsidR="007C6A5F" w:rsidRPr="00504F9E" w:rsidRDefault="007C6A5F" w:rsidP="00C36DA4">
            <w:pPr>
              <w:pStyle w:val="TableDataEntries"/>
              <w:rPr>
                <w:rFonts w:ascii="Franklin Gothic Demi" w:hAnsi="Franklin Gothic Demi"/>
                <w:lang w:val="en-GB"/>
              </w:rPr>
            </w:pPr>
            <w:r w:rsidRPr="00504F9E">
              <w:rPr>
                <w:rFonts w:ascii="Franklin Gothic Demi" w:hAnsi="Franklin Gothic Demi"/>
                <w:lang w:val="en-GB"/>
              </w:rPr>
              <w:t>4 517</w:t>
            </w:r>
          </w:p>
        </w:tc>
      </w:tr>
    </w:tbl>
    <w:p w:rsidR="007C6A5F" w:rsidRPr="00E4232C" w:rsidRDefault="007C6A5F" w:rsidP="007C6A5F">
      <w:pPr>
        <w:pStyle w:val="Note"/>
      </w:pPr>
      <w:r w:rsidRPr="00B46BCC">
        <w:rPr>
          <w:rStyle w:val="NoteLabel"/>
          <w:color w:val="000000" w:themeColor="text1"/>
        </w:rPr>
        <w:t>a</w:t>
      </w:r>
      <w:r>
        <w:t xml:space="preserve"> From Domain House Price Report — December 2019, </w:t>
      </w:r>
      <w:hyperlink r:id="rId35" w:anchor="sydney" w:history="1">
        <w:r>
          <w:rPr>
            <w:rStyle w:val="Hyperlink"/>
          </w:rPr>
          <w:t>https://www.domain.com.au/research/house-price-report/december-2019/#sydney</w:t>
        </w:r>
      </w:hyperlink>
      <w:r>
        <w:t xml:space="preserve">, accessed 29 January 2020. </w:t>
      </w:r>
      <w:r w:rsidRPr="00B46BCC">
        <w:rPr>
          <w:rStyle w:val="NoteLabel"/>
          <w:color w:val="000000" w:themeColor="text1"/>
        </w:rPr>
        <w:t>b</w:t>
      </w:r>
      <w:r>
        <w:t xml:space="preserve"> CommSec, Australian home size hits 20-year low: CommSec Home Size Trends Report, Economic Insights, 17 November 2017, </w:t>
      </w:r>
      <w:hyperlink r:id="rId36" w:history="1">
        <w:r>
          <w:rPr>
            <w:rStyle w:val="Hyperlink"/>
          </w:rPr>
          <w:t>https://www.commsec.com.au/content/dam/EN/ResearchNews/ECOReport.20.11.17_Biggest%20homes_size-fall.pdf</w:t>
        </w:r>
      </w:hyperlink>
      <w:r>
        <w:t>, accessed 30 January 2020.</w:t>
      </w:r>
    </w:p>
    <w:p w:rsidR="007C6A5F" w:rsidRDefault="007C6A5F" w:rsidP="007C6A5F">
      <w:pPr>
        <w:pStyle w:val="BodyText"/>
      </w:pPr>
      <w:r>
        <w:t xml:space="preserve">Perhaps a better measure of the amenity costs of losing living space would be the </w:t>
      </w:r>
      <w:r w:rsidRPr="00F36A14">
        <w:rPr>
          <w:i/>
          <w:iCs/>
        </w:rPr>
        <w:t>marginal</w:t>
      </w:r>
      <w:r>
        <w:t xml:space="preserve"> value of floor space, rather than the </w:t>
      </w:r>
      <w:r w:rsidRPr="00F36A14">
        <w:rPr>
          <w:i/>
          <w:iCs/>
        </w:rPr>
        <w:t>average</w:t>
      </w:r>
      <w:r>
        <w:t xml:space="preserve"> value. However, there are few relevant studies that estimate the marginal value of floor space in apartments.</w:t>
      </w:r>
    </w:p>
    <w:p w:rsidR="007C6A5F" w:rsidRDefault="007C6A5F" w:rsidP="007C6A5F">
      <w:pPr>
        <w:pStyle w:val="BodyText"/>
      </w:pPr>
      <w:r>
        <w:t xml:space="preserve">Two studies by the Secret Agent (a buyers advocate based in Melbourne) for a broader study on the economic impacts of Melbourne’s apartment design guide (by SGS Planning </w:t>
      </w:r>
      <w:r>
        <w:lastRenderedPageBreak/>
        <w:t>and Economics)</w:t>
      </w:r>
      <w:r>
        <w:rPr>
          <w:rStyle w:val="FootnoteReference"/>
        </w:rPr>
        <w:footnoteReference w:id="60"/>
      </w:r>
      <w:r>
        <w:t xml:space="preserve"> estimated the marginal value of apartment space for apartments in inner Melbourne.</w:t>
      </w:r>
    </w:p>
    <w:p w:rsidR="007C6A5F" w:rsidRDefault="007C6A5F" w:rsidP="00B5160B">
      <w:pPr>
        <w:pStyle w:val="ListBullet"/>
        <w:numPr>
          <w:ilvl w:val="0"/>
          <w:numId w:val="17"/>
        </w:numPr>
        <w:spacing w:before="50"/>
      </w:pPr>
      <w:r>
        <w:t>The first study estimated that the marginal value of additional floor space was around $6 200 per m</w:t>
      </w:r>
      <w:r w:rsidRPr="00F04EE6">
        <w:rPr>
          <w:vertAlign w:val="superscript"/>
        </w:rPr>
        <w:t>2</w:t>
      </w:r>
      <w:r>
        <w:t>.</w:t>
      </w:r>
    </w:p>
    <w:p w:rsidR="007C6A5F" w:rsidRDefault="007C6A5F" w:rsidP="00B5160B">
      <w:pPr>
        <w:pStyle w:val="ListBullet"/>
        <w:numPr>
          <w:ilvl w:val="0"/>
          <w:numId w:val="17"/>
        </w:numPr>
        <w:spacing w:before="50"/>
      </w:pPr>
      <w:r>
        <w:t>A second study, where the sample was restricted to apartment buildings that were 4 storeys or less, estimated the marginal value of additional floor space was around $3 900 per m</w:t>
      </w:r>
      <w:r w:rsidRPr="00F04EE6">
        <w:rPr>
          <w:vertAlign w:val="superscript"/>
        </w:rPr>
        <w:t>2</w:t>
      </w:r>
      <w:r>
        <w:t>.</w:t>
      </w:r>
    </w:p>
    <w:p w:rsidR="007C6A5F" w:rsidRDefault="007C6A5F" w:rsidP="007C6A5F">
      <w:pPr>
        <w:pStyle w:val="BodyText"/>
      </w:pPr>
      <w:r>
        <w:t>The lower estimate was broadly consistent with the average price per square at the time, suggesting that the average price per square meter is a reasonable indicator of the marginal value of apartment space.</w:t>
      </w:r>
    </w:p>
    <w:p w:rsidR="007C6A5F" w:rsidRDefault="007C6A5F" w:rsidP="00B5160B">
      <w:pPr>
        <w:pStyle w:val="Invisiblepara"/>
        <w:spacing w:before="240"/>
      </w:pPr>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Box 5.9"/>
        <w:tblDescription w:val="Questions for stakeholders"/>
      </w:tblPr>
      <w:tblGrid>
        <w:gridCol w:w="7938"/>
      </w:tblGrid>
      <w:tr w:rsidR="007C6A5F" w:rsidRPr="00E05C8C" w:rsidTr="00D61314">
        <w:trPr>
          <w:tblHeader/>
        </w:trPr>
        <w:tc>
          <w:tcPr>
            <w:tcW w:w="7938" w:type="dxa"/>
            <w:shd w:val="clear" w:color="auto" w:fill="C6BFAB" w:themeFill="accent3"/>
          </w:tcPr>
          <w:bookmarkStart w:id="4669" w:name="_Toc32321831"/>
          <w:bookmarkStart w:id="4670" w:name="_Caption9696"/>
          <w:bookmarkStart w:id="4671" w:name="_Caption2732"/>
          <w:p w:rsidR="007C6A5F" w:rsidRPr="00E05C8C" w:rsidRDefault="007C6A5F" w:rsidP="005A6F87">
            <w:pPr>
              <w:pStyle w:val="Caption"/>
              <w:numPr>
                <w:ilvl w:val="0"/>
                <w:numId w:val="13"/>
              </w:numPr>
              <w:spacing w:before="120" w:after="100"/>
            </w:pPr>
            <w:r w:rsidRPr="00E05C8C">
              <w:fldChar w:fldCharType="begin"/>
            </w:r>
            <w:bookmarkEnd w:id="4669"/>
            <w:bookmarkEnd w:id="4670"/>
            <w:bookmarkEnd w:id="4671"/>
            <w:r w:rsidRPr="00E05C8C">
              <w:instrText xml:space="preserve"> IF 1 = 1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E05C8C">
              <w:instrText xml:space="preserve"> = 0 ""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E05C8C">
              <w:instrText xml:space="preserve">." </w:instrText>
            </w:r>
            <w:r w:rsidRPr="00E05C8C">
              <w:fldChar w:fldCharType="separate"/>
            </w:r>
            <w:r>
              <w:rPr>
                <w:noProof/>
              </w:rPr>
              <w:instrText>5</w:instrText>
            </w:r>
            <w:r w:rsidRPr="00E05C8C">
              <w:rPr>
                <w:noProof/>
              </w:rPr>
              <w:instrText>.</w:instrText>
            </w:r>
            <w:r w:rsidRPr="00E05C8C">
              <w:fldChar w:fldCharType="end"/>
            </w:r>
            <w:r w:rsidRPr="00E05C8C">
              <w:instrText>" "</w:instrText>
            </w:r>
            <w:r w:rsidR="00F56BFF">
              <w:fldChar w:fldCharType="begin"/>
            </w:r>
            <w:r w:rsidR="00F56BFF">
              <w:instrText xml:space="preserve"> STYLEREF "Heading 6" \l \n </w:instrText>
            </w:r>
            <w:r w:rsidR="00F56BFF">
              <w:fldChar w:fldCharType="separate"/>
            </w:r>
            <w:r w:rsidRPr="00E05C8C">
              <w:instrText>B</w:instrText>
            </w:r>
            <w:r w:rsidR="00F56BFF">
              <w:fldChar w:fldCharType="end"/>
            </w:r>
            <w:r w:rsidRPr="00E05C8C">
              <w:instrText xml:space="preserve">." </w:instrText>
            </w:r>
            <w:r w:rsidRPr="00E05C8C">
              <w:fldChar w:fldCharType="separate"/>
            </w:r>
            <w:r w:rsidR="00272AF3">
              <w:rPr>
                <w:noProof/>
              </w:rPr>
              <w:instrText>5</w:instrText>
            </w:r>
            <w:r w:rsidR="00272AF3"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E05C8C">
              <w:instrText xml:space="preserve"> = 0 "" "1" </w:instrText>
            </w:r>
            <w:r w:rsidRPr="00E05C8C">
              <w:fldChar w:fldCharType="separate"/>
            </w:r>
            <w:r w:rsidR="00272AF3" w:rsidRPr="00E05C8C">
              <w:rPr>
                <w:noProof/>
              </w:rPr>
              <w:instrText>1</w:instrText>
            </w:r>
            <w:r w:rsidRPr="00E05C8C">
              <w:fldChar w:fldCharType="end"/>
            </w:r>
            <w:r w:rsidRPr="00E05C8C">
              <w:instrText xml:space="preserve">" "6" </w:instrText>
            </w:r>
            <w:r w:rsidRPr="00E05C8C">
              <w:fldChar w:fldCharType="separate"/>
            </w:r>
            <w:r w:rsidR="00272AF3" w:rsidRPr="00E05C8C">
              <w:rPr>
                <w:noProof/>
              </w:rPr>
              <w:instrText>1</w:instrText>
            </w:r>
            <w:r w:rsidRPr="00E05C8C">
              <w:fldChar w:fldCharType="end"/>
            </w:r>
            <w:r w:rsidRPr="00E05C8C">
              <w:instrText xml:space="preserve"> </w:instrText>
            </w:r>
            <w:r w:rsidRPr="00E05C8C">
              <w:fldChar w:fldCharType="separate"/>
            </w:r>
            <w:r>
              <w:rPr>
                <w:noProof/>
              </w:rPr>
              <w:instrText>9</w:instrText>
            </w:r>
            <w:r w:rsidRPr="00E05C8C">
              <w:fldChar w:fldCharType="end"/>
            </w:r>
            <w:r w:rsidRPr="00E05C8C">
              <w:instrText xml:space="preserve">" "" </w:instrText>
            </w:r>
            <w:r w:rsidRPr="00E05C8C">
              <w:fldChar w:fldCharType="separate"/>
            </w:r>
            <w:bookmarkStart w:id="4672" w:name="_Caption6587"/>
            <w:bookmarkStart w:id="4673" w:name="_Caption4874"/>
            <w:bookmarkStart w:id="4674" w:name="_Caption3086"/>
            <w:bookmarkStart w:id="4675" w:name="_Caption4651"/>
            <w:bookmarkStart w:id="4676" w:name="_Caption8483"/>
            <w:bookmarkStart w:id="4677" w:name="_Caption0829"/>
            <w:bookmarkStart w:id="4678" w:name="_Caption0717"/>
            <w:bookmarkStart w:id="4679" w:name="_Caption2830"/>
            <w:bookmarkStart w:id="4680" w:name="_Caption1189"/>
            <w:bookmarkStart w:id="4681" w:name="_Caption6465"/>
            <w:bookmarkStart w:id="4682" w:name="_Caption8074"/>
            <w:bookmarkStart w:id="4683" w:name="_Caption9745"/>
            <w:bookmarkStart w:id="4684" w:name="_Caption4213"/>
            <w:bookmarkStart w:id="4685" w:name="_Caption7516"/>
            <w:bookmarkStart w:id="4686" w:name="_Caption7021"/>
            <w:bookmarkStart w:id="4687" w:name="_Caption9728"/>
            <w:bookmarkStart w:id="4688" w:name="_Caption5793"/>
            <w:bookmarkStart w:id="4689" w:name="_Caption0255"/>
            <w:bookmarkStart w:id="4690" w:name="_Caption8500"/>
            <w:bookmarkStart w:id="4691" w:name="_Caption1499"/>
            <w:bookmarkStart w:id="4692" w:name="_Caption4784"/>
            <w:bookmarkStart w:id="4693" w:name="_Caption7665"/>
            <w:bookmarkStart w:id="4694" w:name="_Caption5278"/>
            <w:bookmarkStart w:id="4695" w:name="_Caption7544"/>
            <w:bookmarkStart w:id="4696" w:name="_Caption4770"/>
            <w:bookmarkStart w:id="4697" w:name="_Caption4880"/>
            <w:bookmarkStart w:id="4698" w:name="_Caption5190"/>
            <w:bookmarkStart w:id="4699" w:name="_Caption4150"/>
            <w:bookmarkStart w:id="4700" w:name="_Caption4561"/>
            <w:bookmarkStart w:id="4701" w:name="_Caption5752"/>
            <w:bookmarkStart w:id="4702" w:name="_Caption4402"/>
            <w:bookmarkStart w:id="4703" w:name="_Caption5553"/>
            <w:bookmarkStart w:id="4704" w:name="_Caption8664"/>
            <w:bookmarkStart w:id="4705" w:name="_Caption0660"/>
            <w:bookmarkStart w:id="4706" w:name="_Caption4117"/>
            <w:bookmarkStart w:id="4707" w:name="_Caption9079"/>
            <w:bookmarkStart w:id="4708" w:name="_Caption5450"/>
            <w:bookmarkStart w:id="4709" w:name="_Caption6742"/>
            <w:bookmarkStart w:id="4710" w:name="_Caption5849"/>
            <w:bookmarkStart w:id="4711" w:name="_Caption9903"/>
            <w:bookmarkStart w:id="4712" w:name="_Caption8286"/>
            <w:bookmarkStart w:id="4713" w:name="_Caption0397"/>
            <w:bookmarkStart w:id="4714" w:name="_Caption6285"/>
            <w:bookmarkStart w:id="4715" w:name="_Caption7795"/>
            <w:bookmarkStart w:id="4716" w:name="_Caption8759"/>
            <w:bookmarkStart w:id="4717" w:name="_Caption2792"/>
            <w:bookmarkStart w:id="4718" w:name="_Caption7621"/>
            <w:bookmarkStart w:id="4719" w:name="_Caption0653"/>
            <w:bookmarkStart w:id="4720" w:name="_Caption0364"/>
            <w:bookmarkStart w:id="4721" w:name="_Caption0806"/>
            <w:bookmarkStart w:id="4722" w:name="_Caption2117"/>
            <w:bookmarkStart w:id="4723" w:name="_Caption0961"/>
            <w:bookmarkStart w:id="4724" w:name="_Caption6020"/>
            <w:bookmarkStart w:id="4725" w:name="_Caption1827"/>
            <w:bookmarkStart w:id="4726" w:name="_Caption8368"/>
            <w:bookmarkStart w:id="4727" w:name="_Caption5522"/>
            <w:bookmarkStart w:id="4728" w:name="_Caption7755"/>
            <w:bookmarkStart w:id="4729" w:name="_Caption1422"/>
            <w:bookmarkStart w:id="4730" w:name="_Caption9992"/>
            <w:bookmarkStart w:id="4731" w:name="_Caption5700"/>
            <w:bookmarkStart w:id="4732" w:name="_Caption4792"/>
            <w:bookmarkStart w:id="4733" w:name="_Caption2967"/>
            <w:bookmarkStart w:id="4734" w:name="_Caption7267"/>
            <w:bookmarkStart w:id="4735" w:name="_Caption5073"/>
            <w:bookmarkStart w:id="4736" w:name="_Caption7711"/>
            <w:bookmarkStart w:id="4737" w:name="_Caption9052"/>
            <w:bookmarkStart w:id="4738" w:name="_Caption7394"/>
            <w:bookmarkStart w:id="4739" w:name="_Toc44598529"/>
            <w:bookmarkStart w:id="4740" w:name="_Toc45654160"/>
            <w:r w:rsidR="00272AF3">
              <w:rPr>
                <w:noProof/>
              </w:rPr>
              <w:t>5</w:t>
            </w:r>
            <w:r w:rsidR="00272AF3" w:rsidRPr="00E05C8C">
              <w:rPr>
                <w:noProof/>
              </w:rPr>
              <w:t>.</w:t>
            </w:r>
            <w:r w:rsidR="00272AF3">
              <w:rPr>
                <w:noProof/>
              </w:rPr>
              <w:t>9</w:t>
            </w:r>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r w:rsidRPr="00E05C8C">
              <w:fldChar w:fldCharType="end"/>
            </w:r>
            <w:r w:rsidRPr="00E05C8C">
              <w:tab/>
            </w:r>
            <w:r>
              <w:t>Questions for stakeholders</w:t>
            </w:r>
            <w:bookmarkEnd w:id="4739"/>
            <w:bookmarkEnd w:id="4740"/>
          </w:p>
        </w:tc>
      </w:tr>
      <w:tr w:rsidR="007C6A5F" w:rsidTr="00B5160B">
        <w:tc>
          <w:tcPr>
            <w:tcW w:w="7938" w:type="dxa"/>
            <w:tcBorders>
              <w:bottom w:val="single" w:sz="4" w:space="0" w:color="9B917E" w:themeColor="accent4"/>
            </w:tcBorders>
            <w:shd w:val="clear" w:color="auto" w:fill="E9E8E5" w:themeFill="background2"/>
          </w:tcPr>
          <w:p w:rsidR="005600BF" w:rsidRDefault="005600BF" w:rsidP="005600BF">
            <w:pPr>
              <w:pStyle w:val="ListBullet"/>
              <w:numPr>
                <w:ilvl w:val="0"/>
                <w:numId w:val="17"/>
              </w:numPr>
            </w:pPr>
            <w:r>
              <w:t>Do you agree with the approach taken to valuing the opportunity cost of the additional space required?</w:t>
            </w:r>
          </w:p>
          <w:p w:rsidR="007C6A5F" w:rsidRPr="00BF2F67" w:rsidRDefault="005600BF" w:rsidP="00CD2B32">
            <w:pPr>
              <w:pStyle w:val="ListBullet2"/>
              <w:spacing w:after="120"/>
            </w:pPr>
            <w:r>
              <w:t>What alternative methodologies could be considered?</w:t>
            </w:r>
          </w:p>
        </w:tc>
      </w:tr>
    </w:tbl>
    <w:p w:rsidR="007C6A5F" w:rsidRDefault="007C6A5F" w:rsidP="00B5160B">
      <w:pPr>
        <w:pStyle w:val="Heading3"/>
        <w:numPr>
          <w:ilvl w:val="2"/>
          <w:numId w:val="5"/>
        </w:numPr>
        <w:spacing w:before="360"/>
      </w:pPr>
      <w:r>
        <w:t>Additional excavation cost</w:t>
      </w:r>
    </w:p>
    <w:p w:rsidR="007C6A5F" w:rsidRDefault="007C6A5F" w:rsidP="00B5160B">
      <w:pPr>
        <w:pStyle w:val="BodyText"/>
        <w:spacing w:before="60"/>
      </w:pPr>
      <w:r>
        <w:t>The Housing Industry Association (HIA) argued that in addition to the construction costs, there would be additional excavation costs associated with complying with the proposed standard for detached homes on sloped lots and provided some estimates of the potential additional costs.</w:t>
      </w:r>
    </w:p>
    <w:p w:rsidR="007C6A5F" w:rsidRDefault="007C6A5F" w:rsidP="007C6A5F">
      <w:pPr>
        <w:pStyle w:val="KeyPoint"/>
      </w:pPr>
      <w:r>
        <w:t>The estimated excavation costs provided by HIA are being considered, but have not been included in the central case cost estimates at this stage.</w:t>
      </w:r>
    </w:p>
    <w:p w:rsidR="007C6A5F" w:rsidRDefault="007C6A5F" w:rsidP="00CD2B32">
      <w:pPr>
        <w:pStyle w:val="BodyText"/>
        <w:ind w:right="-285"/>
      </w:pPr>
      <w:r>
        <w:t>In weighted average terms, the HIA estimated these costs would be around $2 320 per lot (table </w:t>
      </w:r>
      <w:r>
        <w:rPr>
          <w:noProof/>
        </w:rPr>
        <w:fldChar w:fldCharType="begin"/>
      </w:r>
      <w:r>
        <w:rPr>
          <w:noProof/>
        </w:rPr>
        <w:instrText xml:space="preserve"> REF _Caption1496 </w:instrText>
      </w:r>
      <w:r>
        <w:rPr>
          <w:noProof/>
        </w:rPr>
        <w:fldChar w:fldCharType="separate"/>
      </w:r>
      <w:r>
        <w:rPr>
          <w:noProof/>
        </w:rPr>
        <w:t>5</w:t>
      </w:r>
      <w:r w:rsidRPr="00695C93">
        <w:rPr>
          <w:noProof/>
        </w:rPr>
        <w:t>.</w:t>
      </w:r>
      <w:r>
        <w:rPr>
          <w:noProof/>
        </w:rPr>
        <w:t>10</w:t>
      </w:r>
      <w:r>
        <w:rPr>
          <w:noProof/>
        </w:rPr>
        <w:fldChar w:fldCharType="end"/>
      </w:r>
      <w:r>
        <w:t>). Further details on the HIA’s approach to estimating these costs is set out below.</w:t>
      </w:r>
    </w:p>
    <w:p w:rsidR="007C6A5F" w:rsidRDefault="007C6A5F" w:rsidP="00CD2B32">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w:instrText>
      </w:r>
      <w:r w:rsidRPr="00695C93">
        <w:fldChar w:fldCharType="separate"/>
      </w:r>
      <w:r>
        <w:rPr>
          <w:noProof/>
        </w:rPr>
        <w:instrText>5</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5</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10</w:instrText>
      </w:r>
      <w:r w:rsidRPr="00695C93">
        <w:fldChar w:fldCharType="end"/>
      </w:r>
      <w:r w:rsidRPr="00695C93">
        <w:instrText xml:space="preserve">" "" </w:instrText>
      </w:r>
      <w:r w:rsidRPr="00695C93">
        <w:fldChar w:fldCharType="separate"/>
      </w:r>
      <w:bookmarkStart w:id="4741" w:name="_Caption8428"/>
      <w:bookmarkStart w:id="4742" w:name="_Caption5544"/>
      <w:bookmarkStart w:id="4743" w:name="_Caption6129"/>
      <w:bookmarkStart w:id="4744" w:name="_Caption9417"/>
      <w:bookmarkStart w:id="4745" w:name="_Caption8177"/>
      <w:bookmarkStart w:id="4746" w:name="_Caption0719"/>
      <w:bookmarkStart w:id="4747" w:name="_Caption7333"/>
      <w:bookmarkStart w:id="4748" w:name="_Caption2227"/>
      <w:bookmarkStart w:id="4749" w:name="_Caption7919"/>
      <w:bookmarkStart w:id="4750" w:name="_Caption0383"/>
      <w:bookmarkStart w:id="4751" w:name="_Caption4182"/>
      <w:bookmarkStart w:id="4752" w:name="_Caption7694"/>
      <w:bookmarkStart w:id="4753" w:name="_Caption9356"/>
      <w:bookmarkStart w:id="4754" w:name="_Caption2375"/>
      <w:bookmarkStart w:id="4755" w:name="_Caption0409"/>
      <w:bookmarkStart w:id="4756" w:name="_Caption3124"/>
      <w:bookmarkStart w:id="4757" w:name="_Caption7075"/>
      <w:bookmarkStart w:id="4758" w:name="_Caption6697"/>
      <w:bookmarkStart w:id="4759" w:name="_Caption8037"/>
      <w:bookmarkStart w:id="4760" w:name="_Caption9103"/>
      <w:bookmarkStart w:id="4761" w:name="_Caption9528"/>
      <w:bookmarkStart w:id="4762" w:name="_Caption5532"/>
      <w:bookmarkStart w:id="4763" w:name="_Caption2754"/>
      <w:bookmarkStart w:id="4764" w:name="_Caption8788"/>
      <w:bookmarkStart w:id="4765" w:name="_Caption6707"/>
      <w:bookmarkStart w:id="4766" w:name="_Caption1496"/>
      <w:bookmarkStart w:id="4767" w:name="_Caption4495"/>
      <w:bookmarkStart w:id="4768" w:name="_Caption9276"/>
      <w:bookmarkStart w:id="4769" w:name="_Caption2009"/>
      <w:bookmarkStart w:id="4770" w:name="_Caption0423"/>
      <w:bookmarkStart w:id="4771" w:name="_Caption8234"/>
      <w:bookmarkStart w:id="4772" w:name="_Caption2823"/>
      <w:bookmarkStart w:id="4773" w:name="_Caption3034"/>
      <w:bookmarkStart w:id="4774" w:name="_Caption7756"/>
      <w:bookmarkStart w:id="4775" w:name="_Caption5903"/>
      <w:bookmarkStart w:id="4776" w:name="_Caption6167"/>
      <w:bookmarkStart w:id="4777" w:name="_Caption7938"/>
      <w:bookmarkStart w:id="4778" w:name="_Caption8489"/>
      <w:bookmarkStart w:id="4779" w:name="_Caption1144"/>
      <w:bookmarkStart w:id="4780" w:name="_Caption0331"/>
      <w:bookmarkStart w:id="4781" w:name="_Caption0370"/>
      <w:bookmarkStart w:id="4782" w:name="_Caption5246"/>
      <w:bookmarkStart w:id="4783" w:name="_Caption9720"/>
      <w:bookmarkStart w:id="4784" w:name="_Caption2471"/>
      <w:bookmarkStart w:id="4785" w:name="_Caption7087"/>
      <w:bookmarkStart w:id="4786" w:name="_Caption3323"/>
      <w:bookmarkStart w:id="4787" w:name="_Caption3222"/>
      <w:bookmarkStart w:id="4788" w:name="_Caption0618"/>
      <w:bookmarkStart w:id="4789" w:name="_Caption6843"/>
      <w:bookmarkStart w:id="4790" w:name="_Caption8972"/>
      <w:bookmarkStart w:id="4791" w:name="_Caption7836"/>
      <w:bookmarkStart w:id="4792" w:name="_Caption9690"/>
      <w:bookmarkStart w:id="4793" w:name="_Caption8154"/>
      <w:bookmarkStart w:id="4794" w:name="_Caption5011"/>
      <w:bookmarkStart w:id="4795" w:name="_Caption3630"/>
      <w:bookmarkStart w:id="4796" w:name="_Caption7152"/>
      <w:bookmarkStart w:id="4797" w:name="_Caption2076"/>
      <w:bookmarkStart w:id="4798" w:name="_Caption4943"/>
      <w:bookmarkStart w:id="4799" w:name="_Caption6701"/>
      <w:bookmarkStart w:id="4800" w:name="_Caption7306"/>
      <w:bookmarkStart w:id="4801" w:name="_Caption2995"/>
      <w:bookmarkStart w:id="4802" w:name="_Caption0200"/>
      <w:bookmarkStart w:id="4803" w:name="_Caption3026"/>
      <w:bookmarkStart w:id="4804" w:name="_Caption8372"/>
      <w:bookmarkStart w:id="4805" w:name="_Caption7674"/>
      <w:bookmarkStart w:id="4806" w:name="_Toc32321832"/>
      <w:bookmarkStart w:id="4807" w:name="_Toc44598530"/>
      <w:bookmarkStart w:id="4808" w:name="_Toc45654161"/>
      <w:r w:rsidR="00272AF3">
        <w:rPr>
          <w:noProof/>
        </w:rPr>
        <w:t>5</w:t>
      </w:r>
      <w:r w:rsidR="00272AF3" w:rsidRPr="00695C93">
        <w:rPr>
          <w:noProof/>
        </w:rPr>
        <w:t>.</w:t>
      </w:r>
      <w:r w:rsidR="00272AF3">
        <w:rPr>
          <w:noProof/>
        </w:rPr>
        <w:t>10</w:t>
      </w:r>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r w:rsidRPr="00695C93">
        <w:fldChar w:fldCharType="end"/>
      </w:r>
      <w:r w:rsidRPr="00695C93">
        <w:tab/>
      </w:r>
      <w:r>
        <w:t>Weighted average excavation costs</w:t>
      </w:r>
      <w:bookmarkEnd w:id="4806"/>
      <w:bookmarkEnd w:id="4807"/>
      <w:bookmarkEnd w:id="4808"/>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5.10"/>
        <w:tblDescription w:val="Weighted average excavation costs"/>
      </w:tblPr>
      <w:tblGrid>
        <w:gridCol w:w="2911"/>
        <w:gridCol w:w="2512"/>
        <w:gridCol w:w="2514"/>
      </w:tblGrid>
      <w:tr w:rsidR="007C6A5F" w:rsidTr="00DB33BA">
        <w:trPr>
          <w:trHeight w:val="230"/>
          <w:tblHeader/>
        </w:trPr>
        <w:tc>
          <w:tcPr>
            <w:tcW w:w="2911" w:type="dxa"/>
            <w:shd w:val="clear" w:color="auto" w:fill="6F6652" w:themeFill="accent5"/>
          </w:tcPr>
          <w:p w:rsidR="007C6A5F" w:rsidRDefault="00DB33BA" w:rsidP="00C36DA4">
            <w:pPr>
              <w:pStyle w:val="TableDataColumnHeading"/>
              <w:jc w:val="left"/>
              <w:rPr>
                <w:lang w:val="en-GB"/>
              </w:rPr>
            </w:pPr>
            <w:r>
              <w:rPr>
                <w:lang w:val="en-GB"/>
              </w:rPr>
              <w:t>Lot</w:t>
            </w:r>
          </w:p>
        </w:tc>
        <w:tc>
          <w:tcPr>
            <w:tcW w:w="2512" w:type="dxa"/>
            <w:shd w:val="clear" w:color="auto" w:fill="6F6652" w:themeFill="accent5"/>
          </w:tcPr>
          <w:p w:rsidR="007C6A5F" w:rsidRDefault="007C6A5F" w:rsidP="00C36DA4">
            <w:pPr>
              <w:pStyle w:val="TableDataColumnHeading"/>
              <w:rPr>
                <w:lang w:val="en-GB"/>
              </w:rPr>
            </w:pPr>
            <w:r>
              <w:rPr>
                <w:lang w:val="en-GB"/>
              </w:rPr>
              <w:t>Weighting</w:t>
            </w:r>
            <w:r w:rsidR="00DB33BA">
              <w:rPr>
                <w:lang w:val="en-GB"/>
              </w:rPr>
              <w:br/>
              <w:t>(per cent)</w:t>
            </w:r>
          </w:p>
        </w:tc>
        <w:tc>
          <w:tcPr>
            <w:tcW w:w="2514" w:type="dxa"/>
            <w:shd w:val="clear" w:color="auto" w:fill="6F6652" w:themeFill="accent5"/>
          </w:tcPr>
          <w:p w:rsidR="007C6A5F" w:rsidRDefault="007C6A5F" w:rsidP="00C36DA4">
            <w:pPr>
              <w:pStyle w:val="TableDataColumnHeading"/>
              <w:rPr>
                <w:lang w:val="en-GB"/>
              </w:rPr>
            </w:pPr>
            <w:r>
              <w:rPr>
                <w:lang w:val="en-GB"/>
              </w:rPr>
              <w:t xml:space="preserve">Cost </w:t>
            </w:r>
            <w:r w:rsidRPr="00B46BCC">
              <w:rPr>
                <w:rStyle w:val="NoteLabel"/>
                <w:color w:val="FFFFFF" w:themeColor="background1"/>
              </w:rPr>
              <w:t>a</w:t>
            </w:r>
            <w:r w:rsidR="00DB33BA">
              <w:rPr>
                <w:rStyle w:val="NoteLabel"/>
                <w:color w:val="FFFFFF" w:themeColor="background1"/>
              </w:rPr>
              <w:br/>
            </w:r>
            <w:r w:rsidR="00DB33BA">
              <w:rPr>
                <w:lang w:val="en-GB"/>
              </w:rPr>
              <w:t>($ per lot)</w:t>
            </w:r>
          </w:p>
        </w:tc>
      </w:tr>
      <w:tr w:rsidR="007C6A5F" w:rsidTr="00CD2B32">
        <w:trPr>
          <w:trHeight w:val="230"/>
        </w:trPr>
        <w:tc>
          <w:tcPr>
            <w:tcW w:w="291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Small lots</w:t>
            </w:r>
          </w:p>
        </w:tc>
        <w:tc>
          <w:tcPr>
            <w:tcW w:w="251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20</w:t>
            </w:r>
          </w:p>
        </w:tc>
        <w:tc>
          <w:tcPr>
            <w:tcW w:w="251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1 311</w:t>
            </w:r>
          </w:p>
        </w:tc>
      </w:tr>
      <w:tr w:rsidR="007C6A5F" w:rsidTr="00CD2B32">
        <w:trPr>
          <w:trHeight w:val="230"/>
        </w:trPr>
        <w:tc>
          <w:tcPr>
            <w:tcW w:w="291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Regular lots</w:t>
            </w:r>
          </w:p>
        </w:tc>
        <w:tc>
          <w:tcPr>
            <w:tcW w:w="251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60</w:t>
            </w:r>
          </w:p>
        </w:tc>
        <w:tc>
          <w:tcPr>
            <w:tcW w:w="251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2 415</w:t>
            </w:r>
          </w:p>
        </w:tc>
      </w:tr>
      <w:tr w:rsidR="007C6A5F" w:rsidTr="00B5160B">
        <w:trPr>
          <w:trHeight w:val="230"/>
        </w:trPr>
        <w:tc>
          <w:tcPr>
            <w:tcW w:w="291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Large lots</w:t>
            </w:r>
          </w:p>
        </w:tc>
        <w:tc>
          <w:tcPr>
            <w:tcW w:w="251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20</w:t>
            </w:r>
          </w:p>
        </w:tc>
        <w:tc>
          <w:tcPr>
            <w:tcW w:w="251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3 036</w:t>
            </w:r>
          </w:p>
        </w:tc>
      </w:tr>
      <w:tr w:rsidR="007C6A5F" w:rsidRPr="00694B87" w:rsidTr="00B5160B">
        <w:trPr>
          <w:trHeight w:val="230"/>
        </w:trPr>
        <w:tc>
          <w:tcPr>
            <w:tcW w:w="2911" w:type="dxa"/>
            <w:tcBorders>
              <w:top w:val="single" w:sz="8" w:space="0" w:color="FFFFFF" w:themeColor="background1"/>
              <w:bottom w:val="single" w:sz="4" w:space="0" w:color="6F6652" w:themeColor="accent5"/>
            </w:tcBorders>
            <w:shd w:val="clear" w:color="auto" w:fill="C2DADB" w:themeFill="accent6" w:themeFillTint="99"/>
          </w:tcPr>
          <w:p w:rsidR="007C6A5F" w:rsidRPr="00694B87" w:rsidRDefault="007C6A5F" w:rsidP="00C36DA4">
            <w:pPr>
              <w:pStyle w:val="TableDataEntries"/>
              <w:jc w:val="left"/>
              <w:rPr>
                <w:rFonts w:ascii="Franklin Gothic Demi" w:hAnsi="Franklin Gothic Demi"/>
                <w:lang w:val="en-GB"/>
              </w:rPr>
            </w:pPr>
            <w:r w:rsidRPr="00694B87">
              <w:rPr>
                <w:rFonts w:ascii="Franklin Gothic Demi" w:hAnsi="Franklin Gothic Demi"/>
                <w:lang w:val="en-GB"/>
              </w:rPr>
              <w:t>Weighted average</w:t>
            </w:r>
          </w:p>
        </w:tc>
        <w:tc>
          <w:tcPr>
            <w:tcW w:w="2512" w:type="dxa"/>
            <w:tcBorders>
              <w:top w:val="single" w:sz="8" w:space="0" w:color="FFFFFF" w:themeColor="background1"/>
              <w:bottom w:val="single" w:sz="4" w:space="0" w:color="6F6652" w:themeColor="accent5"/>
            </w:tcBorders>
            <w:shd w:val="clear" w:color="auto" w:fill="C2DADB" w:themeFill="accent6" w:themeFillTint="99"/>
          </w:tcPr>
          <w:p w:rsidR="007C6A5F" w:rsidRPr="00694B87" w:rsidRDefault="00D558E4" w:rsidP="00C36DA4">
            <w:pPr>
              <w:pStyle w:val="TableDataEntries"/>
              <w:rPr>
                <w:rFonts w:ascii="Franklin Gothic Demi" w:hAnsi="Franklin Gothic Demi"/>
                <w:lang w:val="en-GB"/>
              </w:rPr>
            </w:pPr>
            <w:r>
              <w:rPr>
                <w:rFonts w:ascii="Franklin Gothic Demi" w:hAnsi="Franklin Gothic Demi"/>
                <w:lang w:val="en-GB"/>
              </w:rPr>
              <w:t>100</w:t>
            </w:r>
          </w:p>
        </w:tc>
        <w:tc>
          <w:tcPr>
            <w:tcW w:w="2514" w:type="dxa"/>
            <w:tcBorders>
              <w:top w:val="single" w:sz="8" w:space="0" w:color="FFFFFF" w:themeColor="background1"/>
              <w:bottom w:val="single" w:sz="4" w:space="0" w:color="6F6652" w:themeColor="accent5"/>
            </w:tcBorders>
            <w:shd w:val="clear" w:color="auto" w:fill="C2DADB" w:themeFill="accent6" w:themeFillTint="99"/>
          </w:tcPr>
          <w:p w:rsidR="007C6A5F" w:rsidRPr="00694B87" w:rsidRDefault="007C6A5F" w:rsidP="00C36DA4">
            <w:pPr>
              <w:pStyle w:val="TableDataEntries"/>
              <w:rPr>
                <w:rFonts w:ascii="Franklin Gothic Demi" w:hAnsi="Franklin Gothic Demi"/>
                <w:lang w:val="en-GB"/>
              </w:rPr>
            </w:pPr>
            <w:r w:rsidRPr="00694B87">
              <w:rPr>
                <w:rFonts w:ascii="Franklin Gothic Demi" w:hAnsi="Franklin Gothic Demi"/>
                <w:lang w:val="en-GB"/>
              </w:rPr>
              <w:t>2 318</w:t>
            </w:r>
          </w:p>
        </w:tc>
      </w:tr>
    </w:tbl>
    <w:p w:rsidR="007C6A5F" w:rsidRPr="00E4232C" w:rsidRDefault="007C6A5F" w:rsidP="007C6A5F">
      <w:pPr>
        <w:pStyle w:val="Note"/>
      </w:pPr>
      <w:r w:rsidRPr="00B46BCC">
        <w:rPr>
          <w:rStyle w:val="NoteLabel"/>
          <w:color w:val="000000" w:themeColor="text1"/>
        </w:rPr>
        <w:t>a</w:t>
      </w:r>
      <w:r>
        <w:t xml:space="preserve"> See table </w:t>
      </w:r>
      <w:r>
        <w:rPr>
          <w:noProof/>
        </w:rPr>
        <w:fldChar w:fldCharType="begin"/>
      </w:r>
      <w:r>
        <w:rPr>
          <w:noProof/>
        </w:rPr>
        <w:instrText xml:space="preserve"> REF _Caption1890 </w:instrText>
      </w:r>
      <w:r>
        <w:rPr>
          <w:noProof/>
        </w:rPr>
        <w:fldChar w:fldCharType="separate"/>
      </w:r>
      <w:r>
        <w:rPr>
          <w:noProof/>
        </w:rPr>
        <w:t>5</w:t>
      </w:r>
      <w:r w:rsidRPr="00695C93">
        <w:rPr>
          <w:noProof/>
        </w:rPr>
        <w:t>.</w:t>
      </w:r>
      <w:r>
        <w:rPr>
          <w:noProof/>
        </w:rPr>
        <w:t>12</w:t>
      </w:r>
      <w:r>
        <w:rPr>
          <w:noProof/>
        </w:rPr>
        <w:fldChar w:fldCharType="end"/>
      </w:r>
      <w:r>
        <w:t xml:space="preserve"> below.</w:t>
      </w:r>
    </w:p>
    <w:p w:rsidR="007C6A5F" w:rsidRDefault="007C6A5F" w:rsidP="007C6A5F">
      <w:pPr>
        <w:pStyle w:val="Source"/>
      </w:pPr>
      <w:r>
        <w:rPr>
          <w:i/>
        </w:rPr>
        <w:t>Source</w:t>
      </w:r>
      <w:r w:rsidRPr="00E4232C">
        <w:rPr>
          <w:i/>
        </w:rPr>
        <w:t>:</w:t>
      </w:r>
      <w:r>
        <w:t xml:space="preserve"> HIA estimates.</w:t>
      </w:r>
    </w:p>
    <w:p w:rsidR="007C6A5F" w:rsidRDefault="007C6A5F" w:rsidP="007C6A5F">
      <w:pPr>
        <w:pStyle w:val="BodyText"/>
      </w:pPr>
      <w:r>
        <w:t xml:space="preserve">The costs include: the additional cost of site works; and fill disposal. These costs depend on the type of earth (rocky, mixed or cleanfill). Rocky terrain can require heavy machinery to break up large boulders and comes with higher cost for both site work and </w:t>
      </w:r>
      <w:r>
        <w:lastRenderedPageBreak/>
        <w:t>disposal. Based on the estimated share of each type of material, these costs are estimated at around $138 per m</w:t>
      </w:r>
      <w:r w:rsidRPr="000012A2">
        <w:rPr>
          <w:vertAlign w:val="superscript"/>
        </w:rPr>
        <w:t>3</w:t>
      </w:r>
      <w:r>
        <w:t xml:space="preserve"> in weighted average terms (table </w:t>
      </w:r>
      <w:r>
        <w:rPr>
          <w:noProof/>
        </w:rPr>
        <w:fldChar w:fldCharType="begin"/>
      </w:r>
      <w:r>
        <w:rPr>
          <w:noProof/>
        </w:rPr>
        <w:instrText xml:space="preserve"> REF _Caption1687 </w:instrText>
      </w:r>
      <w:r>
        <w:rPr>
          <w:noProof/>
        </w:rPr>
        <w:fldChar w:fldCharType="separate"/>
      </w:r>
      <w:r>
        <w:rPr>
          <w:noProof/>
        </w:rPr>
        <w:t>5</w:t>
      </w:r>
      <w:r w:rsidRPr="00695C93">
        <w:rPr>
          <w:noProof/>
        </w:rPr>
        <w:t>.</w:t>
      </w:r>
      <w:r>
        <w:rPr>
          <w:noProof/>
        </w:rPr>
        <w:t>11</w:t>
      </w:r>
      <w:r>
        <w:rPr>
          <w:noProof/>
        </w:rPr>
        <w:fldChar w:fldCharType="end"/>
      </w:r>
      <w:r>
        <w:t>).</w:t>
      </w:r>
    </w:p>
    <w:p w:rsidR="007C6A5F" w:rsidRDefault="007C6A5F" w:rsidP="00C36DA4">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w:instrText>
      </w:r>
      <w:r w:rsidRPr="00695C93">
        <w:fldChar w:fldCharType="separate"/>
      </w:r>
      <w:r>
        <w:rPr>
          <w:noProof/>
        </w:rPr>
        <w:instrText>5</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5</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11</w:instrText>
      </w:r>
      <w:r w:rsidRPr="00695C93">
        <w:fldChar w:fldCharType="end"/>
      </w:r>
      <w:r w:rsidRPr="00695C93">
        <w:instrText xml:space="preserve">" "" </w:instrText>
      </w:r>
      <w:r w:rsidRPr="00695C93">
        <w:fldChar w:fldCharType="separate"/>
      </w:r>
      <w:bookmarkStart w:id="4809" w:name="_Caption2181"/>
      <w:bookmarkStart w:id="4810" w:name="_Caption0137"/>
      <w:bookmarkStart w:id="4811" w:name="_Caption4426"/>
      <w:bookmarkStart w:id="4812" w:name="_Caption5892"/>
      <w:bookmarkStart w:id="4813" w:name="_Caption4517"/>
      <w:bookmarkStart w:id="4814" w:name="_Caption9905"/>
      <w:bookmarkStart w:id="4815" w:name="_Caption5720"/>
      <w:bookmarkStart w:id="4816" w:name="_Caption8592"/>
      <w:bookmarkStart w:id="4817" w:name="_Caption0056"/>
      <w:bookmarkStart w:id="4818" w:name="_Caption8221"/>
      <w:bookmarkStart w:id="4819" w:name="_Caption0574"/>
      <w:bookmarkStart w:id="4820" w:name="_Caption1418"/>
      <w:bookmarkStart w:id="4821" w:name="_Caption9076"/>
      <w:bookmarkStart w:id="4822" w:name="_Caption5645"/>
      <w:bookmarkStart w:id="4823" w:name="_Caption5668"/>
      <w:bookmarkStart w:id="4824" w:name="_Caption1349"/>
      <w:bookmarkStart w:id="4825" w:name="_Caption5940"/>
      <w:bookmarkStart w:id="4826" w:name="_Caption6229"/>
      <w:bookmarkStart w:id="4827" w:name="_Caption4151"/>
      <w:bookmarkStart w:id="4828" w:name="_Caption0532"/>
      <w:bookmarkStart w:id="4829" w:name="_Caption4202"/>
      <w:bookmarkStart w:id="4830" w:name="_Caption3035"/>
      <w:bookmarkStart w:id="4831" w:name="_Caption7922"/>
      <w:bookmarkStart w:id="4832" w:name="_Caption5197"/>
      <w:bookmarkStart w:id="4833" w:name="_Caption1687"/>
      <w:bookmarkStart w:id="4834" w:name="_Caption0005"/>
      <w:bookmarkStart w:id="4835" w:name="_Caption6046"/>
      <w:bookmarkStart w:id="4836" w:name="_Caption6815"/>
      <w:bookmarkStart w:id="4837" w:name="_Caption2839"/>
      <w:bookmarkStart w:id="4838" w:name="_Caption6219"/>
      <w:bookmarkStart w:id="4839" w:name="_Caption2757"/>
      <w:bookmarkStart w:id="4840" w:name="_Caption4314"/>
      <w:bookmarkStart w:id="4841" w:name="_Caption9953"/>
      <w:bookmarkStart w:id="4842" w:name="_Caption7200"/>
      <w:bookmarkStart w:id="4843" w:name="_Caption6644"/>
      <w:bookmarkStart w:id="4844" w:name="_Caption5308"/>
      <w:bookmarkStart w:id="4845" w:name="_Caption4057"/>
      <w:bookmarkStart w:id="4846" w:name="_Caption4098"/>
      <w:bookmarkStart w:id="4847" w:name="_Caption7823"/>
      <w:bookmarkStart w:id="4848" w:name="_Caption6381"/>
      <w:bookmarkStart w:id="4849" w:name="_Caption2270"/>
      <w:bookmarkStart w:id="4850" w:name="_Caption6836"/>
      <w:bookmarkStart w:id="4851" w:name="_Caption3204"/>
      <w:bookmarkStart w:id="4852" w:name="_Caption4841"/>
      <w:bookmarkStart w:id="4853" w:name="_Caption4737"/>
      <w:bookmarkStart w:id="4854" w:name="_Caption6066"/>
      <w:bookmarkStart w:id="4855" w:name="_Caption3797"/>
      <w:bookmarkStart w:id="4856" w:name="_Caption4747"/>
      <w:bookmarkStart w:id="4857" w:name="_Caption2176"/>
      <w:bookmarkStart w:id="4858" w:name="_Caption1386"/>
      <w:bookmarkStart w:id="4859" w:name="_Caption0718"/>
      <w:bookmarkStart w:id="4860" w:name="_Caption5649"/>
      <w:bookmarkStart w:id="4861" w:name="_Caption7214"/>
      <w:bookmarkStart w:id="4862" w:name="_Caption3612"/>
      <w:bookmarkStart w:id="4863" w:name="_Caption9395"/>
      <w:bookmarkStart w:id="4864" w:name="_Caption1328"/>
      <w:bookmarkStart w:id="4865" w:name="_Caption3834"/>
      <w:bookmarkStart w:id="4866" w:name="_Caption4870"/>
      <w:bookmarkStart w:id="4867" w:name="_Caption8359"/>
      <w:bookmarkStart w:id="4868" w:name="_Caption8656"/>
      <w:bookmarkStart w:id="4869" w:name="_Caption8439"/>
      <w:bookmarkStart w:id="4870" w:name="_Caption0861"/>
      <w:bookmarkStart w:id="4871" w:name="_Caption9628"/>
      <w:bookmarkStart w:id="4872" w:name="_Caption7269"/>
      <w:bookmarkStart w:id="4873" w:name="_Toc32321833"/>
      <w:bookmarkStart w:id="4874" w:name="_Toc44598531"/>
      <w:bookmarkStart w:id="4875" w:name="_Toc45654162"/>
      <w:r w:rsidR="00272AF3">
        <w:rPr>
          <w:noProof/>
        </w:rPr>
        <w:t>5</w:t>
      </w:r>
      <w:r w:rsidR="00272AF3" w:rsidRPr="00695C93">
        <w:rPr>
          <w:noProof/>
        </w:rPr>
        <w:t>.</w:t>
      </w:r>
      <w:r w:rsidR="00272AF3">
        <w:rPr>
          <w:noProof/>
        </w:rPr>
        <w:t>11</w:t>
      </w:r>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r w:rsidRPr="00695C93">
        <w:fldChar w:fldCharType="end"/>
      </w:r>
      <w:r w:rsidRPr="00695C93">
        <w:tab/>
      </w:r>
      <w:r>
        <w:t>Weighted average cost per m</w:t>
      </w:r>
      <w:r w:rsidRPr="00DB1396">
        <w:rPr>
          <w:vertAlign w:val="superscript"/>
        </w:rPr>
        <w:t>3</w:t>
      </w:r>
      <w:bookmarkEnd w:id="4873"/>
      <w:bookmarkEnd w:id="4874"/>
      <w:bookmarkEnd w:id="4875"/>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5.11"/>
        <w:tblDescription w:val="Weighted average cost per cubic metre"/>
      </w:tblPr>
      <w:tblGrid>
        <w:gridCol w:w="1782"/>
        <w:gridCol w:w="1538"/>
        <w:gridCol w:w="1539"/>
        <w:gridCol w:w="1538"/>
        <w:gridCol w:w="1539"/>
      </w:tblGrid>
      <w:tr w:rsidR="007C6A5F" w:rsidTr="00D558E4">
        <w:trPr>
          <w:trHeight w:val="230"/>
          <w:tblHeader/>
        </w:trPr>
        <w:tc>
          <w:tcPr>
            <w:tcW w:w="1782" w:type="dxa"/>
            <w:shd w:val="clear" w:color="auto" w:fill="6F6652" w:themeFill="accent5"/>
          </w:tcPr>
          <w:p w:rsidR="007C6A5F" w:rsidRDefault="00D558E4" w:rsidP="00C36DA4">
            <w:pPr>
              <w:pStyle w:val="TableDataColumnHeading"/>
              <w:jc w:val="left"/>
              <w:rPr>
                <w:lang w:val="en-GB"/>
              </w:rPr>
            </w:pPr>
            <w:r>
              <w:rPr>
                <w:lang w:val="en-GB"/>
              </w:rPr>
              <w:t>Condition</w:t>
            </w:r>
          </w:p>
        </w:tc>
        <w:tc>
          <w:tcPr>
            <w:tcW w:w="1538" w:type="dxa"/>
            <w:shd w:val="clear" w:color="auto" w:fill="6F6652" w:themeFill="accent5"/>
          </w:tcPr>
          <w:p w:rsidR="007C6A5F" w:rsidRDefault="007C6A5F" w:rsidP="00C36DA4">
            <w:pPr>
              <w:pStyle w:val="TableDataColumnHeading"/>
              <w:rPr>
                <w:lang w:val="en-GB"/>
              </w:rPr>
            </w:pPr>
            <w:r>
              <w:rPr>
                <w:lang w:val="en-GB"/>
              </w:rPr>
              <w:t>Weighting</w:t>
            </w:r>
            <w:r w:rsidR="00D558E4">
              <w:rPr>
                <w:lang w:val="en-GB"/>
              </w:rPr>
              <w:br/>
              <w:t>(per cent)</w:t>
            </w:r>
          </w:p>
        </w:tc>
        <w:tc>
          <w:tcPr>
            <w:tcW w:w="1539" w:type="dxa"/>
            <w:shd w:val="clear" w:color="auto" w:fill="6F6652" w:themeFill="accent5"/>
          </w:tcPr>
          <w:p w:rsidR="007C6A5F" w:rsidRDefault="007C6A5F" w:rsidP="00C36DA4">
            <w:pPr>
              <w:pStyle w:val="TableDataColumnHeading"/>
              <w:rPr>
                <w:lang w:val="en-GB"/>
              </w:rPr>
            </w:pPr>
            <w:r>
              <w:rPr>
                <w:lang w:val="en-GB"/>
              </w:rPr>
              <w:t>Site work costs</w:t>
            </w:r>
            <w:r w:rsidR="00D558E4">
              <w:rPr>
                <w:lang w:val="en-GB"/>
              </w:rPr>
              <w:br/>
              <w:t>($ per m</w:t>
            </w:r>
            <w:r w:rsidR="00D558E4" w:rsidRPr="00D558E4">
              <w:rPr>
                <w:vertAlign w:val="superscript"/>
                <w:lang w:val="en-GB"/>
              </w:rPr>
              <w:t>3</w:t>
            </w:r>
            <w:r w:rsidR="00D558E4">
              <w:rPr>
                <w:lang w:val="en-GB"/>
              </w:rPr>
              <w:t>)</w:t>
            </w:r>
          </w:p>
        </w:tc>
        <w:tc>
          <w:tcPr>
            <w:tcW w:w="1538" w:type="dxa"/>
            <w:shd w:val="clear" w:color="auto" w:fill="6F6652" w:themeFill="accent5"/>
          </w:tcPr>
          <w:p w:rsidR="007C6A5F" w:rsidRDefault="007C6A5F" w:rsidP="00C36DA4">
            <w:pPr>
              <w:pStyle w:val="TableDataColumnHeading"/>
              <w:rPr>
                <w:lang w:val="en-GB"/>
              </w:rPr>
            </w:pPr>
            <w:r>
              <w:rPr>
                <w:lang w:val="en-GB"/>
              </w:rPr>
              <w:t>Fill disposal costs</w:t>
            </w:r>
            <w:r w:rsidR="00D558E4">
              <w:rPr>
                <w:lang w:val="en-GB"/>
              </w:rPr>
              <w:br/>
              <w:t>($ per m</w:t>
            </w:r>
            <w:r w:rsidR="00D558E4" w:rsidRPr="00D558E4">
              <w:rPr>
                <w:vertAlign w:val="superscript"/>
                <w:lang w:val="en-GB"/>
              </w:rPr>
              <w:t>3</w:t>
            </w:r>
            <w:r w:rsidR="00D558E4">
              <w:rPr>
                <w:lang w:val="en-GB"/>
              </w:rPr>
              <w:t>)</w:t>
            </w:r>
          </w:p>
        </w:tc>
        <w:tc>
          <w:tcPr>
            <w:tcW w:w="1539" w:type="dxa"/>
            <w:shd w:val="clear" w:color="auto" w:fill="6F6652" w:themeFill="accent5"/>
          </w:tcPr>
          <w:p w:rsidR="007C6A5F" w:rsidRDefault="007C6A5F" w:rsidP="00C36DA4">
            <w:pPr>
              <w:pStyle w:val="TableDataColumnHeading"/>
              <w:rPr>
                <w:lang w:val="en-GB"/>
              </w:rPr>
            </w:pPr>
            <w:r>
              <w:rPr>
                <w:lang w:val="en-GB"/>
              </w:rPr>
              <w:t>Total costs</w:t>
            </w:r>
            <w:r w:rsidR="00D558E4">
              <w:rPr>
                <w:lang w:val="en-GB"/>
              </w:rPr>
              <w:br/>
              <w:t>($ per m</w:t>
            </w:r>
            <w:r w:rsidR="00D558E4" w:rsidRPr="00D558E4">
              <w:rPr>
                <w:vertAlign w:val="superscript"/>
                <w:lang w:val="en-GB"/>
              </w:rPr>
              <w:t>3</w:t>
            </w:r>
            <w:r w:rsidR="00D558E4">
              <w:rPr>
                <w:lang w:val="en-GB"/>
              </w:rPr>
              <w:t>)</w:t>
            </w:r>
          </w:p>
        </w:tc>
      </w:tr>
      <w:tr w:rsidR="007C6A5F" w:rsidTr="004627EC">
        <w:trPr>
          <w:trHeight w:val="230"/>
        </w:trPr>
        <w:tc>
          <w:tcPr>
            <w:tcW w:w="178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Rocky</w:t>
            </w:r>
          </w:p>
        </w:tc>
        <w:tc>
          <w:tcPr>
            <w:tcW w:w="153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10</w:t>
            </w:r>
          </w:p>
        </w:tc>
        <w:tc>
          <w:tcPr>
            <w:tcW w:w="153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60</w:t>
            </w:r>
          </w:p>
        </w:tc>
        <w:tc>
          <w:tcPr>
            <w:tcW w:w="153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200</w:t>
            </w:r>
          </w:p>
        </w:tc>
        <w:tc>
          <w:tcPr>
            <w:tcW w:w="153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260</w:t>
            </w:r>
          </w:p>
        </w:tc>
      </w:tr>
      <w:tr w:rsidR="007C6A5F" w:rsidTr="004627EC">
        <w:trPr>
          <w:trHeight w:val="230"/>
        </w:trPr>
        <w:tc>
          <w:tcPr>
            <w:tcW w:w="178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Mixed</w:t>
            </w:r>
          </w:p>
        </w:tc>
        <w:tc>
          <w:tcPr>
            <w:tcW w:w="153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40</w:t>
            </w:r>
          </w:p>
        </w:tc>
        <w:tc>
          <w:tcPr>
            <w:tcW w:w="153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30</w:t>
            </w:r>
          </w:p>
        </w:tc>
        <w:tc>
          <w:tcPr>
            <w:tcW w:w="153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150</w:t>
            </w:r>
          </w:p>
        </w:tc>
        <w:tc>
          <w:tcPr>
            <w:tcW w:w="153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180</w:t>
            </w:r>
          </w:p>
        </w:tc>
      </w:tr>
      <w:tr w:rsidR="007C6A5F" w:rsidTr="00B5160B">
        <w:trPr>
          <w:trHeight w:val="230"/>
        </w:trPr>
        <w:tc>
          <w:tcPr>
            <w:tcW w:w="178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Cleanfill</w:t>
            </w:r>
          </w:p>
        </w:tc>
        <w:tc>
          <w:tcPr>
            <w:tcW w:w="153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50</w:t>
            </w:r>
          </w:p>
        </w:tc>
        <w:tc>
          <w:tcPr>
            <w:tcW w:w="153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10</w:t>
            </w:r>
          </w:p>
        </w:tc>
        <w:tc>
          <w:tcPr>
            <w:tcW w:w="153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70</w:t>
            </w:r>
          </w:p>
        </w:tc>
        <w:tc>
          <w:tcPr>
            <w:tcW w:w="153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80</w:t>
            </w:r>
          </w:p>
        </w:tc>
      </w:tr>
      <w:tr w:rsidR="007C6A5F" w:rsidRPr="00694B87" w:rsidTr="00B5160B">
        <w:trPr>
          <w:trHeight w:val="230"/>
        </w:trPr>
        <w:tc>
          <w:tcPr>
            <w:tcW w:w="1782" w:type="dxa"/>
            <w:tcBorders>
              <w:top w:val="single" w:sz="8" w:space="0" w:color="FFFFFF" w:themeColor="background1"/>
              <w:bottom w:val="single" w:sz="4" w:space="0" w:color="6F6652" w:themeColor="accent5"/>
            </w:tcBorders>
            <w:shd w:val="clear" w:color="auto" w:fill="C2DADB" w:themeFill="accent6" w:themeFillTint="99"/>
          </w:tcPr>
          <w:p w:rsidR="007C6A5F" w:rsidRPr="00694B87" w:rsidRDefault="007C6A5F" w:rsidP="00C36DA4">
            <w:pPr>
              <w:pStyle w:val="TableDataEntries"/>
              <w:jc w:val="left"/>
              <w:rPr>
                <w:rFonts w:ascii="Franklin Gothic Demi" w:hAnsi="Franklin Gothic Demi"/>
                <w:lang w:val="en-GB"/>
              </w:rPr>
            </w:pPr>
            <w:r w:rsidRPr="00694B87">
              <w:rPr>
                <w:rFonts w:ascii="Franklin Gothic Demi" w:hAnsi="Franklin Gothic Demi"/>
                <w:lang w:val="en-GB"/>
              </w:rPr>
              <w:t>Weighted average</w:t>
            </w:r>
          </w:p>
        </w:tc>
        <w:tc>
          <w:tcPr>
            <w:tcW w:w="1538" w:type="dxa"/>
            <w:tcBorders>
              <w:top w:val="single" w:sz="8" w:space="0" w:color="FFFFFF" w:themeColor="background1"/>
              <w:bottom w:val="single" w:sz="4" w:space="0" w:color="6F6652" w:themeColor="accent5"/>
            </w:tcBorders>
            <w:shd w:val="clear" w:color="auto" w:fill="C2DADB" w:themeFill="accent6" w:themeFillTint="99"/>
          </w:tcPr>
          <w:p w:rsidR="007C6A5F" w:rsidRPr="00694B87" w:rsidRDefault="00D558E4" w:rsidP="00C36DA4">
            <w:pPr>
              <w:pStyle w:val="TableDataEntries"/>
              <w:rPr>
                <w:rFonts w:ascii="Franklin Gothic Demi" w:hAnsi="Franklin Gothic Demi"/>
                <w:lang w:val="en-GB"/>
              </w:rPr>
            </w:pPr>
            <w:r>
              <w:rPr>
                <w:rFonts w:ascii="Franklin Gothic Demi" w:hAnsi="Franklin Gothic Demi"/>
                <w:lang w:val="en-GB"/>
              </w:rPr>
              <w:t>100</w:t>
            </w:r>
          </w:p>
        </w:tc>
        <w:tc>
          <w:tcPr>
            <w:tcW w:w="1539" w:type="dxa"/>
            <w:tcBorders>
              <w:top w:val="single" w:sz="8" w:space="0" w:color="FFFFFF" w:themeColor="background1"/>
              <w:bottom w:val="single" w:sz="4" w:space="0" w:color="6F6652" w:themeColor="accent5"/>
            </w:tcBorders>
            <w:shd w:val="clear" w:color="auto" w:fill="C2DADB" w:themeFill="accent6" w:themeFillTint="99"/>
          </w:tcPr>
          <w:p w:rsidR="007C6A5F" w:rsidRPr="00694B87" w:rsidRDefault="007C6A5F" w:rsidP="00C36DA4">
            <w:pPr>
              <w:pStyle w:val="TableDataEntries"/>
              <w:rPr>
                <w:rFonts w:ascii="Franklin Gothic Demi" w:hAnsi="Franklin Gothic Demi"/>
                <w:lang w:val="en-GB"/>
              </w:rPr>
            </w:pPr>
            <w:r w:rsidRPr="00694B87">
              <w:rPr>
                <w:rFonts w:ascii="Franklin Gothic Demi" w:hAnsi="Franklin Gothic Demi"/>
                <w:lang w:val="en-GB"/>
              </w:rPr>
              <w:t xml:space="preserve"> 23</w:t>
            </w:r>
          </w:p>
        </w:tc>
        <w:tc>
          <w:tcPr>
            <w:tcW w:w="1538" w:type="dxa"/>
            <w:tcBorders>
              <w:top w:val="single" w:sz="8" w:space="0" w:color="FFFFFF" w:themeColor="background1"/>
              <w:bottom w:val="single" w:sz="4" w:space="0" w:color="6F6652" w:themeColor="accent5"/>
            </w:tcBorders>
            <w:shd w:val="clear" w:color="auto" w:fill="C2DADB" w:themeFill="accent6" w:themeFillTint="99"/>
          </w:tcPr>
          <w:p w:rsidR="007C6A5F" w:rsidRPr="00694B87" w:rsidRDefault="007C6A5F" w:rsidP="00C36DA4">
            <w:pPr>
              <w:pStyle w:val="TableDataEntries"/>
              <w:rPr>
                <w:rFonts w:ascii="Franklin Gothic Demi" w:hAnsi="Franklin Gothic Demi"/>
                <w:lang w:val="en-GB"/>
              </w:rPr>
            </w:pPr>
            <w:r w:rsidRPr="00694B87">
              <w:rPr>
                <w:rFonts w:ascii="Franklin Gothic Demi" w:hAnsi="Franklin Gothic Demi"/>
                <w:lang w:val="en-GB"/>
              </w:rPr>
              <w:t xml:space="preserve"> 115</w:t>
            </w:r>
          </w:p>
        </w:tc>
        <w:tc>
          <w:tcPr>
            <w:tcW w:w="1539" w:type="dxa"/>
            <w:tcBorders>
              <w:top w:val="single" w:sz="8" w:space="0" w:color="FFFFFF" w:themeColor="background1"/>
              <w:bottom w:val="single" w:sz="4" w:space="0" w:color="6F6652" w:themeColor="accent5"/>
            </w:tcBorders>
            <w:shd w:val="clear" w:color="auto" w:fill="C2DADB" w:themeFill="accent6" w:themeFillTint="99"/>
          </w:tcPr>
          <w:p w:rsidR="007C6A5F" w:rsidRPr="00694B87" w:rsidRDefault="007C6A5F" w:rsidP="00C36DA4">
            <w:pPr>
              <w:pStyle w:val="TableDataEntries"/>
              <w:rPr>
                <w:rFonts w:ascii="Franklin Gothic Demi" w:hAnsi="Franklin Gothic Demi"/>
                <w:lang w:val="en-GB"/>
              </w:rPr>
            </w:pPr>
            <w:r w:rsidRPr="00694B87">
              <w:rPr>
                <w:rFonts w:ascii="Franklin Gothic Demi" w:hAnsi="Franklin Gothic Demi"/>
                <w:lang w:val="en-GB"/>
              </w:rPr>
              <w:t xml:space="preserve"> 138</w:t>
            </w:r>
          </w:p>
        </w:tc>
      </w:tr>
    </w:tbl>
    <w:p w:rsidR="007C6A5F" w:rsidRDefault="007C6A5F" w:rsidP="007C6A5F">
      <w:pPr>
        <w:pStyle w:val="Source"/>
      </w:pPr>
      <w:r>
        <w:rPr>
          <w:i/>
        </w:rPr>
        <w:t>Source</w:t>
      </w:r>
      <w:r w:rsidRPr="00E4232C">
        <w:rPr>
          <w:i/>
        </w:rPr>
        <w:t>:</w:t>
      </w:r>
      <w:r>
        <w:t xml:space="preserve"> HIA estimates.</w:t>
      </w:r>
    </w:p>
    <w:p w:rsidR="007C6A5F" w:rsidRDefault="007C6A5F" w:rsidP="007C6A5F">
      <w:pPr>
        <w:pStyle w:val="BodyText"/>
      </w:pPr>
      <w:r>
        <w:t>The amount of additional excavation required varies depending on the size of the lot and the slope (table </w:t>
      </w:r>
      <w:r>
        <w:rPr>
          <w:noProof/>
        </w:rPr>
        <w:fldChar w:fldCharType="begin"/>
      </w:r>
      <w:r>
        <w:rPr>
          <w:noProof/>
        </w:rPr>
        <w:instrText xml:space="preserve"> REF _Caption0258 </w:instrText>
      </w:r>
      <w:r>
        <w:rPr>
          <w:noProof/>
        </w:rPr>
        <w:fldChar w:fldCharType="separate"/>
      </w:r>
      <w:r>
        <w:rPr>
          <w:noProof/>
        </w:rPr>
        <w:t>5</w:t>
      </w:r>
      <w:r w:rsidRPr="00695C93">
        <w:rPr>
          <w:noProof/>
        </w:rPr>
        <w:t>.</w:t>
      </w:r>
      <w:r>
        <w:rPr>
          <w:noProof/>
        </w:rPr>
        <w:t>12</w:t>
      </w:r>
      <w:r>
        <w:rPr>
          <w:noProof/>
        </w:rPr>
        <w:fldChar w:fldCharType="end"/>
      </w:r>
      <w:r>
        <w:t>).</w:t>
      </w:r>
    </w:p>
    <w:p w:rsidR="007C6A5F" w:rsidRDefault="007C6A5F" w:rsidP="005A6F87">
      <w:pPr>
        <w:pStyle w:val="ListBullet"/>
        <w:numPr>
          <w:ilvl w:val="0"/>
          <w:numId w:val="17"/>
        </w:numPr>
        <w:spacing w:before="50"/>
      </w:pPr>
      <w:r>
        <w:t>In general, lots with steeper slopes will require more excavation to make it possible to build an accessible home on the site.</w:t>
      </w:r>
    </w:p>
    <w:p w:rsidR="007C6A5F" w:rsidRDefault="007C6A5F" w:rsidP="005A6F87">
      <w:pPr>
        <w:pStyle w:val="ListBullet"/>
        <w:numPr>
          <w:ilvl w:val="0"/>
          <w:numId w:val="17"/>
        </w:numPr>
        <w:spacing w:before="50"/>
      </w:pPr>
      <w:r>
        <w:t>HIA also assumes that sites for small lot homes are more likely to be on flatter terrain, while steeper sloping sites are likely to have larger house.</w:t>
      </w:r>
    </w:p>
    <w:p w:rsidR="007C6A5F" w:rsidRDefault="007C6A5F" w:rsidP="00C36DA4">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w:instrText>
      </w:r>
      <w:r w:rsidRPr="00695C93">
        <w:fldChar w:fldCharType="separate"/>
      </w:r>
      <w:r>
        <w:rPr>
          <w:noProof/>
        </w:rPr>
        <w:instrText>5</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5</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12</w:instrText>
      </w:r>
      <w:r w:rsidRPr="00695C93">
        <w:fldChar w:fldCharType="end"/>
      </w:r>
      <w:r w:rsidRPr="00695C93">
        <w:instrText xml:space="preserve">" "" </w:instrText>
      </w:r>
      <w:r w:rsidRPr="00695C93">
        <w:fldChar w:fldCharType="separate"/>
      </w:r>
      <w:bookmarkStart w:id="4876" w:name="_Caption8258"/>
      <w:bookmarkStart w:id="4877" w:name="_Caption4888"/>
      <w:bookmarkStart w:id="4878" w:name="_Caption8083"/>
      <w:bookmarkStart w:id="4879" w:name="_Caption0181"/>
      <w:bookmarkStart w:id="4880" w:name="_Caption5368"/>
      <w:bookmarkStart w:id="4881" w:name="_Caption2093"/>
      <w:bookmarkStart w:id="4882" w:name="_Caption5250"/>
      <w:bookmarkStart w:id="4883" w:name="_Caption8567"/>
      <w:bookmarkStart w:id="4884" w:name="_Caption7039"/>
      <w:bookmarkStart w:id="4885" w:name="_Caption3839"/>
      <w:bookmarkStart w:id="4886" w:name="_Caption5299"/>
      <w:bookmarkStart w:id="4887" w:name="_Caption9896"/>
      <w:bookmarkStart w:id="4888" w:name="_Caption8756"/>
      <w:bookmarkStart w:id="4889" w:name="_Caption5605"/>
      <w:bookmarkStart w:id="4890" w:name="_Caption5175"/>
      <w:bookmarkStart w:id="4891" w:name="_Caption4446"/>
      <w:bookmarkStart w:id="4892" w:name="_Caption6047"/>
      <w:bookmarkStart w:id="4893" w:name="_Caption3266"/>
      <w:bookmarkStart w:id="4894" w:name="_Caption1890"/>
      <w:bookmarkStart w:id="4895" w:name="_Caption3776"/>
      <w:bookmarkStart w:id="4896" w:name="_Caption1064"/>
      <w:bookmarkStart w:id="4897" w:name="_Caption7256"/>
      <w:bookmarkStart w:id="4898" w:name="_Caption5052"/>
      <w:bookmarkStart w:id="4899" w:name="_Caption0258"/>
      <w:bookmarkStart w:id="4900" w:name="_Caption4720"/>
      <w:bookmarkStart w:id="4901" w:name="_Caption8393"/>
      <w:bookmarkStart w:id="4902" w:name="_Caption0565"/>
      <w:bookmarkStart w:id="4903" w:name="_Caption2935"/>
      <w:bookmarkStart w:id="4904" w:name="_Caption7177"/>
      <w:bookmarkStart w:id="4905" w:name="_Caption5612"/>
      <w:bookmarkStart w:id="4906" w:name="_Caption8785"/>
      <w:bookmarkStart w:id="4907" w:name="_Caption1168"/>
      <w:bookmarkStart w:id="4908" w:name="_Caption3583"/>
      <w:bookmarkStart w:id="4909" w:name="_Caption8195"/>
      <w:bookmarkStart w:id="4910" w:name="_Caption1945"/>
      <w:bookmarkStart w:id="4911" w:name="_Caption6733"/>
      <w:bookmarkStart w:id="4912" w:name="_Caption1947"/>
      <w:bookmarkStart w:id="4913" w:name="_Caption9465"/>
      <w:bookmarkStart w:id="4914" w:name="_Caption7036"/>
      <w:bookmarkStart w:id="4915" w:name="_Caption0575"/>
      <w:bookmarkStart w:id="4916" w:name="_Caption3456"/>
      <w:bookmarkStart w:id="4917" w:name="_Caption4512"/>
      <w:bookmarkStart w:id="4918" w:name="_Caption4786"/>
      <w:bookmarkStart w:id="4919" w:name="_Caption2067"/>
      <w:bookmarkStart w:id="4920" w:name="_Caption6216"/>
      <w:bookmarkStart w:id="4921" w:name="_Caption0835"/>
      <w:bookmarkStart w:id="4922" w:name="_Caption6358"/>
      <w:bookmarkStart w:id="4923" w:name="_Caption1429"/>
      <w:bookmarkStart w:id="4924" w:name="_Caption7048"/>
      <w:bookmarkStart w:id="4925" w:name="_Caption4884"/>
      <w:bookmarkStart w:id="4926" w:name="_Caption3980"/>
      <w:bookmarkStart w:id="4927" w:name="_Caption3449"/>
      <w:bookmarkStart w:id="4928" w:name="_Caption6282"/>
      <w:bookmarkStart w:id="4929" w:name="_Caption5510"/>
      <w:bookmarkStart w:id="4930" w:name="_Caption8842"/>
      <w:bookmarkStart w:id="4931" w:name="_Caption0508"/>
      <w:bookmarkStart w:id="4932" w:name="_Caption7241"/>
      <w:bookmarkStart w:id="4933" w:name="_Caption8920"/>
      <w:bookmarkStart w:id="4934" w:name="_Caption7864"/>
      <w:bookmarkStart w:id="4935" w:name="_Caption9954"/>
      <w:bookmarkStart w:id="4936" w:name="_Caption5954"/>
      <w:bookmarkStart w:id="4937" w:name="_Caption2980"/>
      <w:bookmarkStart w:id="4938" w:name="_Caption1007"/>
      <w:bookmarkStart w:id="4939" w:name="_Toc32321834"/>
      <w:bookmarkStart w:id="4940" w:name="_Toc44598532"/>
      <w:bookmarkStart w:id="4941" w:name="_Toc45654163"/>
      <w:r w:rsidR="00272AF3">
        <w:rPr>
          <w:noProof/>
        </w:rPr>
        <w:t>5</w:t>
      </w:r>
      <w:r w:rsidR="00272AF3" w:rsidRPr="00695C93">
        <w:rPr>
          <w:noProof/>
        </w:rPr>
        <w:t>.</w:t>
      </w:r>
      <w:r w:rsidR="00272AF3">
        <w:rPr>
          <w:noProof/>
        </w:rPr>
        <w:t>12</w:t>
      </w:r>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r w:rsidRPr="00695C93">
        <w:fldChar w:fldCharType="end"/>
      </w:r>
      <w:r w:rsidRPr="00695C93">
        <w:tab/>
      </w:r>
      <w:r>
        <w:t>Estimated cost per lot</w:t>
      </w:r>
      <w:bookmarkEnd w:id="4939"/>
      <w:bookmarkEnd w:id="4940"/>
      <w:bookmarkEnd w:id="4941"/>
    </w:p>
    <w:tbl>
      <w:tblPr>
        <w:tblStyle w:val="TableGridLight"/>
        <w:tblW w:w="7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5.12"/>
        <w:tblDescription w:val="Estimated cost per lot"/>
      </w:tblPr>
      <w:tblGrid>
        <w:gridCol w:w="1701"/>
        <w:gridCol w:w="1134"/>
        <w:gridCol w:w="1020"/>
        <w:gridCol w:w="1020"/>
        <w:gridCol w:w="1020"/>
        <w:gridCol w:w="1020"/>
        <w:gridCol w:w="1021"/>
      </w:tblGrid>
      <w:tr w:rsidR="00D558E4" w:rsidRPr="00C36DA4" w:rsidTr="00D558E4">
        <w:trPr>
          <w:trHeight w:val="461"/>
          <w:tblHeader/>
        </w:trPr>
        <w:tc>
          <w:tcPr>
            <w:tcW w:w="1701" w:type="dxa"/>
            <w:shd w:val="clear" w:color="auto" w:fill="6F6652" w:themeFill="accent5"/>
          </w:tcPr>
          <w:p w:rsidR="00D558E4" w:rsidRPr="00C36DA4" w:rsidRDefault="00D558E4" w:rsidP="00C36DA4">
            <w:pPr>
              <w:pStyle w:val="TableDataColumnHeading"/>
              <w:jc w:val="left"/>
              <w:rPr>
                <w:lang w:val="en-GB"/>
              </w:rPr>
            </w:pPr>
            <w:r>
              <w:rPr>
                <w:lang w:val="en-GB"/>
              </w:rPr>
              <w:t>Lot</w:t>
            </w:r>
          </w:p>
        </w:tc>
        <w:tc>
          <w:tcPr>
            <w:tcW w:w="1134" w:type="dxa"/>
            <w:shd w:val="clear" w:color="auto" w:fill="6F6652" w:themeFill="accent5"/>
          </w:tcPr>
          <w:p w:rsidR="00D558E4" w:rsidRPr="00C36DA4" w:rsidRDefault="00D558E4" w:rsidP="00C36DA4">
            <w:pPr>
              <w:pStyle w:val="TableDataColumnHeading"/>
              <w:jc w:val="left"/>
              <w:rPr>
                <w:lang w:val="en-GB"/>
              </w:rPr>
            </w:pPr>
            <w:r>
              <w:rPr>
                <w:lang w:val="en-GB"/>
              </w:rPr>
              <w:t>Slope</w:t>
            </w:r>
          </w:p>
        </w:tc>
        <w:tc>
          <w:tcPr>
            <w:tcW w:w="1020" w:type="dxa"/>
            <w:shd w:val="clear" w:color="auto" w:fill="6F6652" w:themeFill="accent5"/>
          </w:tcPr>
          <w:p w:rsidR="00D558E4" w:rsidRPr="00C36DA4" w:rsidRDefault="00D558E4" w:rsidP="00C36DA4">
            <w:pPr>
              <w:pStyle w:val="TableDataColumnHeading"/>
              <w:rPr>
                <w:lang w:val="en-GB"/>
              </w:rPr>
            </w:pPr>
            <w:r w:rsidRPr="00C36DA4">
              <w:rPr>
                <w:lang w:val="en-GB"/>
              </w:rPr>
              <w:t>Weighting</w:t>
            </w:r>
            <w:r>
              <w:rPr>
                <w:lang w:val="en-GB"/>
              </w:rPr>
              <w:br/>
              <w:t>(per cent)</w:t>
            </w:r>
          </w:p>
        </w:tc>
        <w:tc>
          <w:tcPr>
            <w:tcW w:w="1020" w:type="dxa"/>
            <w:shd w:val="clear" w:color="auto" w:fill="6F6652" w:themeFill="accent5"/>
          </w:tcPr>
          <w:p w:rsidR="00D558E4" w:rsidRPr="00C36DA4" w:rsidRDefault="00D558E4" w:rsidP="00C36DA4">
            <w:pPr>
              <w:pStyle w:val="TableDataColumnHeading"/>
              <w:rPr>
                <w:lang w:val="en-GB"/>
              </w:rPr>
            </w:pPr>
            <w:r w:rsidRPr="00C36DA4">
              <w:rPr>
                <w:lang w:val="en-GB"/>
              </w:rPr>
              <w:t>Volume per lot</w:t>
            </w:r>
            <w:r>
              <w:rPr>
                <w:lang w:val="en-GB"/>
              </w:rPr>
              <w:br/>
              <w:t xml:space="preserve"> (m</w:t>
            </w:r>
            <w:r w:rsidRPr="00D558E4">
              <w:rPr>
                <w:vertAlign w:val="superscript"/>
                <w:lang w:val="en-GB"/>
              </w:rPr>
              <w:t>3</w:t>
            </w:r>
            <w:r>
              <w:rPr>
                <w:lang w:val="en-GB"/>
              </w:rPr>
              <w:t>)</w:t>
            </w:r>
          </w:p>
        </w:tc>
        <w:tc>
          <w:tcPr>
            <w:tcW w:w="1020" w:type="dxa"/>
            <w:shd w:val="clear" w:color="auto" w:fill="6F6652" w:themeFill="accent5"/>
          </w:tcPr>
          <w:p w:rsidR="00D558E4" w:rsidRPr="00C36DA4" w:rsidRDefault="00D558E4" w:rsidP="00C36DA4">
            <w:pPr>
              <w:pStyle w:val="TableDataColumnHeading"/>
              <w:rPr>
                <w:lang w:val="en-GB"/>
              </w:rPr>
            </w:pPr>
            <w:r w:rsidRPr="00C36DA4">
              <w:rPr>
                <w:lang w:val="en-GB"/>
              </w:rPr>
              <w:t xml:space="preserve">Site work costs per lot </w:t>
            </w:r>
            <w:r w:rsidRPr="00B46BCC">
              <w:rPr>
                <w:rStyle w:val="NoteLabel"/>
                <w:color w:val="FFFFFF" w:themeColor="background1"/>
              </w:rPr>
              <w:t>a</w:t>
            </w:r>
            <w:r>
              <w:rPr>
                <w:rStyle w:val="NoteLabel"/>
                <w:color w:val="FFFFFF" w:themeColor="background1"/>
              </w:rPr>
              <w:br/>
            </w:r>
            <w:r>
              <w:rPr>
                <w:lang w:val="en-GB"/>
              </w:rPr>
              <w:t>($)</w:t>
            </w:r>
          </w:p>
        </w:tc>
        <w:tc>
          <w:tcPr>
            <w:tcW w:w="1020" w:type="dxa"/>
            <w:shd w:val="clear" w:color="auto" w:fill="6F6652" w:themeFill="accent5"/>
          </w:tcPr>
          <w:p w:rsidR="00D558E4" w:rsidRPr="00C36DA4" w:rsidRDefault="00D558E4" w:rsidP="00C36DA4">
            <w:pPr>
              <w:pStyle w:val="TableDataColumnHeading"/>
              <w:rPr>
                <w:lang w:val="en-GB"/>
              </w:rPr>
            </w:pPr>
            <w:r w:rsidRPr="00C36DA4">
              <w:rPr>
                <w:lang w:val="en-GB"/>
              </w:rPr>
              <w:t xml:space="preserve">Fill disposal costs per lot </w:t>
            </w:r>
            <w:r w:rsidRPr="00B46BCC">
              <w:rPr>
                <w:rStyle w:val="NoteLabel"/>
                <w:color w:val="FFFFFF" w:themeColor="background1"/>
              </w:rPr>
              <w:t>b</w:t>
            </w:r>
            <w:r>
              <w:rPr>
                <w:rStyle w:val="NoteLabel"/>
                <w:color w:val="FFFFFF" w:themeColor="background1"/>
              </w:rPr>
              <w:br/>
            </w:r>
            <w:r>
              <w:rPr>
                <w:lang w:val="en-GB"/>
              </w:rPr>
              <w:t>($)</w:t>
            </w:r>
          </w:p>
        </w:tc>
        <w:tc>
          <w:tcPr>
            <w:tcW w:w="1021" w:type="dxa"/>
            <w:shd w:val="clear" w:color="auto" w:fill="6F6652" w:themeFill="accent5"/>
          </w:tcPr>
          <w:p w:rsidR="00D558E4" w:rsidRPr="00C36DA4" w:rsidRDefault="00D558E4" w:rsidP="00C36DA4">
            <w:pPr>
              <w:pStyle w:val="TableDataColumnHeading"/>
              <w:rPr>
                <w:lang w:val="en-GB"/>
              </w:rPr>
            </w:pPr>
            <w:r w:rsidRPr="00C36DA4">
              <w:rPr>
                <w:lang w:val="en-GB"/>
              </w:rPr>
              <w:t>Total cost per lot</w:t>
            </w:r>
            <w:r>
              <w:rPr>
                <w:lang w:val="en-GB"/>
              </w:rPr>
              <w:t xml:space="preserve"> </w:t>
            </w:r>
            <w:r>
              <w:rPr>
                <w:lang w:val="en-GB"/>
              </w:rPr>
              <w:br/>
              <w:t>($)</w:t>
            </w:r>
          </w:p>
        </w:tc>
      </w:tr>
      <w:tr w:rsidR="00D558E4" w:rsidTr="00D558E4">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jc w:val="left"/>
              <w:rPr>
                <w:lang w:val="en-GB"/>
              </w:rPr>
            </w:pPr>
            <w:r w:rsidRPr="00FF6357">
              <w:rPr>
                <w:color w:val="000000" w:themeColor="text1"/>
                <w:lang w:val="en-GB"/>
              </w:rPr>
              <w:t>Small lot (~280 m</w:t>
            </w:r>
            <w:r w:rsidRPr="00FF6357">
              <w:rPr>
                <w:color w:val="000000" w:themeColor="text1"/>
                <w:vertAlign w:val="superscript"/>
                <w:lang w:val="en-GB"/>
              </w:rPr>
              <w:t>2</w:t>
            </w:r>
            <w:r w:rsidRPr="00FF6357">
              <w:rPr>
                <w:color w:val="000000" w:themeColor="text1"/>
                <w:lang w:val="en-GB"/>
              </w:rPr>
              <w:t>)</w:t>
            </w:r>
          </w:p>
        </w:tc>
        <w:tc>
          <w:tcPr>
            <w:tcW w:w="1134"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jc w:val="left"/>
              <w:rPr>
                <w:lang w:val="en-GB"/>
              </w:rPr>
            </w:pPr>
            <w:r>
              <w:rPr>
                <w:lang w:val="en-GB"/>
              </w:rPr>
              <w:t>Steep</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0</w:t>
            </w:r>
          </w:p>
        </w:tc>
        <w:tc>
          <w:tcPr>
            <w:tcW w:w="1021"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0</w:t>
            </w:r>
          </w:p>
        </w:tc>
      </w:tr>
      <w:tr w:rsidR="00D558E4" w:rsidTr="00D558E4">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jc w:val="left"/>
              <w:rPr>
                <w:lang w:val="en-GB"/>
              </w:rPr>
            </w:pPr>
            <w:r w:rsidRPr="00FF6357">
              <w:rPr>
                <w:color w:val="000000" w:themeColor="text1"/>
                <w:lang w:val="en-GB"/>
              </w:rPr>
              <w:t>Small lot (~280 m</w:t>
            </w:r>
            <w:r w:rsidRPr="00FF6357">
              <w:rPr>
                <w:color w:val="000000" w:themeColor="text1"/>
                <w:vertAlign w:val="superscript"/>
                <w:lang w:val="en-GB"/>
              </w:rPr>
              <w:t>2</w:t>
            </w:r>
            <w:r w:rsidRPr="00FF6357">
              <w:rPr>
                <w:color w:val="000000" w:themeColor="text1"/>
                <w:lang w:val="en-GB"/>
              </w:rPr>
              <w:t>)</w:t>
            </w:r>
          </w:p>
        </w:tc>
        <w:tc>
          <w:tcPr>
            <w:tcW w:w="1134"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jc w:val="left"/>
              <w:rPr>
                <w:lang w:val="en-GB"/>
              </w:rPr>
            </w:pPr>
            <w:r>
              <w:rPr>
                <w:lang w:val="en-GB"/>
              </w:rPr>
              <w:t>Moderate</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10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15</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345</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1 725</w:t>
            </w:r>
          </w:p>
        </w:tc>
        <w:tc>
          <w:tcPr>
            <w:tcW w:w="1021"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2 070</w:t>
            </w:r>
          </w:p>
        </w:tc>
      </w:tr>
      <w:tr w:rsidR="00D558E4" w:rsidTr="00D558E4">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jc w:val="left"/>
              <w:rPr>
                <w:lang w:val="en-GB"/>
              </w:rPr>
            </w:pPr>
            <w:r w:rsidRPr="00FF6357">
              <w:rPr>
                <w:color w:val="000000" w:themeColor="text1"/>
                <w:lang w:val="en-GB"/>
              </w:rPr>
              <w:t>Small lot (~280 m</w:t>
            </w:r>
            <w:r w:rsidRPr="00FF6357">
              <w:rPr>
                <w:color w:val="000000" w:themeColor="text1"/>
                <w:vertAlign w:val="superscript"/>
                <w:lang w:val="en-GB"/>
              </w:rPr>
              <w:t>2</w:t>
            </w:r>
            <w:r w:rsidRPr="00FF6357">
              <w:rPr>
                <w:color w:val="000000" w:themeColor="text1"/>
                <w:lang w:val="en-GB"/>
              </w:rPr>
              <w:t>)</w:t>
            </w:r>
          </w:p>
        </w:tc>
        <w:tc>
          <w:tcPr>
            <w:tcW w:w="1134"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jc w:val="left"/>
              <w:rPr>
                <w:lang w:val="en-GB"/>
              </w:rPr>
            </w:pPr>
            <w:r>
              <w:rPr>
                <w:lang w:val="en-GB"/>
              </w:rPr>
              <w:t>Low</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80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10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230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1 150</w:t>
            </w:r>
          </w:p>
        </w:tc>
        <w:tc>
          <w:tcPr>
            <w:tcW w:w="1021"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1 380</w:t>
            </w:r>
          </w:p>
        </w:tc>
      </w:tr>
      <w:tr w:rsidR="00D558E4" w:rsidTr="00D558E4">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jc w:val="left"/>
              <w:rPr>
                <w:lang w:val="en-GB"/>
              </w:rPr>
            </w:pPr>
            <w:r w:rsidRPr="00FF6357">
              <w:rPr>
                <w:color w:val="000000" w:themeColor="text1"/>
                <w:lang w:val="en-GB"/>
              </w:rPr>
              <w:t>Small lot (~280 m</w:t>
            </w:r>
            <w:r w:rsidRPr="00FF6357">
              <w:rPr>
                <w:color w:val="000000" w:themeColor="text1"/>
                <w:vertAlign w:val="superscript"/>
                <w:lang w:val="en-GB"/>
              </w:rPr>
              <w:t>2</w:t>
            </w:r>
            <w:r w:rsidRPr="00FF6357">
              <w:rPr>
                <w:color w:val="000000" w:themeColor="text1"/>
                <w:lang w:val="en-GB"/>
              </w:rPr>
              <w:t>)</w:t>
            </w:r>
          </w:p>
        </w:tc>
        <w:tc>
          <w:tcPr>
            <w:tcW w:w="1134"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jc w:val="left"/>
              <w:rPr>
                <w:lang w:val="en-GB"/>
              </w:rPr>
            </w:pPr>
            <w:r>
              <w:rPr>
                <w:lang w:val="en-GB"/>
              </w:rPr>
              <w:t>Flat</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10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0</w:t>
            </w:r>
          </w:p>
        </w:tc>
        <w:tc>
          <w:tcPr>
            <w:tcW w:w="1021"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0</w:t>
            </w:r>
          </w:p>
        </w:tc>
      </w:tr>
      <w:tr w:rsidR="00D558E4" w:rsidRPr="00D558E4" w:rsidTr="00D558E4">
        <w:trPr>
          <w:trHeight w:val="230"/>
        </w:trPr>
        <w:tc>
          <w:tcPr>
            <w:tcW w:w="1701" w:type="dxa"/>
            <w:tcBorders>
              <w:top w:val="single" w:sz="8" w:space="0" w:color="FFFFFF" w:themeColor="background1"/>
              <w:bottom w:val="single" w:sz="8" w:space="0" w:color="FFFFFF" w:themeColor="background1"/>
            </w:tcBorders>
            <w:shd w:val="clear" w:color="auto" w:fill="C2DADB" w:themeFill="accent6" w:themeFillTint="99"/>
          </w:tcPr>
          <w:p w:rsidR="00D558E4" w:rsidRPr="00D558E4" w:rsidRDefault="00D558E4" w:rsidP="00D558E4">
            <w:pPr>
              <w:pStyle w:val="TableDataEntries"/>
              <w:jc w:val="left"/>
              <w:rPr>
                <w:rFonts w:ascii="Franklin Gothic Demi" w:hAnsi="Franklin Gothic Demi"/>
                <w:lang w:val="en-GB"/>
              </w:rPr>
            </w:pPr>
            <w:r w:rsidRPr="00D558E4">
              <w:rPr>
                <w:rFonts w:ascii="Franklin Gothic Demi" w:hAnsi="Franklin Gothic Demi"/>
                <w:lang w:val="en-GB"/>
              </w:rPr>
              <w:t>Small lot (~280 m2)</w:t>
            </w:r>
          </w:p>
        </w:tc>
        <w:tc>
          <w:tcPr>
            <w:tcW w:w="1134" w:type="dxa"/>
            <w:tcBorders>
              <w:top w:val="single" w:sz="8" w:space="0" w:color="FFFFFF" w:themeColor="background1"/>
              <w:bottom w:val="single" w:sz="8" w:space="0" w:color="FFFFFF" w:themeColor="background1"/>
            </w:tcBorders>
            <w:shd w:val="clear" w:color="auto" w:fill="C2DADB" w:themeFill="accent6" w:themeFillTint="99"/>
          </w:tcPr>
          <w:p w:rsidR="00D558E4" w:rsidRPr="00D558E4" w:rsidRDefault="00D558E4" w:rsidP="00D558E4">
            <w:pPr>
              <w:pStyle w:val="TableDataEntries"/>
              <w:jc w:val="left"/>
              <w:rPr>
                <w:rFonts w:ascii="Franklin Gothic Demi" w:hAnsi="Franklin Gothic Demi"/>
                <w:lang w:val="en-GB"/>
              </w:rPr>
            </w:pPr>
            <w:r w:rsidRPr="00D558E4">
              <w:rPr>
                <w:rFonts w:ascii="Franklin Gothic Demi" w:hAnsi="Franklin Gothic Demi"/>
                <w:lang w:val="en-GB"/>
              </w:rPr>
              <w:t>Weighted average</w:t>
            </w:r>
          </w:p>
        </w:tc>
        <w:tc>
          <w:tcPr>
            <w:tcW w:w="1020" w:type="dxa"/>
            <w:tcBorders>
              <w:top w:val="single" w:sz="8" w:space="0" w:color="FFFFFF" w:themeColor="background1"/>
              <w:bottom w:val="single" w:sz="8" w:space="0" w:color="FFFFFF" w:themeColor="background1"/>
            </w:tcBorders>
            <w:shd w:val="clear" w:color="auto" w:fill="C2DADB" w:themeFill="accent6" w:themeFillTint="99"/>
          </w:tcPr>
          <w:p w:rsidR="00D558E4" w:rsidRPr="00D558E4" w:rsidRDefault="00D558E4" w:rsidP="00D558E4">
            <w:pPr>
              <w:pStyle w:val="TableDataEntries"/>
              <w:rPr>
                <w:rFonts w:ascii="Franklin Gothic Demi" w:hAnsi="Franklin Gothic Demi"/>
                <w:lang w:val="en-GB"/>
              </w:rPr>
            </w:pPr>
            <w:r>
              <w:rPr>
                <w:rFonts w:ascii="Franklin Gothic Demi" w:hAnsi="Franklin Gothic Demi"/>
                <w:lang w:val="en-GB"/>
              </w:rPr>
              <w:t>100</w:t>
            </w:r>
          </w:p>
        </w:tc>
        <w:tc>
          <w:tcPr>
            <w:tcW w:w="1020" w:type="dxa"/>
            <w:tcBorders>
              <w:top w:val="single" w:sz="8" w:space="0" w:color="FFFFFF" w:themeColor="background1"/>
              <w:bottom w:val="single" w:sz="8" w:space="0" w:color="FFFFFF" w:themeColor="background1"/>
            </w:tcBorders>
            <w:shd w:val="clear" w:color="auto" w:fill="C2DADB" w:themeFill="accent6" w:themeFillTint="99"/>
          </w:tcPr>
          <w:p w:rsidR="00D558E4" w:rsidRPr="00D558E4" w:rsidRDefault="00D558E4" w:rsidP="00D558E4">
            <w:pPr>
              <w:pStyle w:val="TableDataEntries"/>
              <w:rPr>
                <w:rFonts w:ascii="Franklin Gothic Demi" w:hAnsi="Franklin Gothic Demi"/>
                <w:lang w:val="en-GB"/>
              </w:rPr>
            </w:pPr>
            <w:r w:rsidRPr="00D558E4">
              <w:rPr>
                <w:rFonts w:ascii="Franklin Gothic Demi" w:hAnsi="Franklin Gothic Demi"/>
                <w:lang w:val="en-GB"/>
              </w:rPr>
              <w:t xml:space="preserve"> 10</w:t>
            </w:r>
          </w:p>
        </w:tc>
        <w:tc>
          <w:tcPr>
            <w:tcW w:w="1020" w:type="dxa"/>
            <w:tcBorders>
              <w:top w:val="single" w:sz="8" w:space="0" w:color="FFFFFF" w:themeColor="background1"/>
              <w:bottom w:val="single" w:sz="8" w:space="0" w:color="FFFFFF" w:themeColor="background1"/>
            </w:tcBorders>
            <w:shd w:val="clear" w:color="auto" w:fill="C2DADB" w:themeFill="accent6" w:themeFillTint="99"/>
          </w:tcPr>
          <w:p w:rsidR="00D558E4" w:rsidRPr="00D558E4" w:rsidRDefault="00D558E4" w:rsidP="00D558E4">
            <w:pPr>
              <w:pStyle w:val="TableDataEntries"/>
              <w:rPr>
                <w:rFonts w:ascii="Franklin Gothic Demi" w:hAnsi="Franklin Gothic Demi"/>
                <w:lang w:val="en-GB"/>
              </w:rPr>
            </w:pPr>
            <w:r w:rsidRPr="00D558E4">
              <w:rPr>
                <w:rFonts w:ascii="Franklin Gothic Demi" w:hAnsi="Franklin Gothic Demi"/>
                <w:lang w:val="en-GB"/>
              </w:rPr>
              <w:t xml:space="preserve"> 219</w:t>
            </w:r>
          </w:p>
        </w:tc>
        <w:tc>
          <w:tcPr>
            <w:tcW w:w="1020" w:type="dxa"/>
            <w:tcBorders>
              <w:top w:val="single" w:sz="8" w:space="0" w:color="FFFFFF" w:themeColor="background1"/>
              <w:bottom w:val="single" w:sz="8" w:space="0" w:color="FFFFFF" w:themeColor="background1"/>
            </w:tcBorders>
            <w:shd w:val="clear" w:color="auto" w:fill="C2DADB" w:themeFill="accent6" w:themeFillTint="99"/>
          </w:tcPr>
          <w:p w:rsidR="00D558E4" w:rsidRPr="00D558E4" w:rsidRDefault="00D558E4" w:rsidP="00D558E4">
            <w:pPr>
              <w:pStyle w:val="TableDataEntries"/>
              <w:rPr>
                <w:rFonts w:ascii="Franklin Gothic Demi" w:hAnsi="Franklin Gothic Demi"/>
                <w:lang w:val="en-GB"/>
              </w:rPr>
            </w:pPr>
            <w:r w:rsidRPr="00D558E4">
              <w:rPr>
                <w:rFonts w:ascii="Franklin Gothic Demi" w:hAnsi="Franklin Gothic Demi"/>
                <w:lang w:val="en-GB"/>
              </w:rPr>
              <w:t>1 093</w:t>
            </w:r>
          </w:p>
        </w:tc>
        <w:tc>
          <w:tcPr>
            <w:tcW w:w="1021" w:type="dxa"/>
            <w:tcBorders>
              <w:top w:val="single" w:sz="8" w:space="0" w:color="FFFFFF" w:themeColor="background1"/>
              <w:bottom w:val="single" w:sz="8" w:space="0" w:color="FFFFFF" w:themeColor="background1"/>
            </w:tcBorders>
            <w:shd w:val="clear" w:color="auto" w:fill="C2DADB" w:themeFill="accent6" w:themeFillTint="99"/>
          </w:tcPr>
          <w:p w:rsidR="00D558E4" w:rsidRPr="00D558E4" w:rsidRDefault="00D558E4" w:rsidP="00D558E4">
            <w:pPr>
              <w:pStyle w:val="TableDataEntries"/>
              <w:rPr>
                <w:rFonts w:ascii="Franklin Gothic Demi" w:hAnsi="Franklin Gothic Demi"/>
                <w:lang w:val="en-GB"/>
              </w:rPr>
            </w:pPr>
            <w:r w:rsidRPr="00D558E4">
              <w:rPr>
                <w:rFonts w:ascii="Franklin Gothic Demi" w:hAnsi="Franklin Gothic Demi"/>
                <w:lang w:val="en-GB"/>
              </w:rPr>
              <w:t>1 311</w:t>
            </w:r>
          </w:p>
        </w:tc>
      </w:tr>
      <w:tr w:rsidR="00D558E4" w:rsidTr="00D558E4">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jc w:val="left"/>
              <w:rPr>
                <w:lang w:val="en-GB"/>
              </w:rPr>
            </w:pPr>
            <w:r w:rsidRPr="001F2E2C">
              <w:rPr>
                <w:color w:val="000000" w:themeColor="text1"/>
                <w:lang w:val="en-GB"/>
              </w:rPr>
              <w:t>Regular lot (~450 m</w:t>
            </w:r>
            <w:r w:rsidRPr="001F2E2C">
              <w:rPr>
                <w:color w:val="000000" w:themeColor="text1"/>
                <w:vertAlign w:val="superscript"/>
                <w:lang w:val="en-GB"/>
              </w:rPr>
              <w:t>2</w:t>
            </w:r>
            <w:r w:rsidRPr="001F2E2C">
              <w:rPr>
                <w:color w:val="000000" w:themeColor="text1"/>
                <w:lang w:val="en-GB"/>
              </w:rPr>
              <w:t>)</w:t>
            </w:r>
          </w:p>
        </w:tc>
        <w:tc>
          <w:tcPr>
            <w:tcW w:w="1134"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jc w:val="left"/>
              <w:rPr>
                <w:lang w:val="en-GB"/>
              </w:rPr>
            </w:pPr>
            <w:r>
              <w:rPr>
                <w:lang w:val="en-GB"/>
              </w:rPr>
              <w:t>Steep</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20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25</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575</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2 875</w:t>
            </w:r>
          </w:p>
        </w:tc>
        <w:tc>
          <w:tcPr>
            <w:tcW w:w="1021"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3 450</w:t>
            </w:r>
          </w:p>
        </w:tc>
      </w:tr>
      <w:tr w:rsidR="00D558E4" w:rsidTr="00D558E4">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jc w:val="left"/>
              <w:rPr>
                <w:lang w:val="en-GB"/>
              </w:rPr>
            </w:pPr>
            <w:r w:rsidRPr="001F2E2C">
              <w:rPr>
                <w:color w:val="000000" w:themeColor="text1"/>
                <w:lang w:val="en-GB"/>
              </w:rPr>
              <w:t>Regular lot (~450 m</w:t>
            </w:r>
            <w:r w:rsidRPr="001F2E2C">
              <w:rPr>
                <w:color w:val="000000" w:themeColor="text1"/>
                <w:vertAlign w:val="superscript"/>
                <w:lang w:val="en-GB"/>
              </w:rPr>
              <w:t>2</w:t>
            </w:r>
            <w:r w:rsidRPr="001F2E2C">
              <w:rPr>
                <w:color w:val="000000" w:themeColor="text1"/>
                <w:lang w:val="en-GB"/>
              </w:rPr>
              <w:t>)</w:t>
            </w:r>
          </w:p>
        </w:tc>
        <w:tc>
          <w:tcPr>
            <w:tcW w:w="1134"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jc w:val="left"/>
              <w:rPr>
                <w:lang w:val="en-GB"/>
              </w:rPr>
            </w:pPr>
            <w:r>
              <w:rPr>
                <w:lang w:val="en-GB"/>
              </w:rPr>
              <w:t>Moderate</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40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20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460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2 300</w:t>
            </w:r>
          </w:p>
        </w:tc>
        <w:tc>
          <w:tcPr>
            <w:tcW w:w="1021"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2 760</w:t>
            </w:r>
          </w:p>
        </w:tc>
      </w:tr>
      <w:tr w:rsidR="00D558E4" w:rsidTr="00D558E4">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jc w:val="left"/>
              <w:rPr>
                <w:lang w:val="en-GB"/>
              </w:rPr>
            </w:pPr>
            <w:r w:rsidRPr="001F2E2C">
              <w:rPr>
                <w:color w:val="000000" w:themeColor="text1"/>
                <w:lang w:val="en-GB"/>
              </w:rPr>
              <w:t>Regular lot (~450 m</w:t>
            </w:r>
            <w:r w:rsidRPr="001F2E2C">
              <w:rPr>
                <w:color w:val="000000" w:themeColor="text1"/>
                <w:vertAlign w:val="superscript"/>
                <w:lang w:val="en-GB"/>
              </w:rPr>
              <w:t>2</w:t>
            </w:r>
            <w:r w:rsidRPr="001F2E2C">
              <w:rPr>
                <w:color w:val="000000" w:themeColor="text1"/>
                <w:lang w:val="en-GB"/>
              </w:rPr>
              <w:t>)</w:t>
            </w:r>
          </w:p>
        </w:tc>
        <w:tc>
          <w:tcPr>
            <w:tcW w:w="1134"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jc w:val="left"/>
              <w:rPr>
                <w:lang w:val="en-GB"/>
              </w:rPr>
            </w:pPr>
            <w:r>
              <w:rPr>
                <w:lang w:val="en-GB"/>
              </w:rPr>
              <w:t>Low</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30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15</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345</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1 725</w:t>
            </w:r>
          </w:p>
        </w:tc>
        <w:tc>
          <w:tcPr>
            <w:tcW w:w="1021"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2 070</w:t>
            </w:r>
          </w:p>
        </w:tc>
      </w:tr>
      <w:tr w:rsidR="00D558E4" w:rsidTr="00D558E4">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jc w:val="left"/>
              <w:rPr>
                <w:lang w:val="en-GB"/>
              </w:rPr>
            </w:pPr>
            <w:r w:rsidRPr="001F2E2C">
              <w:rPr>
                <w:color w:val="000000" w:themeColor="text1"/>
                <w:lang w:val="en-GB"/>
              </w:rPr>
              <w:t>Regular lot (~450 m</w:t>
            </w:r>
            <w:r w:rsidRPr="001F2E2C">
              <w:rPr>
                <w:color w:val="000000" w:themeColor="text1"/>
                <w:vertAlign w:val="superscript"/>
                <w:lang w:val="en-GB"/>
              </w:rPr>
              <w:t>2</w:t>
            </w:r>
            <w:r w:rsidRPr="001F2E2C">
              <w:rPr>
                <w:color w:val="000000" w:themeColor="text1"/>
                <w:lang w:val="en-GB"/>
              </w:rPr>
              <w:t>)</w:t>
            </w:r>
          </w:p>
        </w:tc>
        <w:tc>
          <w:tcPr>
            <w:tcW w:w="1134"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jc w:val="left"/>
              <w:rPr>
                <w:lang w:val="en-GB"/>
              </w:rPr>
            </w:pPr>
            <w:r>
              <w:rPr>
                <w:lang w:val="en-GB"/>
              </w:rPr>
              <w:t>Flat</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10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0</w:t>
            </w:r>
          </w:p>
        </w:tc>
        <w:tc>
          <w:tcPr>
            <w:tcW w:w="1021"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0</w:t>
            </w:r>
          </w:p>
        </w:tc>
      </w:tr>
      <w:tr w:rsidR="00D558E4" w:rsidRPr="00D558E4" w:rsidTr="00D558E4">
        <w:trPr>
          <w:trHeight w:val="230"/>
        </w:trPr>
        <w:tc>
          <w:tcPr>
            <w:tcW w:w="1701" w:type="dxa"/>
            <w:tcBorders>
              <w:top w:val="single" w:sz="8" w:space="0" w:color="FFFFFF" w:themeColor="background1"/>
              <w:bottom w:val="single" w:sz="8" w:space="0" w:color="FFFFFF" w:themeColor="background1"/>
            </w:tcBorders>
            <w:shd w:val="clear" w:color="auto" w:fill="C2DADB" w:themeFill="accent6" w:themeFillTint="99"/>
          </w:tcPr>
          <w:p w:rsidR="00D558E4" w:rsidRPr="00D558E4" w:rsidRDefault="00D558E4" w:rsidP="00D558E4">
            <w:pPr>
              <w:pStyle w:val="TableDataEntries"/>
              <w:jc w:val="left"/>
              <w:rPr>
                <w:rFonts w:ascii="Franklin Gothic Demi" w:hAnsi="Franklin Gothic Demi"/>
                <w:lang w:val="en-GB"/>
              </w:rPr>
            </w:pPr>
            <w:r w:rsidRPr="00D558E4">
              <w:rPr>
                <w:rFonts w:ascii="Franklin Gothic Demi" w:hAnsi="Franklin Gothic Demi"/>
                <w:lang w:val="en-GB"/>
              </w:rPr>
              <w:t>Regular lot (~450 m2)</w:t>
            </w:r>
          </w:p>
        </w:tc>
        <w:tc>
          <w:tcPr>
            <w:tcW w:w="1134" w:type="dxa"/>
            <w:tcBorders>
              <w:top w:val="single" w:sz="8" w:space="0" w:color="FFFFFF" w:themeColor="background1"/>
              <w:bottom w:val="single" w:sz="8" w:space="0" w:color="FFFFFF" w:themeColor="background1"/>
            </w:tcBorders>
            <w:shd w:val="clear" w:color="auto" w:fill="C2DADB" w:themeFill="accent6" w:themeFillTint="99"/>
          </w:tcPr>
          <w:p w:rsidR="00D558E4" w:rsidRPr="00D558E4" w:rsidRDefault="00D558E4" w:rsidP="00D558E4">
            <w:pPr>
              <w:pStyle w:val="TableDataEntries"/>
              <w:jc w:val="left"/>
              <w:rPr>
                <w:rFonts w:ascii="Franklin Gothic Demi" w:hAnsi="Franklin Gothic Demi"/>
                <w:lang w:val="en-GB"/>
              </w:rPr>
            </w:pPr>
            <w:r w:rsidRPr="00D558E4">
              <w:rPr>
                <w:rFonts w:ascii="Franklin Gothic Demi" w:hAnsi="Franklin Gothic Demi"/>
                <w:lang w:val="en-GB"/>
              </w:rPr>
              <w:t>Weighted average</w:t>
            </w:r>
          </w:p>
        </w:tc>
        <w:tc>
          <w:tcPr>
            <w:tcW w:w="1020" w:type="dxa"/>
            <w:tcBorders>
              <w:top w:val="single" w:sz="8" w:space="0" w:color="FFFFFF" w:themeColor="background1"/>
              <w:bottom w:val="single" w:sz="8" w:space="0" w:color="FFFFFF" w:themeColor="background1"/>
            </w:tcBorders>
            <w:shd w:val="clear" w:color="auto" w:fill="C2DADB" w:themeFill="accent6" w:themeFillTint="99"/>
          </w:tcPr>
          <w:p w:rsidR="00D558E4" w:rsidRPr="00D558E4" w:rsidRDefault="00D558E4" w:rsidP="00D558E4">
            <w:pPr>
              <w:pStyle w:val="TableDataEntries"/>
              <w:rPr>
                <w:rFonts w:ascii="Franklin Gothic Demi" w:hAnsi="Franklin Gothic Demi"/>
                <w:lang w:val="en-GB"/>
              </w:rPr>
            </w:pPr>
            <w:r w:rsidRPr="00D558E4">
              <w:rPr>
                <w:rFonts w:ascii="Franklin Gothic Demi" w:hAnsi="Franklin Gothic Demi"/>
                <w:lang w:val="en-GB"/>
              </w:rPr>
              <w:t>100</w:t>
            </w:r>
          </w:p>
        </w:tc>
        <w:tc>
          <w:tcPr>
            <w:tcW w:w="1020" w:type="dxa"/>
            <w:tcBorders>
              <w:top w:val="single" w:sz="8" w:space="0" w:color="FFFFFF" w:themeColor="background1"/>
              <w:bottom w:val="single" w:sz="8" w:space="0" w:color="FFFFFF" w:themeColor="background1"/>
            </w:tcBorders>
            <w:shd w:val="clear" w:color="auto" w:fill="C2DADB" w:themeFill="accent6" w:themeFillTint="99"/>
          </w:tcPr>
          <w:p w:rsidR="00D558E4" w:rsidRPr="00D558E4" w:rsidRDefault="00D558E4" w:rsidP="00D558E4">
            <w:pPr>
              <w:pStyle w:val="TableDataEntries"/>
              <w:rPr>
                <w:rFonts w:ascii="Franklin Gothic Demi" w:hAnsi="Franklin Gothic Demi"/>
                <w:lang w:val="en-GB"/>
              </w:rPr>
            </w:pPr>
            <w:r w:rsidRPr="00D558E4">
              <w:rPr>
                <w:rFonts w:ascii="Franklin Gothic Demi" w:hAnsi="Franklin Gothic Demi"/>
                <w:lang w:val="en-GB"/>
              </w:rPr>
              <w:t xml:space="preserve"> 18</w:t>
            </w:r>
          </w:p>
        </w:tc>
        <w:tc>
          <w:tcPr>
            <w:tcW w:w="1020" w:type="dxa"/>
            <w:tcBorders>
              <w:top w:val="single" w:sz="8" w:space="0" w:color="FFFFFF" w:themeColor="background1"/>
              <w:bottom w:val="single" w:sz="8" w:space="0" w:color="FFFFFF" w:themeColor="background1"/>
            </w:tcBorders>
            <w:shd w:val="clear" w:color="auto" w:fill="C2DADB" w:themeFill="accent6" w:themeFillTint="99"/>
          </w:tcPr>
          <w:p w:rsidR="00D558E4" w:rsidRPr="00D558E4" w:rsidRDefault="00D558E4" w:rsidP="00D558E4">
            <w:pPr>
              <w:pStyle w:val="TableDataEntries"/>
              <w:rPr>
                <w:rFonts w:ascii="Franklin Gothic Demi" w:hAnsi="Franklin Gothic Demi"/>
                <w:lang w:val="en-GB"/>
              </w:rPr>
            </w:pPr>
            <w:r w:rsidRPr="00D558E4">
              <w:rPr>
                <w:rFonts w:ascii="Franklin Gothic Demi" w:hAnsi="Franklin Gothic Demi"/>
                <w:lang w:val="en-GB"/>
              </w:rPr>
              <w:t xml:space="preserve"> 403</w:t>
            </w:r>
          </w:p>
        </w:tc>
        <w:tc>
          <w:tcPr>
            <w:tcW w:w="1020" w:type="dxa"/>
            <w:tcBorders>
              <w:top w:val="single" w:sz="8" w:space="0" w:color="FFFFFF" w:themeColor="background1"/>
              <w:bottom w:val="single" w:sz="8" w:space="0" w:color="FFFFFF" w:themeColor="background1"/>
            </w:tcBorders>
            <w:shd w:val="clear" w:color="auto" w:fill="C2DADB" w:themeFill="accent6" w:themeFillTint="99"/>
          </w:tcPr>
          <w:p w:rsidR="00D558E4" w:rsidRPr="00D558E4" w:rsidRDefault="00D558E4" w:rsidP="00D558E4">
            <w:pPr>
              <w:pStyle w:val="TableDataEntries"/>
              <w:rPr>
                <w:rFonts w:ascii="Franklin Gothic Demi" w:hAnsi="Franklin Gothic Demi"/>
                <w:lang w:val="en-GB"/>
              </w:rPr>
            </w:pPr>
            <w:r w:rsidRPr="00D558E4">
              <w:rPr>
                <w:rFonts w:ascii="Franklin Gothic Demi" w:hAnsi="Franklin Gothic Demi"/>
                <w:lang w:val="en-GB"/>
              </w:rPr>
              <w:t>2 013</w:t>
            </w:r>
          </w:p>
        </w:tc>
        <w:tc>
          <w:tcPr>
            <w:tcW w:w="1021" w:type="dxa"/>
            <w:tcBorders>
              <w:top w:val="single" w:sz="8" w:space="0" w:color="FFFFFF" w:themeColor="background1"/>
              <w:bottom w:val="single" w:sz="8" w:space="0" w:color="FFFFFF" w:themeColor="background1"/>
            </w:tcBorders>
            <w:shd w:val="clear" w:color="auto" w:fill="C2DADB" w:themeFill="accent6" w:themeFillTint="99"/>
          </w:tcPr>
          <w:p w:rsidR="00D558E4" w:rsidRPr="00D558E4" w:rsidRDefault="00D558E4" w:rsidP="00D558E4">
            <w:pPr>
              <w:pStyle w:val="TableDataEntries"/>
              <w:rPr>
                <w:rFonts w:ascii="Franklin Gothic Demi" w:hAnsi="Franklin Gothic Demi"/>
                <w:lang w:val="en-GB"/>
              </w:rPr>
            </w:pPr>
            <w:r w:rsidRPr="00D558E4">
              <w:rPr>
                <w:rFonts w:ascii="Franklin Gothic Demi" w:hAnsi="Franklin Gothic Demi"/>
                <w:lang w:val="en-GB"/>
              </w:rPr>
              <w:t>2 415</w:t>
            </w:r>
          </w:p>
        </w:tc>
      </w:tr>
      <w:tr w:rsidR="00D558E4" w:rsidTr="00D558E4">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jc w:val="left"/>
              <w:rPr>
                <w:lang w:val="en-GB"/>
              </w:rPr>
            </w:pPr>
            <w:r w:rsidRPr="00B80263">
              <w:rPr>
                <w:color w:val="000000" w:themeColor="text1"/>
                <w:lang w:val="en-GB"/>
              </w:rPr>
              <w:t>Large lot (~650 m</w:t>
            </w:r>
            <w:r w:rsidRPr="00B80263">
              <w:rPr>
                <w:color w:val="000000" w:themeColor="text1"/>
                <w:vertAlign w:val="superscript"/>
                <w:lang w:val="en-GB"/>
              </w:rPr>
              <w:t>2</w:t>
            </w:r>
            <w:r w:rsidRPr="00B80263">
              <w:rPr>
                <w:color w:val="000000" w:themeColor="text1"/>
                <w:lang w:val="en-GB"/>
              </w:rPr>
              <w:t>)</w:t>
            </w:r>
          </w:p>
        </w:tc>
        <w:tc>
          <w:tcPr>
            <w:tcW w:w="1134"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jc w:val="left"/>
              <w:rPr>
                <w:lang w:val="en-GB"/>
              </w:rPr>
            </w:pPr>
            <w:r>
              <w:rPr>
                <w:lang w:val="en-GB"/>
              </w:rPr>
              <w:t>Steep</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30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30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690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3 450</w:t>
            </w:r>
          </w:p>
        </w:tc>
        <w:tc>
          <w:tcPr>
            <w:tcW w:w="1021"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4 140</w:t>
            </w:r>
          </w:p>
        </w:tc>
      </w:tr>
      <w:tr w:rsidR="00D558E4" w:rsidTr="00D558E4">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jc w:val="left"/>
              <w:rPr>
                <w:lang w:val="en-GB"/>
              </w:rPr>
            </w:pPr>
            <w:r w:rsidRPr="00B80263">
              <w:rPr>
                <w:color w:val="000000" w:themeColor="text1"/>
                <w:lang w:val="en-GB"/>
              </w:rPr>
              <w:t>Large lot (~650 m</w:t>
            </w:r>
            <w:r w:rsidRPr="00B80263">
              <w:rPr>
                <w:color w:val="000000" w:themeColor="text1"/>
                <w:vertAlign w:val="superscript"/>
                <w:lang w:val="en-GB"/>
              </w:rPr>
              <w:t>2</w:t>
            </w:r>
            <w:r w:rsidRPr="00B80263">
              <w:rPr>
                <w:color w:val="000000" w:themeColor="text1"/>
                <w:lang w:val="en-GB"/>
              </w:rPr>
              <w:t>)</w:t>
            </w:r>
          </w:p>
        </w:tc>
        <w:tc>
          <w:tcPr>
            <w:tcW w:w="1134"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jc w:val="left"/>
              <w:rPr>
                <w:lang w:val="en-GB"/>
              </w:rPr>
            </w:pPr>
            <w:r>
              <w:rPr>
                <w:lang w:val="en-GB"/>
              </w:rPr>
              <w:t>Moderate</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40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25</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575</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2 875</w:t>
            </w:r>
          </w:p>
        </w:tc>
        <w:tc>
          <w:tcPr>
            <w:tcW w:w="1021"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3 450</w:t>
            </w:r>
          </w:p>
        </w:tc>
      </w:tr>
      <w:tr w:rsidR="00D558E4" w:rsidTr="00D558E4">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jc w:val="left"/>
              <w:rPr>
                <w:lang w:val="en-GB"/>
              </w:rPr>
            </w:pPr>
            <w:r w:rsidRPr="00B80263">
              <w:rPr>
                <w:color w:val="000000" w:themeColor="text1"/>
                <w:lang w:val="en-GB"/>
              </w:rPr>
              <w:t>Large lot (~650 m</w:t>
            </w:r>
            <w:r w:rsidRPr="00B80263">
              <w:rPr>
                <w:color w:val="000000" w:themeColor="text1"/>
                <w:vertAlign w:val="superscript"/>
                <w:lang w:val="en-GB"/>
              </w:rPr>
              <w:t>2</w:t>
            </w:r>
            <w:r w:rsidRPr="00B80263">
              <w:rPr>
                <w:color w:val="000000" w:themeColor="text1"/>
                <w:lang w:val="en-GB"/>
              </w:rPr>
              <w:t>)</w:t>
            </w:r>
          </w:p>
        </w:tc>
        <w:tc>
          <w:tcPr>
            <w:tcW w:w="1134"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jc w:val="left"/>
              <w:rPr>
                <w:lang w:val="en-GB"/>
              </w:rPr>
            </w:pPr>
            <w:r>
              <w:rPr>
                <w:lang w:val="en-GB"/>
              </w:rPr>
              <w:t>Low</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15</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20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460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2 300</w:t>
            </w:r>
          </w:p>
        </w:tc>
        <w:tc>
          <w:tcPr>
            <w:tcW w:w="1021"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2 760</w:t>
            </w:r>
          </w:p>
        </w:tc>
      </w:tr>
      <w:tr w:rsidR="00D558E4" w:rsidTr="00D558E4">
        <w:trPr>
          <w:trHeight w:val="230"/>
        </w:trPr>
        <w:tc>
          <w:tcPr>
            <w:tcW w:w="1701"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jc w:val="left"/>
              <w:rPr>
                <w:lang w:val="en-GB"/>
              </w:rPr>
            </w:pPr>
            <w:r w:rsidRPr="00B80263">
              <w:rPr>
                <w:color w:val="000000" w:themeColor="text1"/>
                <w:lang w:val="en-GB"/>
              </w:rPr>
              <w:t>Large lot (~650 m</w:t>
            </w:r>
            <w:r w:rsidRPr="00B80263">
              <w:rPr>
                <w:color w:val="000000" w:themeColor="text1"/>
                <w:vertAlign w:val="superscript"/>
                <w:lang w:val="en-GB"/>
              </w:rPr>
              <w:t>2</w:t>
            </w:r>
            <w:r w:rsidRPr="00B80263">
              <w:rPr>
                <w:color w:val="000000" w:themeColor="text1"/>
                <w:lang w:val="en-GB"/>
              </w:rPr>
              <w:t>)</w:t>
            </w:r>
          </w:p>
        </w:tc>
        <w:tc>
          <w:tcPr>
            <w:tcW w:w="1134"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jc w:val="left"/>
              <w:rPr>
                <w:lang w:val="en-GB"/>
              </w:rPr>
            </w:pPr>
            <w:r>
              <w:rPr>
                <w:lang w:val="en-GB"/>
              </w:rPr>
              <w:t>Flat</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15</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0</w:t>
            </w:r>
          </w:p>
        </w:tc>
        <w:tc>
          <w:tcPr>
            <w:tcW w:w="1020"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0</w:t>
            </w:r>
          </w:p>
        </w:tc>
        <w:tc>
          <w:tcPr>
            <w:tcW w:w="1021" w:type="dxa"/>
            <w:tcBorders>
              <w:top w:val="single" w:sz="8" w:space="0" w:color="FFFFFF" w:themeColor="background1"/>
              <w:bottom w:val="single" w:sz="8" w:space="0" w:color="FFFFFF" w:themeColor="background1"/>
            </w:tcBorders>
            <w:shd w:val="clear" w:color="auto" w:fill="E9E8E5" w:themeFill="background2"/>
          </w:tcPr>
          <w:p w:rsidR="00D558E4" w:rsidRDefault="00D558E4" w:rsidP="00D558E4">
            <w:pPr>
              <w:pStyle w:val="TableDataEntries"/>
              <w:rPr>
                <w:lang w:val="en-GB"/>
              </w:rPr>
            </w:pPr>
            <w:r>
              <w:rPr>
                <w:lang w:val="en-GB"/>
              </w:rPr>
              <w:t xml:space="preserve"> 0</w:t>
            </w:r>
          </w:p>
        </w:tc>
      </w:tr>
      <w:tr w:rsidR="00D558E4" w:rsidRPr="00D558E4" w:rsidTr="00D558E4">
        <w:trPr>
          <w:trHeight w:val="230"/>
        </w:trPr>
        <w:tc>
          <w:tcPr>
            <w:tcW w:w="1701" w:type="dxa"/>
            <w:tcBorders>
              <w:top w:val="single" w:sz="8" w:space="0" w:color="FFFFFF" w:themeColor="background1"/>
              <w:bottom w:val="single" w:sz="4" w:space="0" w:color="6F6652" w:themeColor="accent5"/>
            </w:tcBorders>
            <w:shd w:val="clear" w:color="auto" w:fill="C2DADB" w:themeFill="accent6" w:themeFillTint="99"/>
          </w:tcPr>
          <w:p w:rsidR="00D558E4" w:rsidRPr="00D558E4" w:rsidRDefault="00D558E4" w:rsidP="00D558E4">
            <w:pPr>
              <w:pStyle w:val="TableDataEntries"/>
              <w:jc w:val="left"/>
              <w:rPr>
                <w:rFonts w:ascii="Franklin Gothic Demi" w:hAnsi="Franklin Gothic Demi"/>
                <w:lang w:val="en-GB"/>
              </w:rPr>
            </w:pPr>
            <w:r w:rsidRPr="00D558E4">
              <w:rPr>
                <w:rFonts w:ascii="Franklin Gothic Demi" w:hAnsi="Franklin Gothic Demi"/>
                <w:lang w:val="en-GB"/>
              </w:rPr>
              <w:t>Large lot (~650 m2)</w:t>
            </w:r>
          </w:p>
        </w:tc>
        <w:tc>
          <w:tcPr>
            <w:tcW w:w="1134" w:type="dxa"/>
            <w:tcBorders>
              <w:top w:val="single" w:sz="8" w:space="0" w:color="FFFFFF" w:themeColor="background1"/>
              <w:bottom w:val="single" w:sz="4" w:space="0" w:color="6F6652" w:themeColor="accent5"/>
            </w:tcBorders>
            <w:shd w:val="clear" w:color="auto" w:fill="C2DADB" w:themeFill="accent6" w:themeFillTint="99"/>
          </w:tcPr>
          <w:p w:rsidR="00D558E4" w:rsidRPr="00D558E4" w:rsidRDefault="00D558E4" w:rsidP="00D558E4">
            <w:pPr>
              <w:pStyle w:val="TableDataEntries"/>
              <w:jc w:val="left"/>
              <w:rPr>
                <w:rFonts w:ascii="Franklin Gothic Demi" w:hAnsi="Franklin Gothic Demi"/>
                <w:lang w:val="en-GB"/>
              </w:rPr>
            </w:pPr>
            <w:r w:rsidRPr="00D558E4">
              <w:rPr>
                <w:rFonts w:ascii="Franklin Gothic Demi" w:hAnsi="Franklin Gothic Demi"/>
                <w:lang w:val="en-GB"/>
              </w:rPr>
              <w:t>Weighted average</w:t>
            </w:r>
          </w:p>
        </w:tc>
        <w:tc>
          <w:tcPr>
            <w:tcW w:w="1020" w:type="dxa"/>
            <w:tcBorders>
              <w:top w:val="single" w:sz="8" w:space="0" w:color="FFFFFF" w:themeColor="background1"/>
              <w:bottom w:val="single" w:sz="4" w:space="0" w:color="6F6652" w:themeColor="accent5"/>
            </w:tcBorders>
            <w:shd w:val="clear" w:color="auto" w:fill="C2DADB" w:themeFill="accent6" w:themeFillTint="99"/>
          </w:tcPr>
          <w:p w:rsidR="00D558E4" w:rsidRPr="00D558E4" w:rsidRDefault="00D558E4" w:rsidP="00D558E4">
            <w:pPr>
              <w:pStyle w:val="TableDataEntries"/>
              <w:rPr>
                <w:rFonts w:ascii="Franklin Gothic Demi" w:hAnsi="Franklin Gothic Demi"/>
                <w:lang w:val="en-GB"/>
              </w:rPr>
            </w:pPr>
          </w:p>
        </w:tc>
        <w:tc>
          <w:tcPr>
            <w:tcW w:w="1020" w:type="dxa"/>
            <w:tcBorders>
              <w:top w:val="single" w:sz="8" w:space="0" w:color="FFFFFF" w:themeColor="background1"/>
              <w:bottom w:val="single" w:sz="4" w:space="0" w:color="6F6652" w:themeColor="accent5"/>
            </w:tcBorders>
            <w:shd w:val="clear" w:color="auto" w:fill="C2DADB" w:themeFill="accent6" w:themeFillTint="99"/>
          </w:tcPr>
          <w:p w:rsidR="00D558E4" w:rsidRPr="00D558E4" w:rsidRDefault="00D558E4" w:rsidP="00D558E4">
            <w:pPr>
              <w:pStyle w:val="TableDataEntries"/>
              <w:rPr>
                <w:rFonts w:ascii="Franklin Gothic Demi" w:hAnsi="Franklin Gothic Demi"/>
                <w:lang w:val="en-GB"/>
              </w:rPr>
            </w:pPr>
            <w:r w:rsidRPr="00D558E4">
              <w:rPr>
                <w:rFonts w:ascii="Franklin Gothic Demi" w:hAnsi="Franklin Gothic Demi"/>
                <w:lang w:val="en-GB"/>
              </w:rPr>
              <w:t xml:space="preserve"> 22</w:t>
            </w:r>
          </w:p>
        </w:tc>
        <w:tc>
          <w:tcPr>
            <w:tcW w:w="1020" w:type="dxa"/>
            <w:tcBorders>
              <w:top w:val="single" w:sz="8" w:space="0" w:color="FFFFFF" w:themeColor="background1"/>
              <w:bottom w:val="single" w:sz="4" w:space="0" w:color="6F6652" w:themeColor="accent5"/>
            </w:tcBorders>
            <w:shd w:val="clear" w:color="auto" w:fill="C2DADB" w:themeFill="accent6" w:themeFillTint="99"/>
          </w:tcPr>
          <w:p w:rsidR="00D558E4" w:rsidRPr="00D558E4" w:rsidRDefault="00D558E4" w:rsidP="00D558E4">
            <w:pPr>
              <w:pStyle w:val="TableDataEntries"/>
              <w:rPr>
                <w:rFonts w:ascii="Franklin Gothic Demi" w:hAnsi="Franklin Gothic Demi"/>
                <w:lang w:val="en-GB"/>
              </w:rPr>
            </w:pPr>
            <w:r w:rsidRPr="00D558E4">
              <w:rPr>
                <w:rFonts w:ascii="Franklin Gothic Demi" w:hAnsi="Franklin Gothic Demi"/>
                <w:lang w:val="en-GB"/>
              </w:rPr>
              <w:t xml:space="preserve"> 506</w:t>
            </w:r>
          </w:p>
        </w:tc>
        <w:tc>
          <w:tcPr>
            <w:tcW w:w="1020" w:type="dxa"/>
            <w:tcBorders>
              <w:top w:val="single" w:sz="8" w:space="0" w:color="FFFFFF" w:themeColor="background1"/>
              <w:bottom w:val="single" w:sz="4" w:space="0" w:color="6F6652" w:themeColor="accent5"/>
            </w:tcBorders>
            <w:shd w:val="clear" w:color="auto" w:fill="C2DADB" w:themeFill="accent6" w:themeFillTint="99"/>
          </w:tcPr>
          <w:p w:rsidR="00D558E4" w:rsidRPr="00D558E4" w:rsidRDefault="00D558E4" w:rsidP="00D558E4">
            <w:pPr>
              <w:pStyle w:val="TableDataEntries"/>
              <w:rPr>
                <w:rFonts w:ascii="Franklin Gothic Demi" w:hAnsi="Franklin Gothic Demi"/>
                <w:lang w:val="en-GB"/>
              </w:rPr>
            </w:pPr>
            <w:r w:rsidRPr="00D558E4">
              <w:rPr>
                <w:rFonts w:ascii="Franklin Gothic Demi" w:hAnsi="Franklin Gothic Demi"/>
                <w:lang w:val="en-GB"/>
              </w:rPr>
              <w:t>2 530</w:t>
            </w:r>
          </w:p>
        </w:tc>
        <w:tc>
          <w:tcPr>
            <w:tcW w:w="1021" w:type="dxa"/>
            <w:tcBorders>
              <w:top w:val="single" w:sz="8" w:space="0" w:color="FFFFFF" w:themeColor="background1"/>
              <w:bottom w:val="single" w:sz="4" w:space="0" w:color="6F6652" w:themeColor="accent5"/>
            </w:tcBorders>
            <w:shd w:val="clear" w:color="auto" w:fill="C2DADB" w:themeFill="accent6" w:themeFillTint="99"/>
          </w:tcPr>
          <w:p w:rsidR="00D558E4" w:rsidRPr="00D558E4" w:rsidRDefault="00D558E4" w:rsidP="00D558E4">
            <w:pPr>
              <w:pStyle w:val="TableDataEntries"/>
              <w:rPr>
                <w:rFonts w:ascii="Franklin Gothic Demi" w:hAnsi="Franklin Gothic Demi"/>
                <w:lang w:val="en-GB"/>
              </w:rPr>
            </w:pPr>
            <w:r w:rsidRPr="00D558E4">
              <w:rPr>
                <w:rFonts w:ascii="Franklin Gothic Demi" w:hAnsi="Franklin Gothic Demi"/>
                <w:lang w:val="en-GB"/>
              </w:rPr>
              <w:t>3 036</w:t>
            </w:r>
          </w:p>
        </w:tc>
      </w:tr>
    </w:tbl>
    <w:p w:rsidR="007C6A5F" w:rsidRPr="00E4232C" w:rsidRDefault="007C6A5F" w:rsidP="007C6A5F">
      <w:pPr>
        <w:pStyle w:val="Note"/>
      </w:pPr>
      <w:r w:rsidRPr="00B46BCC">
        <w:rPr>
          <w:rStyle w:val="NoteLabel"/>
          <w:color w:val="000000" w:themeColor="text1"/>
        </w:rPr>
        <w:t>a</w:t>
      </w:r>
      <w:r>
        <w:t xml:space="preserve"> Based on a weighted average cost of site works of $23 m</w:t>
      </w:r>
      <w:r w:rsidRPr="000012A2">
        <w:rPr>
          <w:vertAlign w:val="superscript"/>
        </w:rPr>
        <w:t>3</w:t>
      </w:r>
      <w:r>
        <w:t>.(table </w:t>
      </w:r>
      <w:r>
        <w:rPr>
          <w:noProof/>
        </w:rPr>
        <w:fldChar w:fldCharType="begin"/>
      </w:r>
      <w:r>
        <w:rPr>
          <w:noProof/>
        </w:rPr>
        <w:instrText xml:space="preserve"> REF _Caption7922 </w:instrText>
      </w:r>
      <w:r>
        <w:rPr>
          <w:noProof/>
        </w:rPr>
        <w:fldChar w:fldCharType="separate"/>
      </w:r>
      <w:r>
        <w:rPr>
          <w:noProof/>
        </w:rPr>
        <w:t>5</w:t>
      </w:r>
      <w:r w:rsidRPr="00695C93">
        <w:rPr>
          <w:noProof/>
        </w:rPr>
        <w:t>.</w:t>
      </w:r>
      <w:r>
        <w:rPr>
          <w:noProof/>
        </w:rPr>
        <w:t>11</w:t>
      </w:r>
      <w:r>
        <w:rPr>
          <w:noProof/>
        </w:rPr>
        <w:fldChar w:fldCharType="end"/>
      </w:r>
      <w:r>
        <w:t xml:space="preserve"> above). </w:t>
      </w:r>
      <w:r w:rsidRPr="00B46BCC">
        <w:rPr>
          <w:rStyle w:val="NoteLabel"/>
          <w:color w:val="000000" w:themeColor="text1"/>
        </w:rPr>
        <w:t>b</w:t>
      </w:r>
      <w:r>
        <w:t xml:space="preserve"> Based on a weighted average fill disposal cost of $115 per m</w:t>
      </w:r>
      <w:r w:rsidRPr="000012A2">
        <w:rPr>
          <w:vertAlign w:val="superscript"/>
        </w:rPr>
        <w:t>3</w:t>
      </w:r>
      <w:r>
        <w:t xml:space="preserve"> (see table </w:t>
      </w:r>
      <w:r>
        <w:rPr>
          <w:noProof/>
        </w:rPr>
        <w:fldChar w:fldCharType="begin"/>
      </w:r>
      <w:r>
        <w:rPr>
          <w:noProof/>
        </w:rPr>
        <w:instrText xml:space="preserve"> REF _Caption3035 </w:instrText>
      </w:r>
      <w:r>
        <w:rPr>
          <w:noProof/>
        </w:rPr>
        <w:fldChar w:fldCharType="separate"/>
      </w:r>
      <w:r>
        <w:rPr>
          <w:noProof/>
        </w:rPr>
        <w:t>5</w:t>
      </w:r>
      <w:r w:rsidRPr="00695C93">
        <w:rPr>
          <w:noProof/>
        </w:rPr>
        <w:t>.</w:t>
      </w:r>
      <w:r>
        <w:rPr>
          <w:noProof/>
        </w:rPr>
        <w:t>11</w:t>
      </w:r>
      <w:r>
        <w:rPr>
          <w:noProof/>
        </w:rPr>
        <w:fldChar w:fldCharType="end"/>
      </w:r>
      <w:r>
        <w:t xml:space="preserve"> above) </w:t>
      </w:r>
    </w:p>
    <w:p w:rsidR="007C6A5F" w:rsidRDefault="007C6A5F" w:rsidP="007C6A5F">
      <w:pPr>
        <w:pStyle w:val="Source"/>
      </w:pPr>
      <w:r>
        <w:rPr>
          <w:i/>
        </w:rPr>
        <w:t>Source</w:t>
      </w:r>
      <w:r w:rsidRPr="00E4232C">
        <w:rPr>
          <w:i/>
        </w:rPr>
        <w:t>:</w:t>
      </w:r>
      <w:r>
        <w:t xml:space="preserve"> HIA estimates.</w:t>
      </w:r>
    </w:p>
    <w:p w:rsidR="007C6A5F" w:rsidRDefault="007C6A5F" w:rsidP="007C6A5F">
      <w:pPr>
        <w:pStyle w:val="Invisiblepara"/>
      </w:pPr>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5.13"/>
        <w:tblDescription w:val="Questions for stakeholders"/>
      </w:tblPr>
      <w:tblGrid>
        <w:gridCol w:w="7938"/>
      </w:tblGrid>
      <w:tr w:rsidR="007C6A5F" w:rsidRPr="00E05C8C" w:rsidTr="00D558E4">
        <w:trPr>
          <w:tblHeader/>
        </w:trPr>
        <w:tc>
          <w:tcPr>
            <w:tcW w:w="7938" w:type="dxa"/>
            <w:shd w:val="clear" w:color="auto" w:fill="C6BFAB" w:themeFill="accent3"/>
          </w:tcPr>
          <w:bookmarkStart w:id="4942" w:name="_Toc32321835"/>
          <w:bookmarkStart w:id="4943" w:name="_Caption1944"/>
          <w:bookmarkStart w:id="4944" w:name="_Caption6755"/>
          <w:p w:rsidR="007C6A5F" w:rsidRPr="00E05C8C" w:rsidRDefault="007C6A5F" w:rsidP="005A6F87">
            <w:pPr>
              <w:pStyle w:val="Caption"/>
              <w:numPr>
                <w:ilvl w:val="0"/>
                <w:numId w:val="13"/>
              </w:numPr>
              <w:spacing w:before="120" w:after="100"/>
            </w:pPr>
            <w:r w:rsidRPr="00E05C8C">
              <w:fldChar w:fldCharType="begin"/>
            </w:r>
            <w:bookmarkEnd w:id="4942"/>
            <w:bookmarkEnd w:id="4943"/>
            <w:bookmarkEnd w:id="4944"/>
            <w:r w:rsidRPr="00E05C8C">
              <w:instrText xml:space="preserve"> IF 1 = 1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E05C8C">
              <w:instrText xml:space="preserve"> = 0 ""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E05C8C">
              <w:instrText xml:space="preserve">." </w:instrText>
            </w:r>
            <w:r w:rsidRPr="00E05C8C">
              <w:fldChar w:fldCharType="separate"/>
            </w:r>
            <w:r>
              <w:rPr>
                <w:noProof/>
              </w:rPr>
              <w:instrText>5</w:instrText>
            </w:r>
            <w:r w:rsidRPr="00E05C8C">
              <w:rPr>
                <w:noProof/>
              </w:rPr>
              <w:instrText>.</w:instrText>
            </w:r>
            <w:r w:rsidRPr="00E05C8C">
              <w:fldChar w:fldCharType="end"/>
            </w:r>
            <w:r w:rsidRPr="00E05C8C">
              <w:instrText>" "</w:instrText>
            </w:r>
            <w:r w:rsidR="00F56BFF">
              <w:fldChar w:fldCharType="begin"/>
            </w:r>
            <w:r w:rsidR="00F56BFF">
              <w:instrText xml:space="preserve"> STYLEREF "Heading 6" \l \n </w:instrText>
            </w:r>
            <w:r w:rsidR="00F56BFF">
              <w:fldChar w:fldCharType="separate"/>
            </w:r>
            <w:r w:rsidRPr="00E05C8C">
              <w:instrText>B</w:instrText>
            </w:r>
            <w:r w:rsidR="00F56BFF">
              <w:fldChar w:fldCharType="end"/>
            </w:r>
            <w:r w:rsidRPr="00E05C8C">
              <w:instrText xml:space="preserve">." </w:instrText>
            </w:r>
            <w:r w:rsidRPr="00E05C8C">
              <w:fldChar w:fldCharType="separate"/>
            </w:r>
            <w:r w:rsidR="00272AF3">
              <w:rPr>
                <w:noProof/>
              </w:rPr>
              <w:instrText>5</w:instrText>
            </w:r>
            <w:r w:rsidR="00272AF3"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E05C8C">
              <w:instrText xml:space="preserve"> = 0 "" "1" </w:instrText>
            </w:r>
            <w:r w:rsidRPr="00E05C8C">
              <w:fldChar w:fldCharType="separate"/>
            </w:r>
            <w:r w:rsidR="00272AF3" w:rsidRPr="00E05C8C">
              <w:rPr>
                <w:noProof/>
              </w:rPr>
              <w:instrText>1</w:instrText>
            </w:r>
            <w:r w:rsidRPr="00E05C8C">
              <w:fldChar w:fldCharType="end"/>
            </w:r>
            <w:r w:rsidRPr="00E05C8C">
              <w:instrText xml:space="preserve">" "6" </w:instrText>
            </w:r>
            <w:r w:rsidRPr="00E05C8C">
              <w:fldChar w:fldCharType="separate"/>
            </w:r>
            <w:r w:rsidR="00272AF3" w:rsidRPr="00E05C8C">
              <w:rPr>
                <w:noProof/>
              </w:rPr>
              <w:instrText>1</w:instrText>
            </w:r>
            <w:r w:rsidRPr="00E05C8C">
              <w:fldChar w:fldCharType="end"/>
            </w:r>
            <w:r w:rsidRPr="00E05C8C">
              <w:instrText xml:space="preserve"> </w:instrText>
            </w:r>
            <w:r w:rsidRPr="00E05C8C">
              <w:fldChar w:fldCharType="separate"/>
            </w:r>
            <w:r>
              <w:rPr>
                <w:noProof/>
              </w:rPr>
              <w:instrText>13</w:instrText>
            </w:r>
            <w:r w:rsidRPr="00E05C8C">
              <w:fldChar w:fldCharType="end"/>
            </w:r>
            <w:r w:rsidRPr="00E05C8C">
              <w:instrText xml:space="preserve">" "" </w:instrText>
            </w:r>
            <w:r w:rsidRPr="00E05C8C">
              <w:fldChar w:fldCharType="separate"/>
            </w:r>
            <w:bookmarkStart w:id="4945" w:name="_Caption8475"/>
            <w:bookmarkStart w:id="4946" w:name="_Caption6225"/>
            <w:bookmarkStart w:id="4947" w:name="_Caption5884"/>
            <w:bookmarkStart w:id="4948" w:name="_Caption5036"/>
            <w:bookmarkStart w:id="4949" w:name="_Caption4072"/>
            <w:bookmarkStart w:id="4950" w:name="_Caption0112"/>
            <w:bookmarkStart w:id="4951" w:name="_Caption3376"/>
            <w:bookmarkStart w:id="4952" w:name="_Caption1128"/>
            <w:bookmarkStart w:id="4953" w:name="_Caption9799"/>
            <w:bookmarkStart w:id="4954" w:name="_Caption1654"/>
            <w:bookmarkStart w:id="4955" w:name="_Caption6427"/>
            <w:bookmarkStart w:id="4956" w:name="_Caption8481"/>
            <w:bookmarkStart w:id="4957" w:name="_Caption7405"/>
            <w:bookmarkStart w:id="4958" w:name="_Caption4530"/>
            <w:bookmarkStart w:id="4959" w:name="_Caption4743"/>
            <w:bookmarkStart w:id="4960" w:name="_Caption4014"/>
            <w:bookmarkStart w:id="4961" w:name="_Caption8045"/>
            <w:bookmarkStart w:id="4962" w:name="_Caption9512"/>
            <w:bookmarkStart w:id="4963" w:name="_Caption4161"/>
            <w:bookmarkStart w:id="4964" w:name="_Caption8032"/>
            <w:bookmarkStart w:id="4965" w:name="_Caption6117"/>
            <w:bookmarkStart w:id="4966" w:name="_Caption2563"/>
            <w:bookmarkStart w:id="4967" w:name="_Caption7023"/>
            <w:bookmarkStart w:id="4968" w:name="_Caption0430"/>
            <w:bookmarkStart w:id="4969" w:name="_Caption6748"/>
            <w:bookmarkStart w:id="4970" w:name="_Caption6501"/>
            <w:bookmarkStart w:id="4971" w:name="_Caption0500"/>
            <w:bookmarkStart w:id="4972" w:name="_Caption2965"/>
            <w:bookmarkStart w:id="4973" w:name="_Caption0927"/>
            <w:bookmarkStart w:id="4974" w:name="_Caption6978"/>
            <w:bookmarkStart w:id="4975" w:name="_Caption4683"/>
            <w:bookmarkStart w:id="4976" w:name="_Caption0819"/>
            <w:bookmarkStart w:id="4977" w:name="_Caption6796"/>
            <w:bookmarkStart w:id="4978" w:name="_Caption1091"/>
            <w:bookmarkStart w:id="4979" w:name="_Toc44598533"/>
            <w:bookmarkStart w:id="4980" w:name="_Toc45654164"/>
            <w:r w:rsidR="00272AF3">
              <w:rPr>
                <w:noProof/>
              </w:rPr>
              <w:t>5</w:t>
            </w:r>
            <w:r w:rsidR="00272AF3" w:rsidRPr="00E05C8C">
              <w:rPr>
                <w:noProof/>
              </w:rPr>
              <w:t>.</w:t>
            </w:r>
            <w:r w:rsidR="00272AF3">
              <w:rPr>
                <w:noProof/>
              </w:rPr>
              <w:t>13</w:t>
            </w:r>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r w:rsidRPr="00E05C8C">
              <w:fldChar w:fldCharType="end"/>
            </w:r>
            <w:r w:rsidRPr="00E05C8C">
              <w:tab/>
            </w:r>
            <w:r>
              <w:t>Questions for stakeholders</w:t>
            </w:r>
            <w:bookmarkEnd w:id="4979"/>
            <w:bookmarkEnd w:id="4980"/>
          </w:p>
        </w:tc>
      </w:tr>
      <w:tr w:rsidR="007C6A5F" w:rsidTr="00B5160B">
        <w:tc>
          <w:tcPr>
            <w:tcW w:w="7938" w:type="dxa"/>
            <w:tcBorders>
              <w:bottom w:val="single" w:sz="4" w:space="0" w:color="9B917E" w:themeColor="accent4"/>
            </w:tcBorders>
            <w:shd w:val="clear" w:color="auto" w:fill="E9E8E5" w:themeFill="background2"/>
          </w:tcPr>
          <w:p w:rsidR="005600BF" w:rsidRDefault="005600BF" w:rsidP="005600BF">
            <w:pPr>
              <w:pStyle w:val="ListBullet"/>
              <w:numPr>
                <w:ilvl w:val="0"/>
                <w:numId w:val="17"/>
              </w:numPr>
            </w:pPr>
            <w:r>
              <w:t>Are additional excavation costs likely to be incurred in order to provide homes that comply with Options 1-3?</w:t>
            </w:r>
          </w:p>
          <w:p w:rsidR="007C6A5F" w:rsidRPr="00BF2F67" w:rsidRDefault="005600BF" w:rsidP="004627EC">
            <w:pPr>
              <w:pStyle w:val="ListBullet"/>
              <w:numPr>
                <w:ilvl w:val="0"/>
                <w:numId w:val="17"/>
              </w:numPr>
              <w:spacing w:after="120"/>
            </w:pPr>
            <w:r>
              <w:t>Are the cost estimates presented in table 5.12 reasonable? If not, what are your alternative estimates and the basis for the estimates?</w:t>
            </w:r>
          </w:p>
        </w:tc>
      </w:tr>
    </w:tbl>
    <w:p w:rsidR="007C6A5F" w:rsidRDefault="007C6A5F" w:rsidP="007C6A5F">
      <w:pPr>
        <w:pStyle w:val="Heading2"/>
        <w:numPr>
          <w:ilvl w:val="1"/>
          <w:numId w:val="5"/>
        </w:numPr>
      </w:pPr>
      <w:bookmarkStart w:id="4981" w:name="_Toc32321762"/>
      <w:bookmarkStart w:id="4982" w:name="_Toc44598450"/>
      <w:bookmarkStart w:id="4983" w:name="_Toc45654081"/>
      <w:r>
        <w:t>Transition costs</w:t>
      </w:r>
      <w:bookmarkEnd w:id="4981"/>
      <w:bookmarkEnd w:id="4982"/>
      <w:bookmarkEnd w:id="4983"/>
    </w:p>
    <w:p w:rsidR="007C6A5F" w:rsidRDefault="007C6A5F" w:rsidP="007C6A5F">
      <w:pPr>
        <w:pStyle w:val="BodyText"/>
      </w:pPr>
      <w:r>
        <w:t>Transition costs include:</w:t>
      </w:r>
    </w:p>
    <w:p w:rsidR="007C6A5F" w:rsidRDefault="007C6A5F" w:rsidP="005A6F87">
      <w:pPr>
        <w:pStyle w:val="ListBullet"/>
        <w:numPr>
          <w:ilvl w:val="0"/>
          <w:numId w:val="17"/>
        </w:numPr>
      </w:pPr>
      <w:r>
        <w:t>The cost incurred by volume builders, such as re-designing their standard offerings</w:t>
      </w:r>
    </w:p>
    <w:p w:rsidR="007C6A5F" w:rsidRPr="00A804C7" w:rsidRDefault="007C6A5F" w:rsidP="005A6F87">
      <w:pPr>
        <w:pStyle w:val="ListBullet"/>
        <w:numPr>
          <w:ilvl w:val="0"/>
          <w:numId w:val="17"/>
        </w:numPr>
      </w:pPr>
      <w:r>
        <w:t>Costs associated with industry professionals learning and understanding the new requirements.</w:t>
      </w:r>
    </w:p>
    <w:p w:rsidR="007C6A5F" w:rsidRDefault="007C6A5F" w:rsidP="007C6A5F">
      <w:pPr>
        <w:pStyle w:val="Heading3"/>
        <w:numPr>
          <w:ilvl w:val="2"/>
          <w:numId w:val="5"/>
        </w:numPr>
      </w:pPr>
      <w:r>
        <w:t>Transition costs for volume builders</w:t>
      </w:r>
    </w:p>
    <w:p w:rsidR="007C6A5F" w:rsidRDefault="007C6A5F" w:rsidP="007C6A5F">
      <w:pPr>
        <w:pStyle w:val="BodyText"/>
      </w:pPr>
      <w:r>
        <w:t>Volume builders typically have a ‘standard offering’ of a range of designs for consumers to choose from. Industry stakeholders noted that most standard offering designs do not comply with the proposed standards. Consequently, volume builders will need to re</w:t>
      </w:r>
      <w:r>
        <w:noBreakHyphen/>
        <w:t>design their standard offerings. Additional costs include:</w:t>
      </w:r>
    </w:p>
    <w:p w:rsidR="007C6A5F" w:rsidRDefault="007C6A5F" w:rsidP="005A6F87">
      <w:pPr>
        <w:pStyle w:val="ListBullet"/>
        <w:numPr>
          <w:ilvl w:val="0"/>
          <w:numId w:val="17"/>
        </w:numPr>
      </w:pPr>
      <w:r>
        <w:t>The costs associated with re</w:t>
      </w:r>
      <w:r>
        <w:noBreakHyphen/>
        <w:t>designing the standard offering</w:t>
      </w:r>
    </w:p>
    <w:p w:rsidR="007C6A5F" w:rsidRDefault="007C6A5F" w:rsidP="005A6F87">
      <w:pPr>
        <w:pStyle w:val="ListBullet"/>
        <w:numPr>
          <w:ilvl w:val="0"/>
          <w:numId w:val="17"/>
        </w:numPr>
      </w:pPr>
      <w:r>
        <w:t>Costs associated with re</w:t>
      </w:r>
      <w:r>
        <w:noBreakHyphen/>
        <w:t>building compliant display homes.</w:t>
      </w:r>
    </w:p>
    <w:p w:rsidR="007C6A5F" w:rsidRDefault="007C6A5F" w:rsidP="007C6A5F">
      <w:pPr>
        <w:pStyle w:val="Invisiblepara"/>
      </w:pPr>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5.14"/>
        <w:tblDescription w:val="Questions for stakeholders"/>
      </w:tblPr>
      <w:tblGrid>
        <w:gridCol w:w="7938"/>
      </w:tblGrid>
      <w:tr w:rsidR="007C6A5F" w:rsidRPr="00E05C8C" w:rsidTr="00D558E4">
        <w:trPr>
          <w:tblHeader/>
        </w:trPr>
        <w:tc>
          <w:tcPr>
            <w:tcW w:w="7938" w:type="dxa"/>
            <w:shd w:val="clear" w:color="auto" w:fill="C6BFAB" w:themeFill="accent3"/>
          </w:tcPr>
          <w:bookmarkStart w:id="4984" w:name="_Toc32321836"/>
          <w:bookmarkStart w:id="4985" w:name="_Caption6563"/>
          <w:bookmarkStart w:id="4986" w:name="_Caption4659"/>
          <w:p w:rsidR="007C6A5F" w:rsidRPr="00E05C8C" w:rsidRDefault="007C6A5F" w:rsidP="005A6F87">
            <w:pPr>
              <w:pStyle w:val="Caption"/>
              <w:numPr>
                <w:ilvl w:val="0"/>
                <w:numId w:val="13"/>
              </w:numPr>
              <w:spacing w:before="120" w:after="100"/>
            </w:pPr>
            <w:r w:rsidRPr="00E05C8C">
              <w:fldChar w:fldCharType="begin"/>
            </w:r>
            <w:bookmarkEnd w:id="4984"/>
            <w:bookmarkEnd w:id="4985"/>
            <w:bookmarkEnd w:id="4986"/>
            <w:r w:rsidRPr="00E05C8C">
              <w:instrText xml:space="preserve"> IF 1 = 1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E05C8C">
              <w:instrText xml:space="preserve"> = 0 ""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E05C8C">
              <w:instrText xml:space="preserve">." </w:instrText>
            </w:r>
            <w:r w:rsidRPr="00E05C8C">
              <w:fldChar w:fldCharType="separate"/>
            </w:r>
            <w:r>
              <w:rPr>
                <w:noProof/>
              </w:rPr>
              <w:instrText>5</w:instrText>
            </w:r>
            <w:r w:rsidRPr="00E05C8C">
              <w:rPr>
                <w:noProof/>
              </w:rPr>
              <w:instrText>.</w:instrText>
            </w:r>
            <w:r w:rsidRPr="00E05C8C">
              <w:fldChar w:fldCharType="end"/>
            </w:r>
            <w:r w:rsidRPr="00E05C8C">
              <w:instrText>" "</w:instrText>
            </w:r>
            <w:r w:rsidR="00F56BFF">
              <w:fldChar w:fldCharType="begin"/>
            </w:r>
            <w:r w:rsidR="00F56BFF">
              <w:instrText xml:space="preserve"> STYLEREF "Heading 6" \l \n </w:instrText>
            </w:r>
            <w:r w:rsidR="00F56BFF">
              <w:fldChar w:fldCharType="separate"/>
            </w:r>
            <w:r w:rsidRPr="00E05C8C">
              <w:instrText>B</w:instrText>
            </w:r>
            <w:r w:rsidR="00F56BFF">
              <w:fldChar w:fldCharType="end"/>
            </w:r>
            <w:r w:rsidRPr="00E05C8C">
              <w:instrText xml:space="preserve">." </w:instrText>
            </w:r>
            <w:r w:rsidRPr="00E05C8C">
              <w:fldChar w:fldCharType="separate"/>
            </w:r>
            <w:r w:rsidR="00272AF3">
              <w:rPr>
                <w:noProof/>
              </w:rPr>
              <w:instrText>5</w:instrText>
            </w:r>
            <w:r w:rsidR="00272AF3"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E05C8C">
              <w:instrText xml:space="preserve"> = 0 "" "1" </w:instrText>
            </w:r>
            <w:r w:rsidRPr="00E05C8C">
              <w:fldChar w:fldCharType="separate"/>
            </w:r>
            <w:r w:rsidR="00272AF3" w:rsidRPr="00E05C8C">
              <w:rPr>
                <w:noProof/>
              </w:rPr>
              <w:instrText>1</w:instrText>
            </w:r>
            <w:r w:rsidRPr="00E05C8C">
              <w:fldChar w:fldCharType="end"/>
            </w:r>
            <w:r w:rsidRPr="00E05C8C">
              <w:instrText xml:space="preserve">" "6" </w:instrText>
            </w:r>
            <w:r w:rsidRPr="00E05C8C">
              <w:fldChar w:fldCharType="separate"/>
            </w:r>
            <w:r w:rsidR="00272AF3" w:rsidRPr="00E05C8C">
              <w:rPr>
                <w:noProof/>
              </w:rPr>
              <w:instrText>1</w:instrText>
            </w:r>
            <w:r w:rsidRPr="00E05C8C">
              <w:fldChar w:fldCharType="end"/>
            </w:r>
            <w:r w:rsidRPr="00E05C8C">
              <w:instrText xml:space="preserve"> </w:instrText>
            </w:r>
            <w:r w:rsidRPr="00E05C8C">
              <w:fldChar w:fldCharType="separate"/>
            </w:r>
            <w:r>
              <w:rPr>
                <w:noProof/>
              </w:rPr>
              <w:instrText>14</w:instrText>
            </w:r>
            <w:r w:rsidRPr="00E05C8C">
              <w:fldChar w:fldCharType="end"/>
            </w:r>
            <w:r w:rsidRPr="00E05C8C">
              <w:instrText xml:space="preserve">" "" </w:instrText>
            </w:r>
            <w:r w:rsidRPr="00E05C8C">
              <w:fldChar w:fldCharType="separate"/>
            </w:r>
            <w:bookmarkStart w:id="4987" w:name="_Caption2976"/>
            <w:bookmarkStart w:id="4988" w:name="_Caption1503"/>
            <w:bookmarkStart w:id="4989" w:name="_Caption6271"/>
            <w:bookmarkStart w:id="4990" w:name="_Caption1725"/>
            <w:bookmarkStart w:id="4991" w:name="_Caption4245"/>
            <w:bookmarkStart w:id="4992" w:name="_Caption1405"/>
            <w:bookmarkStart w:id="4993" w:name="_Caption7877"/>
            <w:bookmarkStart w:id="4994" w:name="_Caption1231"/>
            <w:bookmarkStart w:id="4995" w:name="_Caption8127"/>
            <w:bookmarkStart w:id="4996" w:name="_Caption8383"/>
            <w:bookmarkStart w:id="4997" w:name="_Caption0726"/>
            <w:bookmarkStart w:id="4998" w:name="_Caption2179"/>
            <w:bookmarkStart w:id="4999" w:name="_Caption4761"/>
            <w:bookmarkStart w:id="5000" w:name="_Caption3462"/>
            <w:bookmarkStart w:id="5001" w:name="_Caption0658"/>
            <w:bookmarkStart w:id="5002" w:name="_Caption4713"/>
            <w:bookmarkStart w:id="5003" w:name="_Caption9242"/>
            <w:bookmarkStart w:id="5004" w:name="_Caption9807"/>
            <w:bookmarkStart w:id="5005" w:name="_Caption7822"/>
            <w:bookmarkStart w:id="5006" w:name="_Caption7016"/>
            <w:bookmarkStart w:id="5007" w:name="_Caption7818"/>
            <w:bookmarkStart w:id="5008" w:name="_Caption3277"/>
            <w:bookmarkStart w:id="5009" w:name="_Caption7371"/>
            <w:bookmarkStart w:id="5010" w:name="_Caption4329"/>
            <w:bookmarkStart w:id="5011" w:name="_Caption7232"/>
            <w:bookmarkStart w:id="5012" w:name="_Caption2578"/>
            <w:bookmarkStart w:id="5013" w:name="_Caption1165"/>
            <w:bookmarkStart w:id="5014" w:name="_Caption4065"/>
            <w:bookmarkStart w:id="5015" w:name="_Caption6736"/>
            <w:bookmarkStart w:id="5016" w:name="_Caption5478"/>
            <w:bookmarkStart w:id="5017" w:name="_Caption4445"/>
            <w:bookmarkStart w:id="5018" w:name="_Caption2323"/>
            <w:bookmarkStart w:id="5019" w:name="_Caption4360"/>
            <w:bookmarkStart w:id="5020" w:name="_Caption0740"/>
            <w:bookmarkStart w:id="5021" w:name="_Caption5255"/>
            <w:bookmarkStart w:id="5022" w:name="_Caption9899"/>
            <w:bookmarkStart w:id="5023" w:name="_Caption9993"/>
            <w:bookmarkStart w:id="5024" w:name="_Caption8658"/>
            <w:bookmarkStart w:id="5025" w:name="_Caption0871"/>
            <w:bookmarkStart w:id="5026" w:name="_Caption7648"/>
            <w:bookmarkStart w:id="5027" w:name="_Caption8617"/>
            <w:bookmarkStart w:id="5028" w:name="_Caption6195"/>
            <w:bookmarkStart w:id="5029" w:name="_Caption6173"/>
            <w:bookmarkStart w:id="5030" w:name="_Caption6002"/>
            <w:bookmarkStart w:id="5031" w:name="_Caption8922"/>
            <w:bookmarkStart w:id="5032" w:name="_Caption1272"/>
            <w:bookmarkStart w:id="5033" w:name="_Caption6636"/>
            <w:bookmarkStart w:id="5034" w:name="_Caption9455"/>
            <w:bookmarkStart w:id="5035" w:name="_Caption9765"/>
            <w:bookmarkStart w:id="5036" w:name="_Caption1143"/>
            <w:bookmarkStart w:id="5037" w:name="_Caption7831"/>
            <w:bookmarkStart w:id="5038" w:name="_Caption1446"/>
            <w:bookmarkStart w:id="5039" w:name="_Caption3063"/>
            <w:bookmarkStart w:id="5040" w:name="_Caption6548"/>
            <w:bookmarkStart w:id="5041" w:name="_Caption4640"/>
            <w:bookmarkStart w:id="5042" w:name="_Caption9882"/>
            <w:bookmarkStart w:id="5043" w:name="_Caption7432"/>
            <w:bookmarkStart w:id="5044" w:name="_Caption9207"/>
            <w:bookmarkStart w:id="5045" w:name="_Caption8747"/>
            <w:bookmarkStart w:id="5046" w:name="_Caption5127"/>
            <w:bookmarkStart w:id="5047" w:name="_Caption1402"/>
            <w:bookmarkStart w:id="5048" w:name="_Caption4916"/>
            <w:bookmarkStart w:id="5049" w:name="_Caption9978"/>
            <w:bookmarkStart w:id="5050" w:name="_Caption2416"/>
            <w:bookmarkStart w:id="5051" w:name="_Caption5399"/>
            <w:bookmarkStart w:id="5052" w:name="_Caption8190"/>
            <w:bookmarkStart w:id="5053" w:name="_Caption0312"/>
            <w:bookmarkStart w:id="5054" w:name="_Caption3453"/>
            <w:bookmarkStart w:id="5055" w:name="_Caption2526"/>
            <w:bookmarkStart w:id="5056" w:name="_Caption7051"/>
            <w:bookmarkStart w:id="5057" w:name="_Caption3304"/>
            <w:bookmarkStart w:id="5058" w:name="_Caption7754"/>
            <w:bookmarkStart w:id="5059" w:name="_Toc44598534"/>
            <w:bookmarkStart w:id="5060" w:name="_Toc45654165"/>
            <w:r w:rsidR="00272AF3">
              <w:rPr>
                <w:noProof/>
              </w:rPr>
              <w:t>5</w:t>
            </w:r>
            <w:r w:rsidR="00272AF3" w:rsidRPr="00E05C8C">
              <w:rPr>
                <w:noProof/>
              </w:rPr>
              <w:t>.</w:t>
            </w:r>
            <w:r w:rsidR="00272AF3">
              <w:rPr>
                <w:noProof/>
              </w:rPr>
              <w:t>14</w:t>
            </w:r>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r w:rsidRPr="00E05C8C">
              <w:fldChar w:fldCharType="end"/>
            </w:r>
            <w:r w:rsidRPr="00E05C8C">
              <w:tab/>
            </w:r>
            <w:r>
              <w:t>Questions for stakeholders</w:t>
            </w:r>
            <w:bookmarkEnd w:id="5059"/>
            <w:bookmarkEnd w:id="5060"/>
          </w:p>
        </w:tc>
      </w:tr>
      <w:tr w:rsidR="007C6A5F" w:rsidTr="00B5160B">
        <w:tc>
          <w:tcPr>
            <w:tcW w:w="7938" w:type="dxa"/>
            <w:tcBorders>
              <w:bottom w:val="single" w:sz="4" w:space="0" w:color="9B917E" w:themeColor="accent4"/>
            </w:tcBorders>
            <w:shd w:val="clear" w:color="auto" w:fill="E9E8E5" w:themeFill="background2"/>
          </w:tcPr>
          <w:p w:rsidR="005600BF" w:rsidRDefault="005600BF" w:rsidP="005600BF">
            <w:pPr>
              <w:pStyle w:val="ListBullet"/>
              <w:numPr>
                <w:ilvl w:val="0"/>
                <w:numId w:val="17"/>
              </w:numPr>
            </w:pPr>
            <w:r>
              <w:t>Are there any other costs (e.g. transition costs) not identified for builders in transitioning to a new accessibility standard under regulatory Options 1-3?</w:t>
            </w:r>
          </w:p>
          <w:p w:rsidR="007C6A5F" w:rsidRPr="00BF2F67" w:rsidRDefault="005600BF" w:rsidP="004627EC">
            <w:pPr>
              <w:pStyle w:val="ListBullet"/>
              <w:numPr>
                <w:ilvl w:val="0"/>
                <w:numId w:val="17"/>
              </w:numPr>
              <w:spacing w:after="120"/>
            </w:pPr>
            <w:r w:rsidRPr="005600BF">
              <w:rPr>
                <w:rStyle w:val="the-question"/>
                <w:lang w:val="en"/>
              </w:rPr>
              <w:t xml:space="preserve">Can you provide any other relevant information on </w:t>
            </w:r>
            <w:r>
              <w:t xml:space="preserve">the </w:t>
            </w:r>
            <w:r w:rsidRPr="005600BF">
              <w:rPr>
                <w:rStyle w:val="the-question"/>
                <w:lang w:val="en"/>
              </w:rPr>
              <w:t>costs to inform the impacts of the options?</w:t>
            </w:r>
          </w:p>
        </w:tc>
      </w:tr>
    </w:tbl>
    <w:p w:rsidR="007C6A5F" w:rsidRDefault="007C6A5F" w:rsidP="007C6A5F">
      <w:pPr>
        <w:pStyle w:val="Heading3"/>
        <w:numPr>
          <w:ilvl w:val="2"/>
          <w:numId w:val="5"/>
        </w:numPr>
        <w:rPr>
          <w:lang w:bidi="fa-IR"/>
        </w:rPr>
      </w:pPr>
      <w:r>
        <w:rPr>
          <w:lang w:bidi="fa-IR"/>
        </w:rPr>
        <w:t>Retraining costs for industry practitioners</w:t>
      </w:r>
    </w:p>
    <w:p w:rsidR="007C6A5F" w:rsidRDefault="007C6A5F" w:rsidP="007C6A5F">
      <w:pPr>
        <w:pStyle w:val="BodyText"/>
      </w:pPr>
      <w:r>
        <w:t>As the proposed changes to the NCC are significant, both government and industry would incur some one</w:t>
      </w:r>
      <w:r>
        <w:noBreakHyphen/>
        <w:t>off costs associated with raising awareness of the changes and re</w:t>
      </w:r>
      <w:r>
        <w:noBreakHyphen/>
        <w:t>training. We estimate total retraining costs to be around $28.47 million (as follows).</w:t>
      </w:r>
    </w:p>
    <w:p w:rsidR="007C6A5F" w:rsidRDefault="007C6A5F" w:rsidP="007C6A5F">
      <w:pPr>
        <w:pStyle w:val="Heading4"/>
        <w:numPr>
          <w:ilvl w:val="3"/>
          <w:numId w:val="5"/>
        </w:numPr>
      </w:pPr>
      <w:r>
        <w:t>Costs to government</w:t>
      </w:r>
    </w:p>
    <w:p w:rsidR="007C6A5F" w:rsidRPr="002B692B" w:rsidRDefault="007C6A5F" w:rsidP="007C6A5F">
      <w:pPr>
        <w:pStyle w:val="BodyText"/>
        <w:rPr>
          <w:lang w:bidi="fa-IR"/>
        </w:rPr>
      </w:pPr>
      <w:r>
        <w:rPr>
          <w:lang w:bidi="fa-IR"/>
        </w:rPr>
        <w:t xml:space="preserve">Transition costs to government are estimated to be $721 000 (see Table </w:t>
      </w:r>
      <w:r>
        <w:rPr>
          <w:lang w:bidi="fa-IR"/>
        </w:rPr>
        <w:fldChar w:fldCharType="begin"/>
      </w:r>
      <w:r>
        <w:rPr>
          <w:lang w:bidi="fa-IR"/>
        </w:rPr>
        <w:instrText xml:space="preserve"> REF _Caption4990 </w:instrText>
      </w:r>
      <w:r>
        <w:rPr>
          <w:lang w:bidi="fa-IR"/>
        </w:rPr>
        <w:fldChar w:fldCharType="separate"/>
      </w:r>
      <w:r>
        <w:rPr>
          <w:noProof/>
        </w:rPr>
        <w:t>5</w:t>
      </w:r>
      <w:r w:rsidRPr="00695C93">
        <w:rPr>
          <w:noProof/>
        </w:rPr>
        <w:t>.</w:t>
      </w:r>
      <w:r>
        <w:rPr>
          <w:noProof/>
        </w:rPr>
        <w:t>15</w:t>
      </w:r>
      <w:r>
        <w:rPr>
          <w:lang w:bidi="fa-IR"/>
        </w:rPr>
        <w:fldChar w:fldCharType="end"/>
      </w:r>
      <w:r>
        <w:rPr>
          <w:lang w:bidi="fa-IR"/>
        </w:rPr>
        <w:t>)</w:t>
      </w:r>
    </w:p>
    <w:p w:rsidR="007C6A5F" w:rsidRDefault="007C6A5F" w:rsidP="005A6F87">
      <w:pPr>
        <w:pStyle w:val="ListBullet"/>
        <w:numPr>
          <w:ilvl w:val="0"/>
          <w:numId w:val="17"/>
        </w:numPr>
      </w:pPr>
      <w:r>
        <w:t>These costs reflect: (1) to assist with the transition to the new code, we assume the ABCB would prepare a range of guidance material, and (2) the cost to the ABCB or other government bodies for organising and running seminars that educate relevant stakeholders on the changes, which we assume will occur.</w:t>
      </w:r>
    </w:p>
    <w:p w:rsidR="007C6A5F" w:rsidRDefault="007C6A5F" w:rsidP="005A6F87">
      <w:pPr>
        <w:pStyle w:val="ListBullet"/>
        <w:numPr>
          <w:ilvl w:val="0"/>
          <w:numId w:val="17"/>
        </w:numPr>
      </w:pPr>
      <w:r>
        <w:lastRenderedPageBreak/>
        <w:t>For a Decision Regulatory Impact Statement for proposed changes to the NCC relating to energy efficiency in buildings, we estimated total transition costs to government of $355 000. In that analysis, we estimated that around 26 000 individuals would require retraining.</w:t>
      </w:r>
    </w:p>
    <w:p w:rsidR="007C6A5F" w:rsidRDefault="007C6A5F" w:rsidP="005A6F87">
      <w:pPr>
        <w:pStyle w:val="ListBullet"/>
        <w:numPr>
          <w:ilvl w:val="0"/>
          <w:numId w:val="17"/>
        </w:numPr>
      </w:pPr>
      <w:r>
        <w:t>For the current changes to the NCC relating to accessibility, we estimate that around 53 000 individuals would require retraining. We therefore estimate government transition costs of $721 000 ($355 000 multiplied by the ratio of 53 000 to 26 000)</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w:instrText>
      </w:r>
      <w:r w:rsidRPr="00695C93">
        <w:fldChar w:fldCharType="separate"/>
      </w:r>
      <w:r>
        <w:rPr>
          <w:noProof/>
        </w:rPr>
        <w:instrText>5</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5</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15</w:instrText>
      </w:r>
      <w:r w:rsidRPr="00695C93">
        <w:fldChar w:fldCharType="end"/>
      </w:r>
      <w:r w:rsidRPr="00695C93">
        <w:instrText xml:space="preserve">" "" </w:instrText>
      </w:r>
      <w:r w:rsidRPr="00695C93">
        <w:fldChar w:fldCharType="separate"/>
      </w:r>
      <w:bookmarkStart w:id="5061" w:name="_Caption2136"/>
      <w:bookmarkStart w:id="5062" w:name="_Caption0795"/>
      <w:bookmarkStart w:id="5063" w:name="_Caption5549"/>
      <w:bookmarkStart w:id="5064" w:name="_Caption7012"/>
      <w:bookmarkStart w:id="5065" w:name="_Caption5391"/>
      <w:bookmarkStart w:id="5066" w:name="_Caption6853"/>
      <w:bookmarkStart w:id="5067" w:name="_Caption4193"/>
      <w:bookmarkStart w:id="5068" w:name="_Caption8935"/>
      <w:bookmarkStart w:id="5069" w:name="_Caption6819"/>
      <w:bookmarkStart w:id="5070" w:name="_Caption0427"/>
      <w:bookmarkStart w:id="5071" w:name="_Caption9834"/>
      <w:bookmarkStart w:id="5072" w:name="_Caption8825"/>
      <w:bookmarkStart w:id="5073" w:name="_Caption6618"/>
      <w:bookmarkStart w:id="5074" w:name="_Caption3740"/>
      <w:bookmarkStart w:id="5075" w:name="_Caption4753"/>
      <w:bookmarkStart w:id="5076" w:name="_Caption3676"/>
      <w:bookmarkStart w:id="5077" w:name="_Caption0938"/>
      <w:bookmarkStart w:id="5078" w:name="_Caption2002"/>
      <w:bookmarkStart w:id="5079" w:name="_Caption6959"/>
      <w:bookmarkStart w:id="5080" w:name="_Caption1048"/>
      <w:bookmarkStart w:id="5081" w:name="_Caption9222"/>
      <w:bookmarkStart w:id="5082" w:name="_Caption3546"/>
      <w:bookmarkStart w:id="5083" w:name="_Caption9126"/>
      <w:bookmarkStart w:id="5084" w:name="_Caption6802"/>
      <w:bookmarkStart w:id="5085" w:name="_Caption6877"/>
      <w:bookmarkStart w:id="5086" w:name="_Caption6104"/>
      <w:bookmarkStart w:id="5087" w:name="_Caption7085"/>
      <w:bookmarkStart w:id="5088" w:name="_Caption6022"/>
      <w:bookmarkStart w:id="5089" w:name="_Caption1018"/>
      <w:bookmarkStart w:id="5090" w:name="_Caption7670"/>
      <w:bookmarkStart w:id="5091" w:name="_Caption3197"/>
      <w:bookmarkStart w:id="5092" w:name="_Caption2721"/>
      <w:bookmarkStart w:id="5093" w:name="_Caption9769"/>
      <w:bookmarkStart w:id="5094" w:name="_Caption7124"/>
      <w:bookmarkStart w:id="5095" w:name="_Caption7251"/>
      <w:bookmarkStart w:id="5096" w:name="_Caption1489"/>
      <w:bookmarkStart w:id="5097" w:name="_Caption1611"/>
      <w:bookmarkStart w:id="5098" w:name="_Caption3929"/>
      <w:bookmarkStart w:id="5099" w:name="_Caption8812"/>
      <w:bookmarkStart w:id="5100" w:name="_Caption0402"/>
      <w:bookmarkStart w:id="5101" w:name="_Caption0443"/>
      <w:bookmarkStart w:id="5102" w:name="_Caption4340"/>
      <w:bookmarkStart w:id="5103" w:name="_Caption9048"/>
      <w:bookmarkStart w:id="5104" w:name="_Caption4990"/>
      <w:bookmarkStart w:id="5105" w:name="_Caption3801"/>
      <w:bookmarkStart w:id="5106" w:name="_Caption3990"/>
      <w:bookmarkStart w:id="5107" w:name="_Caption5198"/>
      <w:bookmarkStart w:id="5108" w:name="_Caption0155"/>
      <w:bookmarkStart w:id="5109" w:name="_Caption4387"/>
      <w:bookmarkStart w:id="5110" w:name="_Caption4468"/>
      <w:bookmarkStart w:id="5111" w:name="_Caption6012"/>
      <w:bookmarkStart w:id="5112" w:name="_Caption7604"/>
      <w:bookmarkStart w:id="5113" w:name="_Caption0530"/>
      <w:bookmarkStart w:id="5114" w:name="_Caption2942"/>
      <w:bookmarkStart w:id="5115" w:name="_Caption2382"/>
      <w:bookmarkStart w:id="5116" w:name="_Caption5455"/>
      <w:bookmarkStart w:id="5117" w:name="_Caption1649"/>
      <w:bookmarkStart w:id="5118" w:name="_Caption6108"/>
      <w:bookmarkStart w:id="5119" w:name="_Caption7657"/>
      <w:bookmarkStart w:id="5120" w:name="_Caption5554"/>
      <w:bookmarkStart w:id="5121" w:name="_Caption8981"/>
      <w:bookmarkStart w:id="5122" w:name="_Caption7483"/>
      <w:bookmarkStart w:id="5123" w:name="_Caption0228"/>
      <w:bookmarkStart w:id="5124" w:name="_Caption3757"/>
      <w:bookmarkStart w:id="5125" w:name="_Caption4374"/>
      <w:bookmarkStart w:id="5126" w:name="_Caption1740"/>
      <w:bookmarkStart w:id="5127" w:name="_Caption8226"/>
      <w:bookmarkStart w:id="5128" w:name="_Caption1056"/>
      <w:bookmarkStart w:id="5129" w:name="_Caption5157"/>
      <w:bookmarkStart w:id="5130" w:name="_Caption5293"/>
      <w:bookmarkStart w:id="5131" w:name="_Caption3651"/>
      <w:bookmarkStart w:id="5132" w:name="_Caption9327"/>
      <w:bookmarkStart w:id="5133" w:name="_Caption4650"/>
      <w:bookmarkStart w:id="5134" w:name="_Caption6374"/>
      <w:bookmarkStart w:id="5135" w:name="_Caption4025"/>
      <w:bookmarkStart w:id="5136" w:name="_Caption3959"/>
      <w:bookmarkStart w:id="5137" w:name="_Caption1031"/>
      <w:bookmarkStart w:id="5138" w:name="_Caption1745"/>
      <w:bookmarkStart w:id="5139" w:name="_Caption0768"/>
      <w:bookmarkStart w:id="5140" w:name="_Caption7572"/>
      <w:bookmarkStart w:id="5141" w:name="_Caption3499"/>
      <w:bookmarkStart w:id="5142" w:name="_Caption0721"/>
      <w:bookmarkStart w:id="5143" w:name="_Caption7973"/>
      <w:bookmarkStart w:id="5144" w:name="_Caption5146"/>
      <w:bookmarkStart w:id="5145" w:name="_Caption0811"/>
      <w:bookmarkStart w:id="5146" w:name="_Caption2394"/>
      <w:bookmarkStart w:id="5147" w:name="_Caption0698"/>
      <w:bookmarkStart w:id="5148" w:name="_Caption6452"/>
      <w:bookmarkStart w:id="5149" w:name="_Caption0329"/>
      <w:bookmarkStart w:id="5150" w:name="_Caption0124"/>
      <w:bookmarkStart w:id="5151" w:name="_Caption6557"/>
      <w:bookmarkStart w:id="5152" w:name="_Caption1996"/>
      <w:bookmarkStart w:id="5153" w:name="_Caption3227"/>
      <w:bookmarkStart w:id="5154" w:name="_Toc32321837"/>
      <w:bookmarkStart w:id="5155" w:name="_Toc44598535"/>
      <w:bookmarkStart w:id="5156" w:name="_Toc45654166"/>
      <w:r w:rsidR="00272AF3">
        <w:rPr>
          <w:noProof/>
        </w:rPr>
        <w:t>5</w:t>
      </w:r>
      <w:r w:rsidR="00272AF3" w:rsidRPr="00695C93">
        <w:rPr>
          <w:noProof/>
        </w:rPr>
        <w:t>.</w:t>
      </w:r>
      <w:r w:rsidR="00272AF3">
        <w:rPr>
          <w:noProof/>
        </w:rPr>
        <w:t>15</w:t>
      </w:r>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r w:rsidRPr="00695C93">
        <w:fldChar w:fldCharType="end"/>
      </w:r>
      <w:r w:rsidRPr="00695C93">
        <w:tab/>
      </w:r>
      <w:r>
        <w:t>Transitional costs to government</w:t>
      </w:r>
      <w:bookmarkEnd w:id="5154"/>
      <w:bookmarkEnd w:id="5155"/>
      <w:bookmarkEnd w:id="5156"/>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5.15"/>
        <w:tblDescription w:val="Transitional costs to government"/>
      </w:tblPr>
      <w:tblGrid>
        <w:gridCol w:w="4694"/>
        <w:gridCol w:w="3243"/>
      </w:tblGrid>
      <w:tr w:rsidR="007C6A5F" w:rsidRPr="002E00E0" w:rsidTr="00D558E4">
        <w:trPr>
          <w:trHeight w:val="252"/>
          <w:tblHeader/>
        </w:trPr>
        <w:tc>
          <w:tcPr>
            <w:tcW w:w="4694" w:type="dxa"/>
            <w:tcBorders>
              <w:bottom w:val="single" w:sz="8" w:space="0" w:color="FFFFFF" w:themeColor="background1"/>
            </w:tcBorders>
            <w:shd w:val="clear" w:color="auto" w:fill="6F6652" w:themeFill="accent5"/>
            <w:noWrap/>
            <w:hideMark/>
          </w:tcPr>
          <w:p w:rsidR="007C6A5F" w:rsidRPr="002E00E0" w:rsidRDefault="007C6A5F" w:rsidP="00C36DA4">
            <w:pPr>
              <w:pStyle w:val="TableDataColumnHeading"/>
              <w:jc w:val="left"/>
            </w:pPr>
            <w:r>
              <w:t>Changes to NCC</w:t>
            </w:r>
          </w:p>
        </w:tc>
        <w:tc>
          <w:tcPr>
            <w:tcW w:w="3243" w:type="dxa"/>
            <w:tcBorders>
              <w:bottom w:val="single" w:sz="8" w:space="0" w:color="FFFFFF" w:themeColor="background1"/>
            </w:tcBorders>
            <w:shd w:val="clear" w:color="auto" w:fill="6F6652" w:themeFill="accent5"/>
            <w:noWrap/>
            <w:hideMark/>
          </w:tcPr>
          <w:p w:rsidR="007C6A5F" w:rsidRPr="002E00E0" w:rsidRDefault="007C6A5F" w:rsidP="00C36DA4">
            <w:pPr>
              <w:pStyle w:val="TableDataColumnHeading"/>
              <w:rPr>
                <w:rFonts w:ascii="Franklin Gothic Book" w:hAnsi="Franklin Gothic Book"/>
                <w:sz w:val="18"/>
              </w:rPr>
            </w:pPr>
            <w:r w:rsidRPr="00694B87">
              <w:rPr>
                <w:szCs w:val="16"/>
              </w:rPr>
              <w:t>Estimate ($000</w:t>
            </w:r>
            <w:r>
              <w:rPr>
                <w:rFonts w:ascii="Franklin Gothic Book" w:hAnsi="Franklin Gothic Book"/>
                <w:sz w:val="18"/>
              </w:rPr>
              <w:t>)</w:t>
            </w:r>
          </w:p>
        </w:tc>
      </w:tr>
      <w:tr w:rsidR="007C6A5F" w:rsidRPr="002E00E0" w:rsidTr="00B5160B">
        <w:trPr>
          <w:trHeight w:val="252"/>
        </w:trPr>
        <w:tc>
          <w:tcPr>
            <w:tcW w:w="4694" w:type="dxa"/>
            <w:tcBorders>
              <w:top w:val="single" w:sz="8" w:space="0" w:color="FFFFFF" w:themeColor="background1"/>
              <w:bottom w:val="single" w:sz="4" w:space="0" w:color="6F6652" w:themeColor="accent5"/>
            </w:tcBorders>
            <w:shd w:val="clear" w:color="auto" w:fill="E9E8E5" w:themeFill="background2"/>
            <w:noWrap/>
            <w:hideMark/>
          </w:tcPr>
          <w:p w:rsidR="007C6A5F" w:rsidRPr="002E00E0" w:rsidRDefault="007C6A5F" w:rsidP="00C36DA4">
            <w:pPr>
              <w:pStyle w:val="TableDataEntries"/>
              <w:jc w:val="left"/>
            </w:pPr>
            <w:r>
              <w:t>Estimated costs for accessibility changes (current)</w:t>
            </w:r>
          </w:p>
        </w:tc>
        <w:tc>
          <w:tcPr>
            <w:tcW w:w="3243" w:type="dxa"/>
            <w:tcBorders>
              <w:top w:val="single" w:sz="8" w:space="0" w:color="FFFFFF" w:themeColor="background1"/>
              <w:bottom w:val="single" w:sz="4" w:space="0" w:color="6F6652" w:themeColor="accent5"/>
            </w:tcBorders>
            <w:shd w:val="clear" w:color="auto" w:fill="E9E8E5" w:themeFill="background2"/>
            <w:noWrap/>
            <w:hideMark/>
          </w:tcPr>
          <w:p w:rsidR="007C6A5F" w:rsidRPr="002E00E0" w:rsidRDefault="007C6A5F" w:rsidP="00C36DA4">
            <w:pPr>
              <w:pStyle w:val="TableDataEntries"/>
            </w:pPr>
            <w:r>
              <w:t>721</w:t>
            </w:r>
          </w:p>
        </w:tc>
      </w:tr>
    </w:tbl>
    <w:p w:rsidR="007C6A5F" w:rsidRDefault="007C6A5F" w:rsidP="007C6A5F">
      <w:pPr>
        <w:pStyle w:val="Source"/>
        <w:rPr>
          <w:lang w:bidi="fa-IR"/>
        </w:rPr>
      </w:pPr>
      <w:r w:rsidRPr="002E00E0">
        <w:rPr>
          <w:i/>
          <w:lang w:bidi="fa-IR"/>
        </w:rPr>
        <w:t>Source:</w:t>
      </w:r>
      <w:r>
        <w:rPr>
          <w:lang w:bidi="fa-IR"/>
        </w:rPr>
        <w:t xml:space="preserve"> CIE.</w:t>
      </w:r>
    </w:p>
    <w:p w:rsidR="007C6A5F" w:rsidRDefault="007C6A5F" w:rsidP="007C6A5F">
      <w:pPr>
        <w:pStyle w:val="Heading4"/>
        <w:numPr>
          <w:ilvl w:val="3"/>
          <w:numId w:val="5"/>
        </w:numPr>
      </w:pPr>
      <w:r>
        <w:t>Costs to industry</w:t>
      </w:r>
    </w:p>
    <w:p w:rsidR="007C6A5F" w:rsidRDefault="007C6A5F" w:rsidP="007C6A5F">
      <w:pPr>
        <w:pStyle w:val="BodyText"/>
      </w:pPr>
      <w:r>
        <w:t>Industry stakeholders will also incur one</w:t>
      </w:r>
      <w:r>
        <w:noBreakHyphen/>
        <w:t>off costs associated with familiarising themselves with the new code requirements. We estimate the time costs associated with familiarising themselves with the relevant aspects of the new code</w:t>
      </w:r>
    </w:p>
    <w:p w:rsidR="007C6A5F" w:rsidRPr="00304DE1" w:rsidRDefault="007C6A5F" w:rsidP="007C6A5F">
      <w:pPr>
        <w:pStyle w:val="BodyText"/>
      </w:pPr>
      <w:r>
        <w:t xml:space="preserve">These costs are estimated at $27.745 million (see table </w:t>
      </w:r>
      <w:r>
        <w:rPr>
          <w:noProof/>
        </w:rPr>
        <w:fldChar w:fldCharType="begin"/>
      </w:r>
      <w:r>
        <w:rPr>
          <w:noProof/>
        </w:rPr>
        <w:instrText xml:space="preserve"> REF _Caption6845 </w:instrText>
      </w:r>
      <w:r>
        <w:rPr>
          <w:noProof/>
        </w:rPr>
        <w:fldChar w:fldCharType="separate"/>
      </w:r>
      <w:r>
        <w:rPr>
          <w:noProof/>
        </w:rPr>
        <w:t>5</w:t>
      </w:r>
      <w:r w:rsidRPr="00695C93">
        <w:rPr>
          <w:noProof/>
        </w:rPr>
        <w:t>.</w:t>
      </w:r>
      <w:r>
        <w:rPr>
          <w:noProof/>
        </w:rPr>
        <w:t>16</w:t>
      </w:r>
      <w:r>
        <w:rPr>
          <w:noProof/>
        </w:rPr>
        <w:fldChar w:fldCharType="end"/>
      </w:r>
      <w:r>
        <w:t>), which are based on assumptions that follow.</w:t>
      </w:r>
    </w:p>
    <w:p w:rsidR="007C6A5F" w:rsidRDefault="007C6A5F" w:rsidP="00B5160B">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w:instrText>
      </w:r>
      <w:r w:rsidRPr="00695C93">
        <w:fldChar w:fldCharType="separate"/>
      </w:r>
      <w:r>
        <w:rPr>
          <w:noProof/>
        </w:rPr>
        <w:instrText>5</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5</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16</w:instrText>
      </w:r>
      <w:r w:rsidRPr="00695C93">
        <w:fldChar w:fldCharType="end"/>
      </w:r>
      <w:r w:rsidRPr="00695C93">
        <w:instrText xml:space="preserve">" "" </w:instrText>
      </w:r>
      <w:r w:rsidRPr="00695C93">
        <w:fldChar w:fldCharType="separate"/>
      </w:r>
      <w:bookmarkStart w:id="5157" w:name="_Caption5687"/>
      <w:bookmarkStart w:id="5158" w:name="_Caption5974"/>
      <w:bookmarkStart w:id="5159" w:name="_Caption3118"/>
      <w:bookmarkStart w:id="5160" w:name="_Caption0283"/>
      <w:bookmarkStart w:id="5161" w:name="_Caption2801"/>
      <w:bookmarkStart w:id="5162" w:name="_Caption4846"/>
      <w:bookmarkStart w:id="5163" w:name="_Caption8402"/>
      <w:bookmarkStart w:id="5164" w:name="_Caption1539"/>
      <w:bookmarkStart w:id="5165" w:name="_Caption4222"/>
      <w:bookmarkStart w:id="5166" w:name="_Caption4183"/>
      <w:bookmarkStart w:id="5167" w:name="_Caption8526"/>
      <w:bookmarkStart w:id="5168" w:name="_Caption3025"/>
      <w:bookmarkStart w:id="5169" w:name="_Caption6511"/>
      <w:bookmarkStart w:id="5170" w:name="_Caption6985"/>
      <w:bookmarkStart w:id="5171" w:name="_Caption4712"/>
      <w:bookmarkStart w:id="5172" w:name="_Caption7628"/>
      <w:bookmarkStart w:id="5173" w:name="_Caption7026"/>
      <w:bookmarkStart w:id="5174" w:name="_Caption3431"/>
      <w:bookmarkStart w:id="5175" w:name="_Caption7493"/>
      <w:bookmarkStart w:id="5176" w:name="_Caption1862"/>
      <w:bookmarkStart w:id="5177" w:name="_Caption0971"/>
      <w:bookmarkStart w:id="5178" w:name="_Caption4187"/>
      <w:bookmarkStart w:id="5179" w:name="_Caption0514"/>
      <w:bookmarkStart w:id="5180" w:name="_Caption0607"/>
      <w:bookmarkStart w:id="5181" w:name="_Caption5702"/>
      <w:bookmarkStart w:id="5182" w:name="_Caption2539"/>
      <w:bookmarkStart w:id="5183" w:name="_Caption0183"/>
      <w:bookmarkStart w:id="5184" w:name="_Caption5067"/>
      <w:bookmarkStart w:id="5185" w:name="_Caption5357"/>
      <w:bookmarkStart w:id="5186" w:name="_Caption6230"/>
      <w:bookmarkStart w:id="5187" w:name="_Caption0073"/>
      <w:bookmarkStart w:id="5188" w:name="_Caption4309"/>
      <w:bookmarkStart w:id="5189" w:name="_Caption3976"/>
      <w:bookmarkStart w:id="5190" w:name="_Caption4194"/>
      <w:bookmarkStart w:id="5191" w:name="_Caption0833"/>
      <w:bookmarkStart w:id="5192" w:name="_Caption4667"/>
      <w:bookmarkStart w:id="5193" w:name="_Caption0944"/>
      <w:bookmarkStart w:id="5194" w:name="_Caption3808"/>
      <w:bookmarkStart w:id="5195" w:name="_Caption6783"/>
      <w:bookmarkStart w:id="5196" w:name="_Caption1282"/>
      <w:bookmarkStart w:id="5197" w:name="_Caption4221"/>
      <w:bookmarkStart w:id="5198" w:name="_Caption7261"/>
      <w:bookmarkStart w:id="5199" w:name="_Caption3759"/>
      <w:bookmarkStart w:id="5200" w:name="_Caption2484"/>
      <w:bookmarkStart w:id="5201" w:name="_Caption6845"/>
      <w:bookmarkStart w:id="5202" w:name="_Caption5663"/>
      <w:bookmarkStart w:id="5203" w:name="_Caption9086"/>
      <w:bookmarkStart w:id="5204" w:name="_Caption4730"/>
      <w:bookmarkStart w:id="5205" w:name="_Caption2651"/>
      <w:bookmarkStart w:id="5206" w:name="_Caption2286"/>
      <w:bookmarkStart w:id="5207" w:name="_Caption1140"/>
      <w:bookmarkStart w:id="5208" w:name="_Caption7065"/>
      <w:bookmarkStart w:id="5209" w:name="_Caption8445"/>
      <w:bookmarkStart w:id="5210" w:name="_Caption1433"/>
      <w:bookmarkStart w:id="5211" w:name="_Caption1097"/>
      <w:bookmarkStart w:id="5212" w:name="_Caption2143"/>
      <w:bookmarkStart w:id="5213" w:name="_Caption5429"/>
      <w:bookmarkStart w:id="5214" w:name="_Caption4810"/>
      <w:bookmarkStart w:id="5215" w:name="_Caption6896"/>
      <w:bookmarkStart w:id="5216" w:name="_Caption1462"/>
      <w:bookmarkStart w:id="5217" w:name="_Caption8305"/>
      <w:bookmarkStart w:id="5218" w:name="_Caption6458"/>
      <w:bookmarkStart w:id="5219" w:name="_Caption5560"/>
      <w:bookmarkStart w:id="5220" w:name="_Caption0161"/>
      <w:bookmarkStart w:id="5221" w:name="_Caption7750"/>
      <w:bookmarkStart w:id="5222" w:name="_Caption6392"/>
      <w:bookmarkStart w:id="5223" w:name="_Caption2101"/>
      <w:bookmarkStart w:id="5224" w:name="_Caption2675"/>
      <w:bookmarkStart w:id="5225" w:name="_Caption9229"/>
      <w:bookmarkStart w:id="5226" w:name="_Caption6626"/>
      <w:bookmarkStart w:id="5227" w:name="_Caption5735"/>
      <w:bookmarkStart w:id="5228" w:name="_Caption3851"/>
      <w:bookmarkStart w:id="5229" w:name="_Caption1916"/>
      <w:bookmarkStart w:id="5230" w:name="_Caption1354"/>
      <w:bookmarkStart w:id="5231" w:name="_Caption6588"/>
      <w:bookmarkStart w:id="5232" w:name="_Caption4599"/>
      <w:bookmarkStart w:id="5233" w:name="_Caption9472"/>
      <w:bookmarkStart w:id="5234" w:name="_Caption1721"/>
      <w:bookmarkStart w:id="5235" w:name="_Caption9675"/>
      <w:bookmarkStart w:id="5236" w:name="_Caption4827"/>
      <w:bookmarkStart w:id="5237" w:name="_Caption5690"/>
      <w:bookmarkStart w:id="5238" w:name="_Caption0188"/>
      <w:bookmarkStart w:id="5239" w:name="_Caption6235"/>
      <w:bookmarkStart w:id="5240" w:name="_Caption6972"/>
      <w:bookmarkStart w:id="5241" w:name="_Caption5253"/>
      <w:bookmarkStart w:id="5242" w:name="_Caption0103"/>
      <w:bookmarkStart w:id="5243" w:name="_Caption8442"/>
      <w:bookmarkStart w:id="5244" w:name="_Caption2219"/>
      <w:bookmarkStart w:id="5245" w:name="_Caption1778"/>
      <w:bookmarkStart w:id="5246" w:name="_Caption7832"/>
      <w:bookmarkStart w:id="5247" w:name="_Caption8536"/>
      <w:bookmarkStart w:id="5248" w:name="_Caption5109"/>
      <w:bookmarkStart w:id="5249" w:name="_Caption7631"/>
      <w:bookmarkStart w:id="5250" w:name="_Caption1879"/>
      <w:bookmarkStart w:id="5251" w:name="_Toc32321838"/>
      <w:bookmarkStart w:id="5252" w:name="_Toc44598536"/>
      <w:bookmarkStart w:id="5253" w:name="_Toc45654167"/>
      <w:r w:rsidR="00272AF3">
        <w:rPr>
          <w:noProof/>
        </w:rPr>
        <w:t>5</w:t>
      </w:r>
      <w:r w:rsidR="00272AF3" w:rsidRPr="00695C93">
        <w:rPr>
          <w:noProof/>
        </w:rPr>
        <w:t>.</w:t>
      </w:r>
      <w:r w:rsidR="00272AF3">
        <w:rPr>
          <w:noProof/>
        </w:rPr>
        <w:t>16</w:t>
      </w:r>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r w:rsidRPr="00695C93">
        <w:fldChar w:fldCharType="end"/>
      </w:r>
      <w:r w:rsidRPr="00695C93">
        <w:tab/>
      </w:r>
      <w:r>
        <w:t>Estimated number of individuals to be retrained, and retraining costs</w:t>
      </w:r>
      <w:bookmarkEnd w:id="5251"/>
      <w:bookmarkEnd w:id="5252"/>
      <w:bookmarkEnd w:id="5253"/>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5.16"/>
        <w:tblDescription w:val="Estimated number of individuals to be retrained, and retraining costs"/>
      </w:tblPr>
      <w:tblGrid>
        <w:gridCol w:w="3690"/>
        <w:gridCol w:w="2124"/>
        <w:gridCol w:w="2124"/>
      </w:tblGrid>
      <w:tr w:rsidR="007C6A5F" w:rsidRPr="00304DE1" w:rsidTr="00D558E4">
        <w:trPr>
          <w:trHeight w:val="252"/>
          <w:tblHeader/>
        </w:trPr>
        <w:tc>
          <w:tcPr>
            <w:tcW w:w="3690" w:type="dxa"/>
            <w:shd w:val="clear" w:color="auto" w:fill="6F6652" w:themeFill="accent5"/>
            <w:noWrap/>
            <w:hideMark/>
          </w:tcPr>
          <w:p w:rsidR="007C6A5F" w:rsidRPr="00304DE1" w:rsidRDefault="007C6A5F" w:rsidP="00C36DA4">
            <w:pPr>
              <w:pStyle w:val="TableDataColumnHeading"/>
              <w:jc w:val="left"/>
            </w:pPr>
            <w:r>
              <w:t>Profession/trade</w:t>
            </w:r>
          </w:p>
        </w:tc>
        <w:tc>
          <w:tcPr>
            <w:tcW w:w="2124" w:type="dxa"/>
            <w:shd w:val="clear" w:color="auto" w:fill="6F6652" w:themeFill="accent5"/>
            <w:noWrap/>
            <w:hideMark/>
          </w:tcPr>
          <w:p w:rsidR="007C6A5F" w:rsidRPr="00F77736" w:rsidRDefault="007C6A5F" w:rsidP="00C36DA4">
            <w:pPr>
              <w:pStyle w:val="TableDataColumnHeading"/>
              <w:rPr>
                <w:szCs w:val="16"/>
              </w:rPr>
            </w:pPr>
            <w:r w:rsidRPr="00F77736">
              <w:rPr>
                <w:szCs w:val="16"/>
              </w:rPr>
              <w:t>People to be retrained</w:t>
            </w:r>
            <w:r w:rsidR="00D558E4">
              <w:rPr>
                <w:szCs w:val="16"/>
              </w:rPr>
              <w:br/>
              <w:t>($’000)</w:t>
            </w:r>
          </w:p>
        </w:tc>
        <w:tc>
          <w:tcPr>
            <w:tcW w:w="2124" w:type="dxa"/>
            <w:shd w:val="clear" w:color="auto" w:fill="6F6652" w:themeFill="accent5"/>
            <w:noWrap/>
            <w:hideMark/>
          </w:tcPr>
          <w:p w:rsidR="007C6A5F" w:rsidRPr="00F77736" w:rsidRDefault="007C6A5F" w:rsidP="00C36DA4">
            <w:pPr>
              <w:pStyle w:val="TableDataColumnHeading"/>
              <w:rPr>
                <w:szCs w:val="16"/>
              </w:rPr>
            </w:pPr>
            <w:r w:rsidRPr="00F77736">
              <w:rPr>
                <w:szCs w:val="16"/>
              </w:rPr>
              <w:t>Total time costs</w:t>
            </w:r>
            <w:r w:rsidR="00D558E4">
              <w:rPr>
                <w:szCs w:val="16"/>
              </w:rPr>
              <w:br/>
              <w:t>($’000)</w:t>
            </w:r>
          </w:p>
        </w:tc>
      </w:tr>
      <w:tr w:rsidR="007C6A5F" w:rsidRPr="00304DE1" w:rsidTr="00160E46">
        <w:trPr>
          <w:trHeight w:val="252"/>
        </w:trPr>
        <w:tc>
          <w:tcPr>
            <w:tcW w:w="3690" w:type="dxa"/>
            <w:tcBorders>
              <w:top w:val="single" w:sz="8" w:space="0" w:color="FFFFFF" w:themeColor="background1"/>
              <w:bottom w:val="single" w:sz="8" w:space="0" w:color="FFFFFF" w:themeColor="background1"/>
            </w:tcBorders>
            <w:shd w:val="clear" w:color="auto" w:fill="E9E8E5" w:themeFill="background2"/>
            <w:noWrap/>
            <w:hideMark/>
          </w:tcPr>
          <w:p w:rsidR="007C6A5F" w:rsidRPr="00304DE1" w:rsidRDefault="007C6A5F" w:rsidP="00C36DA4">
            <w:pPr>
              <w:pStyle w:val="TableUnit"/>
              <w:jc w:val="left"/>
            </w:pPr>
            <w:r w:rsidRPr="00304DE1">
              <w:t>Construction managers</w:t>
            </w:r>
          </w:p>
        </w:tc>
        <w:tc>
          <w:tcPr>
            <w:tcW w:w="2124" w:type="dxa"/>
            <w:tcBorders>
              <w:top w:val="single" w:sz="8" w:space="0" w:color="FFFFFF" w:themeColor="background1"/>
              <w:bottom w:val="single" w:sz="8" w:space="0" w:color="FFFFFF" w:themeColor="background1"/>
            </w:tcBorders>
            <w:shd w:val="clear" w:color="auto" w:fill="E9E8E5" w:themeFill="background2"/>
            <w:noWrap/>
            <w:hideMark/>
          </w:tcPr>
          <w:p w:rsidR="007C6A5F" w:rsidRPr="00137F42" w:rsidRDefault="007C6A5F" w:rsidP="00C36DA4">
            <w:pPr>
              <w:pStyle w:val="TableDataEntries"/>
            </w:pPr>
            <w:r w:rsidRPr="0037497A">
              <w:t>41</w:t>
            </w:r>
          </w:p>
        </w:tc>
        <w:tc>
          <w:tcPr>
            <w:tcW w:w="2124" w:type="dxa"/>
            <w:tcBorders>
              <w:top w:val="single" w:sz="8" w:space="0" w:color="FFFFFF" w:themeColor="background1"/>
              <w:bottom w:val="single" w:sz="8" w:space="0" w:color="FFFFFF" w:themeColor="background1"/>
            </w:tcBorders>
            <w:shd w:val="clear" w:color="auto" w:fill="E9E8E5" w:themeFill="background2"/>
            <w:noWrap/>
            <w:hideMark/>
          </w:tcPr>
          <w:p w:rsidR="007C6A5F" w:rsidRPr="00137F42" w:rsidRDefault="007C6A5F" w:rsidP="00C36DA4">
            <w:pPr>
              <w:pStyle w:val="TableDataEntries"/>
            </w:pPr>
            <w:r w:rsidRPr="0037497A">
              <w:t>23</w:t>
            </w:r>
            <w:r>
              <w:t> </w:t>
            </w:r>
            <w:r w:rsidRPr="0037497A">
              <w:t>560</w:t>
            </w:r>
          </w:p>
        </w:tc>
      </w:tr>
      <w:tr w:rsidR="007C6A5F" w:rsidRPr="00304DE1" w:rsidTr="00160E46">
        <w:trPr>
          <w:trHeight w:val="252"/>
        </w:trPr>
        <w:tc>
          <w:tcPr>
            <w:tcW w:w="3690" w:type="dxa"/>
            <w:tcBorders>
              <w:top w:val="single" w:sz="8" w:space="0" w:color="FFFFFF" w:themeColor="background1"/>
              <w:bottom w:val="single" w:sz="8" w:space="0" w:color="FFFFFF" w:themeColor="background1"/>
            </w:tcBorders>
            <w:shd w:val="clear" w:color="auto" w:fill="E9E8E5" w:themeFill="background2"/>
            <w:noWrap/>
            <w:hideMark/>
          </w:tcPr>
          <w:p w:rsidR="007C6A5F" w:rsidRPr="00304DE1" w:rsidRDefault="007C6A5F" w:rsidP="00C36DA4">
            <w:pPr>
              <w:pStyle w:val="TableDataEntries"/>
              <w:jc w:val="left"/>
            </w:pPr>
            <w:r w:rsidRPr="00304DE1">
              <w:t>Architects/building designers</w:t>
            </w:r>
          </w:p>
        </w:tc>
        <w:tc>
          <w:tcPr>
            <w:tcW w:w="2124" w:type="dxa"/>
            <w:tcBorders>
              <w:top w:val="single" w:sz="8" w:space="0" w:color="FFFFFF" w:themeColor="background1"/>
              <w:bottom w:val="single" w:sz="8" w:space="0" w:color="FFFFFF" w:themeColor="background1"/>
            </w:tcBorders>
            <w:shd w:val="clear" w:color="auto" w:fill="E9E8E5" w:themeFill="background2"/>
            <w:noWrap/>
            <w:hideMark/>
          </w:tcPr>
          <w:p w:rsidR="007C6A5F" w:rsidRPr="00137F42" w:rsidRDefault="007C6A5F" w:rsidP="00C36DA4">
            <w:pPr>
              <w:pStyle w:val="TableDataEntries"/>
            </w:pPr>
            <w:r w:rsidRPr="0037497A">
              <w:t>11</w:t>
            </w:r>
          </w:p>
        </w:tc>
        <w:tc>
          <w:tcPr>
            <w:tcW w:w="2124" w:type="dxa"/>
            <w:tcBorders>
              <w:top w:val="single" w:sz="8" w:space="0" w:color="FFFFFF" w:themeColor="background1"/>
              <w:bottom w:val="single" w:sz="8" w:space="0" w:color="FFFFFF" w:themeColor="background1"/>
            </w:tcBorders>
            <w:shd w:val="clear" w:color="auto" w:fill="E9E8E5" w:themeFill="background2"/>
            <w:noWrap/>
            <w:hideMark/>
          </w:tcPr>
          <w:p w:rsidR="007C6A5F" w:rsidRPr="00137F42" w:rsidRDefault="007C6A5F" w:rsidP="00C36DA4">
            <w:pPr>
              <w:pStyle w:val="TableDataEntries"/>
            </w:pPr>
            <w:r w:rsidRPr="0037497A">
              <w:t>3</w:t>
            </w:r>
            <w:r>
              <w:t> </w:t>
            </w:r>
            <w:r w:rsidRPr="0037497A">
              <w:t>522</w:t>
            </w:r>
          </w:p>
        </w:tc>
      </w:tr>
      <w:tr w:rsidR="007C6A5F" w:rsidRPr="00304DE1" w:rsidTr="00B5160B">
        <w:trPr>
          <w:trHeight w:val="252"/>
        </w:trPr>
        <w:tc>
          <w:tcPr>
            <w:tcW w:w="3690" w:type="dxa"/>
            <w:tcBorders>
              <w:top w:val="single" w:sz="8" w:space="0" w:color="FFFFFF" w:themeColor="background1"/>
              <w:bottom w:val="single" w:sz="8" w:space="0" w:color="FFFFFF" w:themeColor="background1"/>
            </w:tcBorders>
            <w:shd w:val="clear" w:color="auto" w:fill="E9E8E5" w:themeFill="background2"/>
            <w:noWrap/>
            <w:hideMark/>
          </w:tcPr>
          <w:p w:rsidR="007C6A5F" w:rsidRPr="00304DE1" w:rsidRDefault="007C6A5F" w:rsidP="00C36DA4">
            <w:pPr>
              <w:pStyle w:val="TableDataEntries"/>
              <w:jc w:val="left"/>
            </w:pPr>
            <w:r w:rsidRPr="00304DE1">
              <w:t>Certifiers/surveyors</w:t>
            </w:r>
          </w:p>
        </w:tc>
        <w:tc>
          <w:tcPr>
            <w:tcW w:w="2124" w:type="dxa"/>
            <w:tcBorders>
              <w:top w:val="single" w:sz="8" w:space="0" w:color="FFFFFF" w:themeColor="background1"/>
              <w:bottom w:val="single" w:sz="8" w:space="0" w:color="FFFFFF" w:themeColor="background1"/>
            </w:tcBorders>
            <w:shd w:val="clear" w:color="auto" w:fill="E9E8E5" w:themeFill="background2"/>
            <w:noWrap/>
            <w:hideMark/>
          </w:tcPr>
          <w:p w:rsidR="007C6A5F" w:rsidRPr="00137F42" w:rsidRDefault="007C6A5F" w:rsidP="00C36DA4">
            <w:pPr>
              <w:pStyle w:val="TableDataEntries"/>
            </w:pPr>
            <w:r w:rsidRPr="0037497A">
              <w:t>2</w:t>
            </w:r>
          </w:p>
        </w:tc>
        <w:tc>
          <w:tcPr>
            <w:tcW w:w="2124" w:type="dxa"/>
            <w:tcBorders>
              <w:top w:val="single" w:sz="8" w:space="0" w:color="FFFFFF" w:themeColor="background1"/>
              <w:bottom w:val="single" w:sz="8" w:space="0" w:color="FFFFFF" w:themeColor="background1"/>
            </w:tcBorders>
            <w:shd w:val="clear" w:color="auto" w:fill="E9E8E5" w:themeFill="background2"/>
            <w:noWrap/>
            <w:hideMark/>
          </w:tcPr>
          <w:p w:rsidR="007C6A5F" w:rsidRPr="00137F42" w:rsidRDefault="007C6A5F" w:rsidP="00C36DA4">
            <w:pPr>
              <w:pStyle w:val="TableDataEntries"/>
            </w:pPr>
            <w:r w:rsidRPr="0037497A">
              <w:t>663</w:t>
            </w:r>
          </w:p>
        </w:tc>
      </w:tr>
      <w:tr w:rsidR="007C6A5F" w:rsidRPr="00F77736" w:rsidTr="00B5160B">
        <w:trPr>
          <w:trHeight w:val="252"/>
        </w:trPr>
        <w:tc>
          <w:tcPr>
            <w:tcW w:w="3690"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F77736" w:rsidRDefault="007C6A5F" w:rsidP="00C36DA4">
            <w:pPr>
              <w:pStyle w:val="TableDataEntries"/>
              <w:jc w:val="left"/>
              <w:rPr>
                <w:rFonts w:ascii="Franklin Gothic Demi" w:hAnsi="Franklin Gothic Demi"/>
              </w:rPr>
            </w:pPr>
            <w:r w:rsidRPr="00F77736">
              <w:rPr>
                <w:rFonts w:ascii="Franklin Gothic Demi" w:hAnsi="Franklin Gothic Demi"/>
              </w:rPr>
              <w:t>Total</w:t>
            </w:r>
          </w:p>
        </w:tc>
        <w:tc>
          <w:tcPr>
            <w:tcW w:w="2124"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F77736" w:rsidRDefault="007C6A5F" w:rsidP="00C36DA4">
            <w:pPr>
              <w:pStyle w:val="TableDataEntries"/>
              <w:rPr>
                <w:rFonts w:ascii="Franklin Gothic Demi" w:hAnsi="Franklin Gothic Demi"/>
              </w:rPr>
            </w:pPr>
            <w:r w:rsidRPr="00F77736">
              <w:rPr>
                <w:rFonts w:ascii="Franklin Gothic Demi" w:hAnsi="Franklin Gothic Demi"/>
              </w:rPr>
              <w:t>53</w:t>
            </w:r>
          </w:p>
        </w:tc>
        <w:tc>
          <w:tcPr>
            <w:tcW w:w="2124"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F77736" w:rsidRDefault="007C6A5F" w:rsidP="00C36DA4">
            <w:pPr>
              <w:pStyle w:val="TableDataEntries"/>
              <w:rPr>
                <w:rFonts w:ascii="Franklin Gothic Demi" w:hAnsi="Franklin Gothic Demi"/>
              </w:rPr>
            </w:pPr>
            <w:r w:rsidRPr="00F77736">
              <w:rPr>
                <w:rFonts w:ascii="Franklin Gothic Demi" w:hAnsi="Franklin Gothic Demi"/>
              </w:rPr>
              <w:t>27 745</w:t>
            </w:r>
          </w:p>
        </w:tc>
      </w:tr>
    </w:tbl>
    <w:p w:rsidR="007C6A5F" w:rsidRDefault="007C6A5F" w:rsidP="007C6A5F">
      <w:pPr>
        <w:pStyle w:val="Source"/>
        <w:rPr>
          <w:lang w:bidi="fa-IR"/>
        </w:rPr>
      </w:pPr>
      <w:r w:rsidRPr="00304DE1">
        <w:rPr>
          <w:i/>
          <w:lang w:bidi="fa-IR"/>
        </w:rPr>
        <w:t>Source:</w:t>
      </w:r>
      <w:r>
        <w:rPr>
          <w:lang w:bidi="fa-IR"/>
        </w:rPr>
        <w:t xml:space="preserve"> CIE estimates</w:t>
      </w:r>
      <w:r w:rsidR="00C36DA4">
        <w:rPr>
          <w:lang w:bidi="fa-IR"/>
        </w:rPr>
        <w:t>.</w:t>
      </w:r>
    </w:p>
    <w:p w:rsidR="007C6A5F" w:rsidRDefault="007C6A5F" w:rsidP="007C6A5F">
      <w:pPr>
        <w:pStyle w:val="Heading4"/>
        <w:numPr>
          <w:ilvl w:val="3"/>
          <w:numId w:val="5"/>
        </w:numPr>
      </w:pPr>
      <w:r>
        <w:t>Assumptions underpinning estimated industry retraining costs</w:t>
      </w:r>
    </w:p>
    <w:p w:rsidR="007C6A5F" w:rsidRDefault="007C6A5F" w:rsidP="007C6A5F">
      <w:pPr>
        <w:pStyle w:val="BodyText"/>
      </w:pPr>
      <w:r>
        <w:t>Stakeholders that will require retraining due to changes in the code include individuals in the following professions/trades, who work in (or provide services to) the residential building industry:</w:t>
      </w:r>
    </w:p>
    <w:p w:rsidR="007C6A5F" w:rsidRDefault="007C6A5F" w:rsidP="005A6F87">
      <w:pPr>
        <w:pStyle w:val="ListBullet"/>
        <w:numPr>
          <w:ilvl w:val="0"/>
          <w:numId w:val="17"/>
        </w:numPr>
      </w:pPr>
      <w:r>
        <w:t>Construction managers</w:t>
      </w:r>
    </w:p>
    <w:p w:rsidR="007C6A5F" w:rsidRDefault="007C6A5F" w:rsidP="005A6F87">
      <w:pPr>
        <w:pStyle w:val="ListBullet"/>
        <w:numPr>
          <w:ilvl w:val="0"/>
          <w:numId w:val="17"/>
        </w:numPr>
      </w:pPr>
      <w:r>
        <w:t>Architects/building designers</w:t>
      </w:r>
    </w:p>
    <w:p w:rsidR="007C6A5F" w:rsidRDefault="007C6A5F" w:rsidP="005A6F87">
      <w:pPr>
        <w:pStyle w:val="ListBullet"/>
        <w:numPr>
          <w:ilvl w:val="0"/>
          <w:numId w:val="17"/>
        </w:numPr>
      </w:pPr>
      <w:r>
        <w:t>Certifiers/surveyors</w:t>
      </w:r>
    </w:p>
    <w:p w:rsidR="007C6A5F" w:rsidRDefault="007C6A5F" w:rsidP="007C6A5F">
      <w:pPr>
        <w:pStyle w:val="Heading4"/>
        <w:numPr>
          <w:ilvl w:val="3"/>
          <w:numId w:val="5"/>
        </w:numPr>
        <w:rPr>
          <w:lang w:bidi="fa-IR"/>
        </w:rPr>
      </w:pPr>
      <w:r>
        <w:rPr>
          <w:lang w:bidi="fa-IR"/>
        </w:rPr>
        <w:t>Number of construction managers who require re-training</w:t>
      </w:r>
    </w:p>
    <w:p w:rsidR="007C6A5F" w:rsidRDefault="007C6A5F" w:rsidP="007C6A5F">
      <w:pPr>
        <w:pStyle w:val="BodyText"/>
        <w:rPr>
          <w:lang w:bidi="fa-IR"/>
        </w:rPr>
      </w:pPr>
      <w:r>
        <w:rPr>
          <w:lang w:bidi="fa-IR"/>
        </w:rPr>
        <w:t xml:space="preserve">We estimate there are 40 876 construction managers in 2019 who require retraining, as follows (see table </w:t>
      </w:r>
      <w:r>
        <w:rPr>
          <w:lang w:bidi="fa-IR"/>
        </w:rPr>
        <w:fldChar w:fldCharType="begin"/>
      </w:r>
      <w:r>
        <w:rPr>
          <w:lang w:bidi="fa-IR"/>
        </w:rPr>
        <w:instrText xml:space="preserve"> REF _Caption0797 </w:instrText>
      </w:r>
      <w:r>
        <w:rPr>
          <w:lang w:bidi="fa-IR"/>
        </w:rPr>
        <w:fldChar w:fldCharType="separate"/>
      </w:r>
      <w:r>
        <w:rPr>
          <w:noProof/>
        </w:rPr>
        <w:t>5</w:t>
      </w:r>
      <w:r w:rsidRPr="00695C93">
        <w:rPr>
          <w:noProof/>
        </w:rPr>
        <w:t>.</w:t>
      </w:r>
      <w:r>
        <w:rPr>
          <w:noProof/>
        </w:rPr>
        <w:t>17</w:t>
      </w:r>
      <w:r>
        <w:rPr>
          <w:lang w:bidi="fa-IR"/>
        </w:rPr>
        <w:fldChar w:fldCharType="end"/>
      </w:r>
      <w:r>
        <w:rPr>
          <w:lang w:bidi="fa-IR"/>
        </w:rPr>
        <w:t>).</w:t>
      </w:r>
    </w:p>
    <w:p w:rsidR="007C6A5F" w:rsidRDefault="007C6A5F" w:rsidP="005A6F87">
      <w:pPr>
        <w:pStyle w:val="ListBullet"/>
        <w:numPr>
          <w:ilvl w:val="0"/>
          <w:numId w:val="17"/>
        </w:numPr>
        <w:rPr>
          <w:lang w:bidi="fa-IR"/>
        </w:rPr>
      </w:pPr>
      <w:r>
        <w:rPr>
          <w:lang w:bidi="fa-IR"/>
        </w:rPr>
        <w:lastRenderedPageBreak/>
        <w:t>There were 71 817 construction managers September 2016, according to Census data. Using employment growth in the equivalent occupation in ABS Cat. 6291, we grow these data to 2019.</w:t>
      </w:r>
    </w:p>
    <w:p w:rsidR="007C6A5F" w:rsidRDefault="007C6A5F" w:rsidP="005A6F87">
      <w:pPr>
        <w:pStyle w:val="ListBullet"/>
        <w:numPr>
          <w:ilvl w:val="0"/>
          <w:numId w:val="17"/>
        </w:numPr>
        <w:rPr>
          <w:lang w:bidi="fa-IR"/>
        </w:rPr>
      </w:pPr>
      <w:r>
        <w:rPr>
          <w:lang w:bidi="fa-IR"/>
        </w:rPr>
        <w:t>Census data tells us whether these individuals work in: residential construction, non-residential construction, heavy &amp; civil engineering construction or construction services. We assume individuals who work in residential construction and the sub-sector of construction services that services residential construction require retraining. The share of individuals who work in construction services which services residential construction is assumed to be employment in residential construction as a share of residential construction, non-residential construction and heavy &amp; civil engineering construction. These is 40 876 construction managers.</w:t>
      </w:r>
    </w:p>
    <w:p w:rsidR="007C6A5F" w:rsidRDefault="007C6A5F" w:rsidP="00B5160B">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w:instrText>
      </w:r>
      <w:r w:rsidRPr="00695C93">
        <w:fldChar w:fldCharType="separate"/>
      </w:r>
      <w:r>
        <w:rPr>
          <w:noProof/>
        </w:rPr>
        <w:instrText>5</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5</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17</w:instrText>
      </w:r>
      <w:r w:rsidRPr="00695C93">
        <w:fldChar w:fldCharType="end"/>
      </w:r>
      <w:r w:rsidRPr="00695C93">
        <w:instrText xml:space="preserve">" "" </w:instrText>
      </w:r>
      <w:r w:rsidRPr="00695C93">
        <w:fldChar w:fldCharType="separate"/>
      </w:r>
      <w:bookmarkStart w:id="5254" w:name="_Caption8692"/>
      <w:bookmarkStart w:id="5255" w:name="_Caption5333"/>
      <w:bookmarkStart w:id="5256" w:name="_Caption1670"/>
      <w:bookmarkStart w:id="5257" w:name="_Caption4047"/>
      <w:bookmarkStart w:id="5258" w:name="_Caption4865"/>
      <w:bookmarkStart w:id="5259" w:name="_Caption1347"/>
      <w:bookmarkStart w:id="5260" w:name="_Caption7062"/>
      <w:bookmarkStart w:id="5261" w:name="_Caption5941"/>
      <w:bookmarkStart w:id="5262" w:name="_Caption9571"/>
      <w:bookmarkStart w:id="5263" w:name="_Caption2512"/>
      <w:bookmarkStart w:id="5264" w:name="_Caption4984"/>
      <w:bookmarkStart w:id="5265" w:name="_Caption5441"/>
      <w:bookmarkStart w:id="5266" w:name="_Caption2707"/>
      <w:bookmarkStart w:id="5267" w:name="_Caption0451"/>
      <w:bookmarkStart w:id="5268" w:name="_Caption5821"/>
      <w:bookmarkStart w:id="5269" w:name="_Caption2162"/>
      <w:bookmarkStart w:id="5270" w:name="_Caption7181"/>
      <w:bookmarkStart w:id="5271" w:name="_Caption2897"/>
      <w:bookmarkStart w:id="5272" w:name="_Caption2620"/>
      <w:bookmarkStart w:id="5273" w:name="_Caption9016"/>
      <w:bookmarkStart w:id="5274" w:name="_Caption6425"/>
      <w:bookmarkStart w:id="5275" w:name="_Caption9955"/>
      <w:bookmarkStart w:id="5276" w:name="_Caption6190"/>
      <w:bookmarkStart w:id="5277" w:name="_Caption7270"/>
      <w:bookmarkStart w:id="5278" w:name="_Caption5997"/>
      <w:bookmarkStart w:id="5279" w:name="_Caption1147"/>
      <w:bookmarkStart w:id="5280" w:name="_Caption1972"/>
      <w:bookmarkStart w:id="5281" w:name="_Caption1115"/>
      <w:bookmarkStart w:id="5282" w:name="_Caption5551"/>
      <w:bookmarkStart w:id="5283" w:name="_Caption4149"/>
      <w:bookmarkStart w:id="5284" w:name="_Caption8520"/>
      <w:bookmarkStart w:id="5285" w:name="_Caption0372"/>
      <w:bookmarkStart w:id="5286" w:name="_Caption2367"/>
      <w:bookmarkStart w:id="5287" w:name="_Caption8784"/>
      <w:bookmarkStart w:id="5288" w:name="_Caption2873"/>
      <w:bookmarkStart w:id="5289" w:name="_Caption1705"/>
      <w:bookmarkStart w:id="5290" w:name="_Caption3664"/>
      <w:bookmarkStart w:id="5291" w:name="_Caption5274"/>
      <w:bookmarkStart w:id="5292" w:name="_Caption5229"/>
      <w:bookmarkStart w:id="5293" w:name="_Caption9974"/>
      <w:bookmarkStart w:id="5294" w:name="_Caption0797"/>
      <w:bookmarkStart w:id="5295" w:name="_Caption7417"/>
      <w:bookmarkStart w:id="5296" w:name="_Caption7102"/>
      <w:bookmarkStart w:id="5297" w:name="_Caption0642"/>
      <w:bookmarkStart w:id="5298" w:name="_Caption6932"/>
      <w:bookmarkStart w:id="5299" w:name="_Caption4586"/>
      <w:bookmarkStart w:id="5300" w:name="_Caption0260"/>
      <w:bookmarkStart w:id="5301" w:name="_Caption3342"/>
      <w:bookmarkStart w:id="5302" w:name="_Caption5051"/>
      <w:bookmarkStart w:id="5303" w:name="_Caption7452"/>
      <w:bookmarkStart w:id="5304" w:name="_Caption5968"/>
      <w:bookmarkStart w:id="5305" w:name="_Caption2624"/>
      <w:bookmarkStart w:id="5306" w:name="_Caption1221"/>
      <w:bookmarkStart w:id="5307" w:name="_Caption7263"/>
      <w:bookmarkStart w:id="5308" w:name="_Caption4199"/>
      <w:bookmarkStart w:id="5309" w:name="_Caption8626"/>
      <w:bookmarkStart w:id="5310" w:name="_Caption3236"/>
      <w:bookmarkStart w:id="5311" w:name="_Caption6092"/>
      <w:bookmarkStart w:id="5312" w:name="_Caption8254"/>
      <w:bookmarkStart w:id="5313" w:name="_Caption2507"/>
      <w:bookmarkStart w:id="5314" w:name="_Caption8880"/>
      <w:bookmarkStart w:id="5315" w:name="_Caption9651"/>
      <w:bookmarkStart w:id="5316" w:name="_Caption3527"/>
      <w:bookmarkStart w:id="5317" w:name="_Caption1646"/>
      <w:bookmarkStart w:id="5318" w:name="_Caption7663"/>
      <w:bookmarkStart w:id="5319" w:name="_Caption2531"/>
      <w:bookmarkStart w:id="5320" w:name="_Caption2234"/>
      <w:bookmarkStart w:id="5321" w:name="_Caption7951"/>
      <w:bookmarkStart w:id="5322" w:name="_Caption3307"/>
      <w:bookmarkStart w:id="5323" w:name="_Caption4009"/>
      <w:bookmarkStart w:id="5324" w:name="_Caption7375"/>
      <w:bookmarkStart w:id="5325" w:name="_Caption5660"/>
      <w:bookmarkStart w:id="5326" w:name="_Caption1464"/>
      <w:bookmarkStart w:id="5327" w:name="_Caption4455"/>
      <w:bookmarkStart w:id="5328" w:name="_Caption7385"/>
      <w:bookmarkStart w:id="5329" w:name="_Caption0800"/>
      <w:bookmarkStart w:id="5330" w:name="_Caption7867"/>
      <w:bookmarkStart w:id="5331" w:name="_Caption9814"/>
      <w:bookmarkStart w:id="5332" w:name="_Caption8724"/>
      <w:bookmarkStart w:id="5333" w:name="_Caption1553"/>
      <w:bookmarkStart w:id="5334" w:name="_Caption3267"/>
      <w:bookmarkStart w:id="5335" w:name="_Caption8014"/>
      <w:bookmarkStart w:id="5336" w:name="_Caption4443"/>
      <w:bookmarkStart w:id="5337" w:name="_Caption0663"/>
      <w:bookmarkStart w:id="5338" w:name="_Caption9144"/>
      <w:bookmarkStart w:id="5339" w:name="_Caption8285"/>
      <w:bookmarkStart w:id="5340" w:name="_Caption6429"/>
      <w:bookmarkStart w:id="5341" w:name="_Caption9986"/>
      <w:bookmarkStart w:id="5342" w:name="_Caption7626"/>
      <w:bookmarkStart w:id="5343" w:name="_Caption8397"/>
      <w:bookmarkStart w:id="5344" w:name="_Caption1436"/>
      <w:bookmarkStart w:id="5345" w:name="_Caption6953"/>
      <w:bookmarkStart w:id="5346" w:name="_Toc44598537"/>
      <w:bookmarkStart w:id="5347" w:name="_Toc45654168"/>
      <w:bookmarkStart w:id="5348" w:name="_Toc32321840"/>
      <w:r w:rsidR="00272AF3">
        <w:rPr>
          <w:noProof/>
        </w:rPr>
        <w:t>5</w:t>
      </w:r>
      <w:r w:rsidR="00272AF3" w:rsidRPr="00695C93">
        <w:rPr>
          <w:noProof/>
        </w:rPr>
        <w:t>.</w:t>
      </w:r>
      <w:r w:rsidR="00272AF3">
        <w:rPr>
          <w:noProof/>
        </w:rPr>
        <w:t>17</w:t>
      </w:r>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r w:rsidRPr="00695C93">
        <w:fldChar w:fldCharType="end"/>
      </w:r>
      <w:r w:rsidRPr="00695C93">
        <w:tab/>
      </w:r>
      <w:r>
        <w:t>Construction managers</w:t>
      </w:r>
      <w:bookmarkEnd w:id="5346"/>
      <w:bookmarkEnd w:id="5347"/>
      <w:r>
        <w:t xml:space="preserve"> </w:t>
      </w:r>
      <w:bookmarkEnd w:id="5348"/>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5.17"/>
        <w:tblDescription w:val="Construction managers "/>
      </w:tblPr>
      <w:tblGrid>
        <w:gridCol w:w="1843"/>
        <w:gridCol w:w="1322"/>
        <w:gridCol w:w="1583"/>
        <w:gridCol w:w="1584"/>
        <w:gridCol w:w="1606"/>
      </w:tblGrid>
      <w:tr w:rsidR="007C6A5F" w:rsidTr="002409D3">
        <w:trPr>
          <w:tblHeader/>
        </w:trPr>
        <w:tc>
          <w:tcPr>
            <w:tcW w:w="1843" w:type="dxa"/>
            <w:tcBorders>
              <w:bottom w:val="single" w:sz="8" w:space="0" w:color="FFFFFF" w:themeColor="background1"/>
            </w:tcBorders>
            <w:shd w:val="clear" w:color="auto" w:fill="6F6652" w:themeFill="accent5"/>
          </w:tcPr>
          <w:p w:rsidR="007C6A5F" w:rsidRDefault="002409D3" w:rsidP="00C36DA4">
            <w:pPr>
              <w:pStyle w:val="TableDataColumnHeading"/>
              <w:jc w:val="left"/>
              <w:rPr>
                <w:lang w:bidi="fa-IR"/>
              </w:rPr>
            </w:pPr>
            <w:r>
              <w:rPr>
                <w:lang w:bidi="fa-IR"/>
              </w:rPr>
              <w:t>Item</w:t>
            </w:r>
          </w:p>
        </w:tc>
        <w:tc>
          <w:tcPr>
            <w:tcW w:w="1322" w:type="dxa"/>
            <w:tcBorders>
              <w:bottom w:val="single" w:sz="8" w:space="0" w:color="FFFFFF" w:themeColor="background1"/>
            </w:tcBorders>
            <w:shd w:val="clear" w:color="auto" w:fill="6F6652" w:themeFill="accent5"/>
          </w:tcPr>
          <w:p w:rsidR="007C6A5F" w:rsidRDefault="007C6A5F" w:rsidP="00C36DA4">
            <w:pPr>
              <w:pStyle w:val="TableDataColumnHeading"/>
              <w:rPr>
                <w:lang w:bidi="fa-IR"/>
              </w:rPr>
            </w:pPr>
            <w:r>
              <w:rPr>
                <w:lang w:bidi="fa-IR"/>
              </w:rPr>
              <w:t>Total in 2016</w:t>
            </w:r>
          </w:p>
        </w:tc>
        <w:tc>
          <w:tcPr>
            <w:tcW w:w="1583" w:type="dxa"/>
            <w:tcBorders>
              <w:bottom w:val="single" w:sz="8" w:space="0" w:color="FFFFFF" w:themeColor="background1"/>
            </w:tcBorders>
            <w:shd w:val="clear" w:color="auto" w:fill="6F6652" w:themeFill="accent5"/>
          </w:tcPr>
          <w:p w:rsidR="007C6A5F" w:rsidRDefault="007C6A5F" w:rsidP="00C36DA4">
            <w:pPr>
              <w:pStyle w:val="TableDataColumnHeading"/>
              <w:rPr>
                <w:lang w:bidi="fa-IR"/>
              </w:rPr>
            </w:pPr>
            <w:r>
              <w:rPr>
                <w:lang w:bidi="fa-IR"/>
              </w:rPr>
              <w:t xml:space="preserve">Total in 2019 </w:t>
            </w:r>
          </w:p>
        </w:tc>
        <w:tc>
          <w:tcPr>
            <w:tcW w:w="1584" w:type="dxa"/>
            <w:tcBorders>
              <w:bottom w:val="single" w:sz="8" w:space="0" w:color="FFFFFF" w:themeColor="background1"/>
            </w:tcBorders>
            <w:shd w:val="clear" w:color="auto" w:fill="6F6652" w:themeFill="accent5"/>
          </w:tcPr>
          <w:p w:rsidR="007C6A5F" w:rsidRDefault="007C6A5F" w:rsidP="00C36DA4">
            <w:pPr>
              <w:pStyle w:val="TableDataColumnHeading"/>
              <w:rPr>
                <w:lang w:bidi="fa-IR"/>
              </w:rPr>
            </w:pPr>
            <w:r>
              <w:rPr>
                <w:lang w:bidi="fa-IR"/>
              </w:rPr>
              <w:t>Who do not require training</w:t>
            </w:r>
            <w:r w:rsidRPr="00B46BCC">
              <w:rPr>
                <w:rStyle w:val="NoteLabel"/>
                <w:color w:val="FFFFFF" w:themeColor="background1"/>
              </w:rPr>
              <w:t xml:space="preserve"> a</w:t>
            </w:r>
          </w:p>
        </w:tc>
        <w:tc>
          <w:tcPr>
            <w:tcW w:w="1606" w:type="dxa"/>
            <w:tcBorders>
              <w:bottom w:val="single" w:sz="8" w:space="0" w:color="FFFFFF" w:themeColor="background1"/>
            </w:tcBorders>
            <w:shd w:val="clear" w:color="auto" w:fill="6F6652" w:themeFill="accent5"/>
          </w:tcPr>
          <w:p w:rsidR="007C6A5F" w:rsidRDefault="007C6A5F" w:rsidP="00C36DA4">
            <w:pPr>
              <w:pStyle w:val="TableDataColumnHeading"/>
              <w:rPr>
                <w:lang w:bidi="fa-IR"/>
              </w:rPr>
            </w:pPr>
            <w:r>
              <w:rPr>
                <w:lang w:bidi="fa-IR"/>
              </w:rPr>
              <w:t>Who do require training</w:t>
            </w:r>
          </w:p>
        </w:tc>
      </w:tr>
      <w:tr w:rsidR="007C6A5F" w:rsidTr="002409D3">
        <w:tc>
          <w:tcPr>
            <w:tcW w:w="1843" w:type="dxa"/>
            <w:tcBorders>
              <w:top w:val="single" w:sz="8" w:space="0" w:color="FFFFFF" w:themeColor="background1"/>
              <w:bottom w:val="single" w:sz="8" w:space="0" w:color="FFFFFF" w:themeColor="background1"/>
            </w:tcBorders>
            <w:shd w:val="clear" w:color="auto" w:fill="E9E8E5" w:themeFill="background2"/>
          </w:tcPr>
          <w:p w:rsidR="007C6A5F" w:rsidRDefault="002409D3" w:rsidP="00C36DA4">
            <w:pPr>
              <w:pStyle w:val="TableUnit"/>
              <w:jc w:val="left"/>
              <w:rPr>
                <w:lang w:bidi="fa-IR"/>
              </w:rPr>
            </w:pPr>
            <w:r>
              <w:rPr>
                <w:lang w:bidi="fa-IR"/>
              </w:rPr>
              <w:t>Data source</w:t>
            </w:r>
          </w:p>
        </w:tc>
        <w:tc>
          <w:tcPr>
            <w:tcW w:w="132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Unit"/>
              <w:rPr>
                <w:lang w:bidi="fa-IR"/>
              </w:rPr>
            </w:pPr>
            <w:r>
              <w:rPr>
                <w:lang w:bidi="fa-IR"/>
              </w:rPr>
              <w:t xml:space="preserve">Census data </w:t>
            </w:r>
          </w:p>
        </w:tc>
        <w:tc>
          <w:tcPr>
            <w:tcW w:w="158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Unit"/>
              <w:rPr>
                <w:lang w:bidi="fa-IR"/>
              </w:rPr>
            </w:pPr>
            <w:r>
              <w:rPr>
                <w:lang w:bidi="fa-IR"/>
              </w:rPr>
              <w:t>CIE estimates (using ABS Cat 6291)</w:t>
            </w:r>
          </w:p>
        </w:tc>
        <w:tc>
          <w:tcPr>
            <w:tcW w:w="158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Unit"/>
              <w:rPr>
                <w:lang w:bidi="fa-IR"/>
              </w:rPr>
            </w:pPr>
            <w:r>
              <w:rPr>
                <w:lang w:bidi="fa-IR"/>
              </w:rPr>
              <w:t>CIE estimates (using Census data)</w:t>
            </w:r>
          </w:p>
        </w:tc>
        <w:tc>
          <w:tcPr>
            <w:tcW w:w="160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Unit"/>
              <w:rPr>
                <w:lang w:bidi="fa-IR"/>
              </w:rPr>
            </w:pPr>
            <w:r>
              <w:rPr>
                <w:lang w:bidi="fa-IR"/>
              </w:rPr>
              <w:t>CIE estimates (using Census data</w:t>
            </w:r>
          </w:p>
        </w:tc>
      </w:tr>
      <w:tr w:rsidR="007C6A5F" w:rsidTr="00B5160B">
        <w:tc>
          <w:tcPr>
            <w:tcW w:w="1843"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jc w:val="left"/>
              <w:rPr>
                <w:lang w:bidi="fa-IR"/>
              </w:rPr>
            </w:pPr>
            <w:r>
              <w:rPr>
                <w:lang w:bidi="fa-IR"/>
              </w:rPr>
              <w:t>Construction managers</w:t>
            </w:r>
          </w:p>
        </w:tc>
        <w:tc>
          <w:tcPr>
            <w:tcW w:w="1322"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bidi="fa-IR"/>
              </w:rPr>
            </w:pPr>
            <w:r>
              <w:rPr>
                <w:lang w:bidi="fa-IR"/>
              </w:rPr>
              <w:t>71 817</w:t>
            </w:r>
          </w:p>
        </w:tc>
        <w:tc>
          <w:tcPr>
            <w:tcW w:w="1583"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bidi="fa-IR"/>
              </w:rPr>
            </w:pPr>
            <w:r>
              <w:rPr>
                <w:lang w:bidi="fa-IR"/>
              </w:rPr>
              <w:t>75 442</w:t>
            </w:r>
          </w:p>
        </w:tc>
        <w:tc>
          <w:tcPr>
            <w:tcW w:w="1584"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bidi="fa-IR"/>
              </w:rPr>
            </w:pPr>
            <w:r>
              <w:rPr>
                <w:lang w:bidi="fa-IR"/>
              </w:rPr>
              <w:t>34 566</w:t>
            </w:r>
          </w:p>
        </w:tc>
        <w:tc>
          <w:tcPr>
            <w:tcW w:w="1606"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bidi="fa-IR"/>
              </w:rPr>
            </w:pPr>
            <w:r>
              <w:rPr>
                <w:lang w:bidi="fa-IR"/>
              </w:rPr>
              <w:t>40 876</w:t>
            </w:r>
          </w:p>
        </w:tc>
      </w:tr>
    </w:tbl>
    <w:p w:rsidR="007C6A5F" w:rsidRDefault="007C6A5F" w:rsidP="007C6A5F">
      <w:pPr>
        <w:pStyle w:val="Source"/>
        <w:rPr>
          <w:lang w:bidi="fa-IR"/>
        </w:rPr>
      </w:pPr>
      <w:r w:rsidRPr="00185F9F">
        <w:rPr>
          <w:i/>
          <w:lang w:bidi="fa-IR"/>
        </w:rPr>
        <w:t>Source:</w:t>
      </w:r>
      <w:r>
        <w:rPr>
          <w:lang w:bidi="fa-IR"/>
        </w:rPr>
        <w:t xml:space="preserve"> CIE estimates, sources as noted.</w:t>
      </w:r>
    </w:p>
    <w:p w:rsidR="007C6A5F" w:rsidRDefault="007C6A5F" w:rsidP="007C6A5F">
      <w:pPr>
        <w:pStyle w:val="Heading4"/>
        <w:numPr>
          <w:ilvl w:val="3"/>
          <w:numId w:val="5"/>
        </w:numPr>
        <w:rPr>
          <w:lang w:bidi="fa-IR"/>
        </w:rPr>
      </w:pPr>
      <w:r>
        <w:rPr>
          <w:lang w:bidi="fa-IR"/>
        </w:rPr>
        <w:t>Number of architects and certifiers and surveyors that require retraining</w:t>
      </w:r>
    </w:p>
    <w:p w:rsidR="007C6A5F" w:rsidRDefault="007C6A5F" w:rsidP="007C6A5F">
      <w:pPr>
        <w:pStyle w:val="BodyText"/>
      </w:pPr>
      <w:r>
        <w:rPr>
          <w:lang w:bidi="fa-IR"/>
        </w:rPr>
        <w:t xml:space="preserve">The occupation detail in the Census data are not sufficient to count architects and </w:t>
      </w:r>
      <w:r w:rsidRPr="00304DE1">
        <w:t>Certifiers/surveyors</w:t>
      </w:r>
      <w:r>
        <w:t xml:space="preserve"> (the Census only provides data on ‘architects and landscape architects’ and ‘</w:t>
      </w:r>
      <w:r w:rsidRPr="00ED0F29">
        <w:t>Architectural, Building and Surveying Technicians</w:t>
      </w:r>
      <w:r>
        <w:t>’).</w:t>
      </w:r>
    </w:p>
    <w:p w:rsidR="007C6A5F" w:rsidRDefault="007C6A5F" w:rsidP="007C6A5F">
      <w:pPr>
        <w:pStyle w:val="BodyText"/>
        <w:rPr>
          <w:lang w:bidi="fa-IR"/>
        </w:rPr>
      </w:pPr>
      <w:r>
        <w:t xml:space="preserve">ABCB data indicate there are 32 905 architects and 5 731 certifiers/surveyors who are subscribers to the NCC. </w:t>
      </w:r>
    </w:p>
    <w:p w:rsidR="007C6A5F" w:rsidRDefault="007C6A5F" w:rsidP="007C6A5F">
      <w:pPr>
        <w:pStyle w:val="BodyText"/>
        <w:rPr>
          <w:lang w:bidi="fa-IR"/>
        </w:rPr>
      </w:pPr>
      <w:r>
        <w:rPr>
          <w:lang w:bidi="fa-IR"/>
        </w:rPr>
        <w:t>We cannot use Census data to estimate how many of these individuals provide services to residential construction or to other types of construction (only data on their industry of employment is provided).</w:t>
      </w:r>
    </w:p>
    <w:p w:rsidR="007C6A5F" w:rsidRDefault="007C6A5F" w:rsidP="007C6A5F">
      <w:pPr>
        <w:pStyle w:val="BodyText"/>
        <w:rPr>
          <w:lang w:bidi="fa-IR"/>
        </w:rPr>
      </w:pPr>
      <w:r>
        <w:rPr>
          <w:lang w:bidi="fa-IR"/>
        </w:rPr>
        <w:t>Data in the ABS Input-Output Tables (Cat. 5209) suggest that the industry ‘Professional, Scientific and Technical Services’ (which employs architects and certifiers) provided $2 931 million dollars of output to the residential construction, non-residential construction and heavy engineering and civil construction industries in 2016-17, of which $940 million (32 per cent) was provided to residential construction. Therefore, we assume that 32 per cent of architects (10 533 individuals) and 32 per cent of certifiers/surveyors (1 723 individuals) provide services to residential construction and would therefore require retraining.</w:t>
      </w:r>
    </w:p>
    <w:p w:rsidR="007C6A5F" w:rsidRDefault="007C6A5F" w:rsidP="00B5160B">
      <w:pPr>
        <w:pStyle w:val="Heading4"/>
        <w:numPr>
          <w:ilvl w:val="3"/>
          <w:numId w:val="5"/>
        </w:numPr>
        <w:spacing w:before="360"/>
        <w:rPr>
          <w:lang w:bidi="fa-IR"/>
        </w:rPr>
      </w:pPr>
      <w:r>
        <w:rPr>
          <w:lang w:bidi="fa-IR"/>
        </w:rPr>
        <w:t>Time costs incurred by individuals who require retaining</w:t>
      </w:r>
    </w:p>
    <w:p w:rsidR="007C6A5F" w:rsidRDefault="007C6A5F" w:rsidP="007C6A5F">
      <w:pPr>
        <w:pStyle w:val="BodyText"/>
      </w:pPr>
      <w:r>
        <w:t xml:space="preserve">We estimate that each individual who requires retraining would require 9.5 hours of retraining (attending a 2 hour seminar/webcast, 3.75 hours of continuing professional development, and 3.75 hours of self-paced learning). Even where there are individuals </w:t>
      </w:r>
      <w:r>
        <w:lastRenderedPageBreak/>
        <w:t>who do not attend seminars in person, we assume they spend the equivalent amount of time by themselves becoming familiar with changes to the code.</w:t>
      </w:r>
    </w:p>
    <w:p w:rsidR="007C6A5F" w:rsidRDefault="007C6A5F" w:rsidP="007C6A5F">
      <w:pPr>
        <w:pStyle w:val="BodyText"/>
      </w:pPr>
      <w:r>
        <w:t xml:space="preserve">We assume that these time costs are additional to other training that occurs. This can be interpreted literally: this retraining time is added onto any other training that would occur anyway. Alternatively, where the retaining </w:t>
      </w:r>
      <w:r>
        <w:rPr>
          <w:i/>
          <w:iCs/>
        </w:rPr>
        <w:t xml:space="preserve">replaces </w:t>
      </w:r>
      <w:r>
        <w:t>other training that would have occurred, we retain these time costs as the value of the training which is lost.</w:t>
      </w:r>
    </w:p>
    <w:p w:rsidR="007C6A5F" w:rsidRDefault="007C6A5F" w:rsidP="00B5160B">
      <w:pPr>
        <w:pStyle w:val="Heading4"/>
        <w:numPr>
          <w:ilvl w:val="3"/>
          <w:numId w:val="5"/>
        </w:numPr>
        <w:spacing w:before="360"/>
        <w:rPr>
          <w:lang w:bidi="fa-IR"/>
        </w:rPr>
      </w:pPr>
      <w:r>
        <w:rPr>
          <w:lang w:bidi="fa-IR"/>
        </w:rPr>
        <w:t xml:space="preserve">Opportunity cost of time </w:t>
      </w:r>
    </w:p>
    <w:p w:rsidR="007C6A5F" w:rsidRDefault="007C6A5F" w:rsidP="007C6A5F">
      <w:pPr>
        <w:pStyle w:val="BodyText"/>
        <w:rPr>
          <w:lang w:bidi="fa-IR"/>
        </w:rPr>
      </w:pPr>
      <w:r>
        <w:rPr>
          <w:lang w:bidi="fa-IR"/>
        </w:rPr>
        <w:t xml:space="preserve">Our estimates of the hourly earnings of individuals in the relevant professions/trades, excluding taxation, are shown in table </w:t>
      </w:r>
      <w:r>
        <w:rPr>
          <w:lang w:bidi="fa-IR"/>
        </w:rPr>
        <w:fldChar w:fldCharType="begin"/>
      </w:r>
      <w:r>
        <w:rPr>
          <w:lang w:bidi="fa-IR"/>
        </w:rPr>
        <w:instrText xml:space="preserve"> REF _Caption9833 </w:instrText>
      </w:r>
      <w:r>
        <w:rPr>
          <w:lang w:bidi="fa-IR"/>
        </w:rPr>
        <w:fldChar w:fldCharType="separate"/>
      </w:r>
      <w:r>
        <w:rPr>
          <w:noProof/>
        </w:rPr>
        <w:t>5</w:t>
      </w:r>
      <w:r w:rsidRPr="00695C93">
        <w:rPr>
          <w:noProof/>
        </w:rPr>
        <w:t>.</w:t>
      </w:r>
      <w:r>
        <w:rPr>
          <w:noProof/>
        </w:rPr>
        <w:t>18</w:t>
      </w:r>
      <w:r>
        <w:rPr>
          <w:lang w:bidi="fa-IR"/>
        </w:rPr>
        <w:fldChar w:fldCharType="end"/>
      </w:r>
      <w:r>
        <w:rPr>
          <w:lang w:bidi="fa-IR"/>
        </w:rPr>
        <w:t>. We have adjusted the underlying ABS data.</w:t>
      </w:r>
      <w:r>
        <w:rPr>
          <w:rStyle w:val="FootnoteReference"/>
          <w:lang w:bidi="fa-IR"/>
        </w:rPr>
        <w:footnoteReference w:id="61"/>
      </w:r>
      <w:r>
        <w:rPr>
          <w:lang w:bidi="fa-IR"/>
        </w:rPr>
        <w:t xml:space="preserve"> We assume these data represent the opportunity cost of the relevant individuals’ time. Implicitly, this implies we assume these individuals work as many hours as they would like, implying they are indifferent to allocating time to training (essentially: allocating more time to work) and time to leisure activities.</w:t>
      </w:r>
    </w:p>
    <w:p w:rsidR="007C6A5F" w:rsidRDefault="007C6A5F" w:rsidP="00B5160B">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w:instrText>
      </w:r>
      <w:r w:rsidRPr="00695C93">
        <w:fldChar w:fldCharType="separate"/>
      </w:r>
      <w:r>
        <w:rPr>
          <w:noProof/>
        </w:rPr>
        <w:instrText>5</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5</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18</w:instrText>
      </w:r>
      <w:r w:rsidRPr="00695C93">
        <w:fldChar w:fldCharType="end"/>
      </w:r>
      <w:r w:rsidRPr="00695C93">
        <w:instrText xml:space="preserve">" "" </w:instrText>
      </w:r>
      <w:r w:rsidRPr="00695C93">
        <w:fldChar w:fldCharType="separate"/>
      </w:r>
      <w:bookmarkStart w:id="5349" w:name="_Caption9134"/>
      <w:bookmarkStart w:id="5350" w:name="_Caption8261"/>
      <w:bookmarkStart w:id="5351" w:name="_Caption6303"/>
      <w:bookmarkStart w:id="5352" w:name="_Caption3602"/>
      <w:bookmarkStart w:id="5353" w:name="_Caption6040"/>
      <w:bookmarkStart w:id="5354" w:name="_Caption5042"/>
      <w:bookmarkStart w:id="5355" w:name="_Caption3817"/>
      <w:bookmarkStart w:id="5356" w:name="_Caption6329"/>
      <w:bookmarkStart w:id="5357" w:name="_Caption6058"/>
      <w:bookmarkStart w:id="5358" w:name="_Caption5820"/>
      <w:bookmarkStart w:id="5359" w:name="_Caption5861"/>
      <w:bookmarkStart w:id="5360" w:name="_Caption6613"/>
      <w:bookmarkStart w:id="5361" w:name="_Caption8020"/>
      <w:bookmarkStart w:id="5362" w:name="_Caption0304"/>
      <w:bookmarkStart w:id="5363" w:name="_Caption1276"/>
      <w:bookmarkStart w:id="5364" w:name="_Caption7076"/>
      <w:bookmarkStart w:id="5365" w:name="_Caption0879"/>
      <w:bookmarkStart w:id="5366" w:name="_Caption1201"/>
      <w:bookmarkStart w:id="5367" w:name="_Caption7943"/>
      <w:bookmarkStart w:id="5368" w:name="_Caption4290"/>
      <w:bookmarkStart w:id="5369" w:name="_Caption5342"/>
      <w:bookmarkStart w:id="5370" w:name="_Caption5016"/>
      <w:bookmarkStart w:id="5371" w:name="_Caption5070"/>
      <w:bookmarkStart w:id="5372" w:name="_Caption6857"/>
      <w:bookmarkStart w:id="5373" w:name="_Caption1303"/>
      <w:bookmarkStart w:id="5374" w:name="_Caption1482"/>
      <w:bookmarkStart w:id="5375" w:name="_Caption4897"/>
      <w:bookmarkStart w:id="5376" w:name="_Caption8444"/>
      <w:bookmarkStart w:id="5377" w:name="_Caption7580"/>
      <w:bookmarkStart w:id="5378" w:name="_Caption0237"/>
      <w:bookmarkStart w:id="5379" w:name="_Caption8627"/>
      <w:bookmarkStart w:id="5380" w:name="_Caption3949"/>
      <w:bookmarkStart w:id="5381" w:name="_Caption3380"/>
      <w:bookmarkStart w:id="5382" w:name="_Caption6353"/>
      <w:bookmarkStart w:id="5383" w:name="_Caption6918"/>
      <w:bookmarkStart w:id="5384" w:name="_Caption4803"/>
      <w:bookmarkStart w:id="5385" w:name="_Caption1156"/>
      <w:bookmarkStart w:id="5386" w:name="_Caption5615"/>
      <w:bookmarkStart w:id="5387" w:name="_Caption2680"/>
      <w:bookmarkStart w:id="5388" w:name="_Caption1318"/>
      <w:bookmarkStart w:id="5389" w:name="_Caption8929"/>
      <w:bookmarkStart w:id="5390" w:name="_Caption9833"/>
      <w:bookmarkStart w:id="5391" w:name="_Caption7081"/>
      <w:bookmarkStart w:id="5392" w:name="_Caption1694"/>
      <w:bookmarkStart w:id="5393" w:name="_Caption4693"/>
      <w:bookmarkStart w:id="5394" w:name="_Caption9645"/>
      <w:bookmarkStart w:id="5395" w:name="_Caption8142"/>
      <w:bookmarkStart w:id="5396" w:name="_Caption6654"/>
      <w:bookmarkStart w:id="5397" w:name="_Caption6023"/>
      <w:bookmarkStart w:id="5398" w:name="_Caption4414"/>
      <w:bookmarkStart w:id="5399" w:name="_Caption3195"/>
      <w:bookmarkStart w:id="5400" w:name="_Caption3741"/>
      <w:bookmarkStart w:id="5401" w:name="_Caption5249"/>
      <w:bookmarkStart w:id="5402" w:name="_Caption6572"/>
      <w:bookmarkStart w:id="5403" w:name="_Caption6611"/>
      <w:bookmarkStart w:id="5404" w:name="_Caption4105"/>
      <w:bookmarkStart w:id="5405" w:name="_Caption4262"/>
      <w:bookmarkStart w:id="5406" w:name="_Caption3511"/>
      <w:bookmarkStart w:id="5407" w:name="_Caption1252"/>
      <w:bookmarkStart w:id="5408" w:name="_Caption4555"/>
      <w:bookmarkStart w:id="5409" w:name="_Caption8425"/>
      <w:bookmarkStart w:id="5410" w:name="_Caption1004"/>
      <w:bookmarkStart w:id="5411" w:name="_Caption1233"/>
      <w:bookmarkStart w:id="5412" w:name="_Caption7103"/>
      <w:bookmarkStart w:id="5413" w:name="_Caption4612"/>
      <w:bookmarkStart w:id="5414" w:name="_Caption8510"/>
      <w:bookmarkStart w:id="5415" w:name="_Caption0555"/>
      <w:bookmarkStart w:id="5416" w:name="_Caption0611"/>
      <w:bookmarkStart w:id="5417" w:name="_Caption7545"/>
      <w:bookmarkStart w:id="5418" w:name="_Caption6746"/>
      <w:bookmarkStart w:id="5419" w:name="_Caption9627"/>
      <w:bookmarkStart w:id="5420" w:name="_Caption5682"/>
      <w:bookmarkStart w:id="5421" w:name="_Caption6897"/>
      <w:bookmarkStart w:id="5422" w:name="_Caption2711"/>
      <w:bookmarkStart w:id="5423" w:name="_Caption3644"/>
      <w:bookmarkStart w:id="5424" w:name="_Caption2567"/>
      <w:bookmarkStart w:id="5425" w:name="_Caption4915"/>
      <w:bookmarkStart w:id="5426" w:name="_Caption8404"/>
      <w:bookmarkStart w:id="5427" w:name="_Caption9631"/>
      <w:bookmarkStart w:id="5428" w:name="_Caption7819"/>
      <w:bookmarkStart w:id="5429" w:name="_Caption5112"/>
      <w:bookmarkStart w:id="5430" w:name="_Caption0557"/>
      <w:bookmarkStart w:id="5431" w:name="_Caption8229"/>
      <w:bookmarkStart w:id="5432" w:name="_Caption3041"/>
      <w:bookmarkStart w:id="5433" w:name="_Caption5550"/>
      <w:bookmarkStart w:id="5434" w:name="_Caption6476"/>
      <w:bookmarkStart w:id="5435" w:name="_Caption6675"/>
      <w:bookmarkStart w:id="5436" w:name="_Caption2900"/>
      <w:bookmarkStart w:id="5437" w:name="_Caption1322"/>
      <w:bookmarkStart w:id="5438" w:name="_Caption4169"/>
      <w:bookmarkStart w:id="5439" w:name="_Caption3962"/>
      <w:bookmarkStart w:id="5440" w:name="_Toc32321841"/>
      <w:bookmarkStart w:id="5441" w:name="_Toc44598538"/>
      <w:bookmarkStart w:id="5442" w:name="_Toc45654169"/>
      <w:r w:rsidR="00272AF3">
        <w:rPr>
          <w:noProof/>
        </w:rPr>
        <w:t>5</w:t>
      </w:r>
      <w:r w:rsidR="00272AF3" w:rsidRPr="00695C93">
        <w:rPr>
          <w:noProof/>
        </w:rPr>
        <w:t>.</w:t>
      </w:r>
      <w:r w:rsidR="00272AF3">
        <w:rPr>
          <w:noProof/>
        </w:rPr>
        <w:t>18</w:t>
      </w:r>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r w:rsidRPr="00695C93">
        <w:fldChar w:fldCharType="end"/>
      </w:r>
      <w:r w:rsidRPr="00695C93">
        <w:tab/>
      </w:r>
      <w:r>
        <w:t>Assumptions for hourly earnings in relevant occupations</w:t>
      </w:r>
      <w:bookmarkEnd w:id="5440"/>
      <w:bookmarkEnd w:id="5441"/>
      <w:bookmarkEnd w:id="5442"/>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5.18"/>
        <w:tblDescription w:val="Assumptions for hourly earnings in relevant occupations"/>
      </w:tblPr>
      <w:tblGrid>
        <w:gridCol w:w="3968"/>
        <w:gridCol w:w="3969"/>
      </w:tblGrid>
      <w:tr w:rsidR="007C6A5F" w:rsidTr="00B23D77">
        <w:trPr>
          <w:tblHeader/>
        </w:trPr>
        <w:tc>
          <w:tcPr>
            <w:tcW w:w="3968" w:type="dxa"/>
            <w:shd w:val="clear" w:color="auto" w:fill="6F6652" w:themeFill="accent5"/>
          </w:tcPr>
          <w:p w:rsidR="007C6A5F" w:rsidRDefault="007C6A5F" w:rsidP="00C36DA4">
            <w:pPr>
              <w:pStyle w:val="TableTextColumnHeading"/>
              <w:rPr>
                <w:lang w:bidi="fa-IR"/>
              </w:rPr>
            </w:pPr>
            <w:r>
              <w:rPr>
                <w:lang w:bidi="fa-IR"/>
              </w:rPr>
              <w:t>Profession/trade</w:t>
            </w:r>
          </w:p>
        </w:tc>
        <w:tc>
          <w:tcPr>
            <w:tcW w:w="3969" w:type="dxa"/>
            <w:shd w:val="clear" w:color="auto" w:fill="6F6652" w:themeFill="accent5"/>
          </w:tcPr>
          <w:p w:rsidR="007C6A5F" w:rsidRDefault="007C6A5F" w:rsidP="00C36DA4">
            <w:pPr>
              <w:pStyle w:val="TableTextColumnHeading"/>
              <w:jc w:val="right"/>
              <w:rPr>
                <w:lang w:bidi="fa-IR"/>
              </w:rPr>
            </w:pPr>
            <w:r>
              <w:rPr>
                <w:lang w:bidi="fa-IR"/>
              </w:rPr>
              <w:t>Hourly earnings</w:t>
            </w:r>
            <w:r w:rsidR="00B23D77">
              <w:rPr>
                <w:lang w:bidi="fa-IR"/>
              </w:rPr>
              <w:t xml:space="preserve"> ($/hour)</w:t>
            </w:r>
          </w:p>
        </w:tc>
      </w:tr>
      <w:tr w:rsidR="007C6A5F" w:rsidTr="009C66A8">
        <w:tc>
          <w:tcPr>
            <w:tcW w:w="39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sidRPr="00304DE1">
              <w:t>Construction managers</w:t>
            </w:r>
          </w:p>
        </w:tc>
        <w:tc>
          <w:tcPr>
            <w:tcW w:w="396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jc w:val="right"/>
              <w:rPr>
                <w:lang w:bidi="fa-IR"/>
              </w:rPr>
            </w:pPr>
            <w:r>
              <w:rPr>
                <w:lang w:bidi="fa-IR"/>
              </w:rPr>
              <w:t>61</w:t>
            </w:r>
          </w:p>
        </w:tc>
      </w:tr>
      <w:tr w:rsidR="007C6A5F" w:rsidTr="00B5160B">
        <w:tc>
          <w:tcPr>
            <w:tcW w:w="39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sidRPr="00304DE1">
              <w:t>Architects/building designers</w:t>
            </w:r>
          </w:p>
        </w:tc>
        <w:tc>
          <w:tcPr>
            <w:tcW w:w="396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jc w:val="right"/>
              <w:rPr>
                <w:lang w:bidi="fa-IR"/>
              </w:rPr>
            </w:pPr>
            <w:r>
              <w:rPr>
                <w:lang w:bidi="fa-IR"/>
              </w:rPr>
              <w:t>35</w:t>
            </w:r>
          </w:p>
        </w:tc>
      </w:tr>
      <w:tr w:rsidR="007C6A5F" w:rsidTr="00B5160B">
        <w:tc>
          <w:tcPr>
            <w:tcW w:w="3968"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TextEntries"/>
              <w:rPr>
                <w:lang w:bidi="fa-IR"/>
              </w:rPr>
            </w:pPr>
            <w:r w:rsidRPr="00304DE1">
              <w:t>Certifiers/surveyors</w:t>
            </w:r>
          </w:p>
        </w:tc>
        <w:tc>
          <w:tcPr>
            <w:tcW w:w="3969"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TextEntries"/>
              <w:jc w:val="right"/>
              <w:rPr>
                <w:lang w:bidi="fa-IR"/>
              </w:rPr>
            </w:pPr>
            <w:r>
              <w:rPr>
                <w:lang w:bidi="fa-IR"/>
              </w:rPr>
              <w:t>41</w:t>
            </w:r>
          </w:p>
        </w:tc>
      </w:tr>
    </w:tbl>
    <w:p w:rsidR="007C6A5F" w:rsidRDefault="007C6A5F" w:rsidP="007C6A5F">
      <w:pPr>
        <w:pStyle w:val="Source"/>
        <w:rPr>
          <w:lang w:bidi="fa-IR"/>
        </w:rPr>
      </w:pPr>
      <w:r w:rsidRPr="00C354F1">
        <w:rPr>
          <w:i/>
          <w:lang w:bidi="fa-IR"/>
        </w:rPr>
        <w:t>Source:</w:t>
      </w:r>
      <w:r>
        <w:rPr>
          <w:lang w:bidi="fa-IR"/>
        </w:rPr>
        <w:t xml:space="preserve"> </w:t>
      </w:r>
      <w:r w:rsidR="00C36DA4">
        <w:rPr>
          <w:lang w:bidi="fa-IR"/>
        </w:rPr>
        <w:t xml:space="preserve">CIE </w:t>
      </w:r>
      <w:r>
        <w:rPr>
          <w:lang w:bidi="fa-IR"/>
        </w:rPr>
        <w:t>estimates.</w:t>
      </w:r>
    </w:p>
    <w:p w:rsidR="007C6A5F" w:rsidRDefault="007C6A5F" w:rsidP="007C6A5F">
      <w:pPr>
        <w:pStyle w:val="Heading4"/>
        <w:numPr>
          <w:ilvl w:val="3"/>
          <w:numId w:val="5"/>
        </w:numPr>
        <w:rPr>
          <w:lang w:bidi="fa-IR"/>
        </w:rPr>
      </w:pPr>
      <w:r>
        <w:rPr>
          <w:lang w:bidi="fa-IR"/>
        </w:rPr>
        <w:t>Total time costs</w:t>
      </w:r>
    </w:p>
    <w:p w:rsidR="007C6A5F" w:rsidRPr="009F6E3A" w:rsidRDefault="007C6A5F" w:rsidP="007C6A5F">
      <w:pPr>
        <w:pStyle w:val="BodyText"/>
        <w:rPr>
          <w:lang w:bidi="fa-IR"/>
        </w:rPr>
      </w:pPr>
      <w:r>
        <w:rPr>
          <w:lang w:bidi="fa-IR"/>
        </w:rPr>
        <w:t xml:space="preserve">The cost of the time of individuals of require retraining is the estimated hours for retaining multiplied by the opportunity cost of the individuals time. </w:t>
      </w:r>
    </w:p>
    <w:p w:rsidR="007C6A5F" w:rsidRDefault="007C6A5F" w:rsidP="007C6A5F">
      <w:pPr>
        <w:pStyle w:val="Heading2"/>
        <w:numPr>
          <w:ilvl w:val="1"/>
          <w:numId w:val="5"/>
        </w:numPr>
      </w:pPr>
      <w:bookmarkStart w:id="5443" w:name="_Toc32321763"/>
      <w:bookmarkStart w:id="5444" w:name="_Toc44598451"/>
      <w:bookmarkStart w:id="5445" w:name="_Toc45654082"/>
      <w:r>
        <w:t>Subsidies</w:t>
      </w:r>
      <w:bookmarkEnd w:id="5443"/>
      <w:bookmarkEnd w:id="5444"/>
      <w:bookmarkEnd w:id="5445"/>
    </w:p>
    <w:p w:rsidR="007C6A5F" w:rsidRDefault="007C6A5F" w:rsidP="007C6A5F">
      <w:pPr>
        <w:pStyle w:val="BodyText"/>
      </w:pPr>
      <w:r>
        <w:t>One indicator of the subsidy that would be required to encourage the private sector to offer more accessible rental properties is the pricing for SDA.</w:t>
      </w:r>
    </w:p>
    <w:p w:rsidR="007C6A5F" w:rsidRDefault="007C6A5F" w:rsidP="007C6A5F">
      <w:pPr>
        <w:pStyle w:val="BodyText"/>
      </w:pPr>
      <w:r>
        <w:t>We estimate the subsidy required as follows.</w:t>
      </w:r>
    </w:p>
    <w:p w:rsidR="007C6A5F" w:rsidRDefault="007C6A5F" w:rsidP="005A6F87">
      <w:pPr>
        <w:pStyle w:val="ListBullet"/>
        <w:numPr>
          <w:ilvl w:val="0"/>
          <w:numId w:val="17"/>
        </w:numPr>
      </w:pPr>
      <w:r>
        <w:t>We start with SDA rates for different types of residences (averaged across new buildings and existing stock).</w:t>
      </w:r>
    </w:p>
    <w:p w:rsidR="007C6A5F" w:rsidRDefault="007C6A5F" w:rsidP="005A6F87">
      <w:pPr>
        <w:pStyle w:val="ListBullet"/>
        <w:numPr>
          <w:ilvl w:val="0"/>
          <w:numId w:val="17"/>
        </w:numPr>
      </w:pPr>
      <w:r>
        <w:lastRenderedPageBreak/>
        <w:t>We then add the rental payment SDA participants would be required to pay (based on 25 per cent of the Disability Support Pension).</w:t>
      </w:r>
    </w:p>
    <w:p w:rsidR="007C6A5F" w:rsidRDefault="007C6A5F" w:rsidP="005A6F87">
      <w:pPr>
        <w:pStyle w:val="ListBullet"/>
        <w:numPr>
          <w:ilvl w:val="0"/>
          <w:numId w:val="17"/>
        </w:numPr>
      </w:pPr>
      <w:r>
        <w:t>As we assume that participants in the proposed subsidy program would pay market rent, we subtract the estimated market rent (based on the weighted average median rent across capital cities).</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w:instrText>
      </w:r>
      <w:r w:rsidRPr="00695C93">
        <w:fldChar w:fldCharType="separate"/>
      </w:r>
      <w:r>
        <w:rPr>
          <w:noProof/>
        </w:rPr>
        <w:instrText>5</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5</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5</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19</w:instrText>
      </w:r>
      <w:r w:rsidRPr="00695C93">
        <w:fldChar w:fldCharType="end"/>
      </w:r>
      <w:r w:rsidRPr="00695C93">
        <w:instrText xml:space="preserve">" "" </w:instrText>
      </w:r>
      <w:r w:rsidRPr="00695C93">
        <w:fldChar w:fldCharType="separate"/>
      </w:r>
      <w:bookmarkStart w:id="5446" w:name="_Caption0043"/>
      <w:bookmarkStart w:id="5447" w:name="_Caption8420"/>
      <w:bookmarkStart w:id="5448" w:name="_Caption5059"/>
      <w:bookmarkStart w:id="5449" w:name="_Caption6700"/>
      <w:bookmarkStart w:id="5450" w:name="_Caption6909"/>
      <w:bookmarkStart w:id="5451" w:name="_Caption0567"/>
      <w:bookmarkStart w:id="5452" w:name="_Caption3694"/>
      <w:bookmarkStart w:id="5453" w:name="_Caption4738"/>
      <w:bookmarkStart w:id="5454" w:name="_Caption2588"/>
      <w:bookmarkStart w:id="5455" w:name="_Caption1848"/>
      <w:bookmarkStart w:id="5456" w:name="_Caption1589"/>
      <w:bookmarkStart w:id="5457" w:name="_Caption2447"/>
      <w:bookmarkStart w:id="5458" w:name="_Caption0344"/>
      <w:bookmarkStart w:id="5459" w:name="_Caption5408"/>
      <w:bookmarkStart w:id="5460" w:name="_Caption8178"/>
      <w:bookmarkStart w:id="5461" w:name="_Caption2309"/>
      <w:bookmarkStart w:id="5462" w:name="_Caption3844"/>
      <w:bookmarkStart w:id="5463" w:name="_Caption2630"/>
      <w:bookmarkStart w:id="5464" w:name="_Caption1722"/>
      <w:bookmarkStart w:id="5465" w:name="_Caption3969"/>
      <w:bookmarkStart w:id="5466" w:name="_Caption9214"/>
      <w:bookmarkStart w:id="5467" w:name="_Caption4522"/>
      <w:bookmarkStart w:id="5468" w:name="_Caption8274"/>
      <w:bookmarkStart w:id="5469" w:name="_Caption0316"/>
      <w:bookmarkStart w:id="5470" w:name="_Caption8659"/>
      <w:bookmarkStart w:id="5471" w:name="_Caption3832"/>
      <w:bookmarkStart w:id="5472" w:name="_Caption2548"/>
      <w:bookmarkStart w:id="5473" w:name="_Caption4528"/>
      <w:bookmarkStart w:id="5474" w:name="_Caption0706"/>
      <w:bookmarkStart w:id="5475" w:name="_Caption8984"/>
      <w:bookmarkStart w:id="5476" w:name="_Caption0284"/>
      <w:bookmarkStart w:id="5477" w:name="_Caption5367"/>
      <w:bookmarkStart w:id="5478" w:name="_Caption5943"/>
      <w:bookmarkStart w:id="5479" w:name="_Caption8855"/>
      <w:bookmarkStart w:id="5480" w:name="_Caption6623"/>
      <w:bookmarkStart w:id="5481" w:name="_Caption4806"/>
      <w:bookmarkStart w:id="5482" w:name="_Caption4850"/>
      <w:bookmarkStart w:id="5483" w:name="_Caption5809"/>
      <w:bookmarkStart w:id="5484" w:name="_Caption9390"/>
      <w:bookmarkStart w:id="5485" w:name="_Caption6161"/>
      <w:bookmarkStart w:id="5486" w:name="_Caption9000"/>
      <w:bookmarkStart w:id="5487" w:name="_Caption1024"/>
      <w:bookmarkStart w:id="5488" w:name="_Caption5828"/>
      <w:bookmarkStart w:id="5489" w:name="_Caption0824"/>
      <w:bookmarkStart w:id="5490" w:name="_Caption6567"/>
      <w:bookmarkStart w:id="5491" w:name="_Caption8894"/>
      <w:bookmarkStart w:id="5492" w:name="_Caption8587"/>
      <w:bookmarkStart w:id="5493" w:name="_Caption8810"/>
      <w:bookmarkStart w:id="5494" w:name="_Caption8820"/>
      <w:bookmarkStart w:id="5495" w:name="_Caption3199"/>
      <w:bookmarkStart w:id="5496" w:name="_Caption4125"/>
      <w:bookmarkStart w:id="5497" w:name="_Caption8967"/>
      <w:bookmarkStart w:id="5498" w:name="_Caption3315"/>
      <w:bookmarkStart w:id="5499" w:name="_Caption6223"/>
      <w:bookmarkStart w:id="5500" w:name="_Caption4853"/>
      <w:bookmarkStart w:id="5501" w:name="_Caption1833"/>
      <w:bookmarkStart w:id="5502" w:name="_Caption9101"/>
      <w:bookmarkStart w:id="5503" w:name="_Caption9772"/>
      <w:bookmarkStart w:id="5504" w:name="_Caption2306"/>
      <w:bookmarkStart w:id="5505" w:name="_Caption8859"/>
      <w:bookmarkStart w:id="5506" w:name="_Caption0712"/>
      <w:bookmarkStart w:id="5507" w:name="_Caption0515"/>
      <w:bookmarkStart w:id="5508" w:name="_Caption0281"/>
      <w:bookmarkStart w:id="5509" w:name="_Caption2119"/>
      <w:bookmarkStart w:id="5510" w:name="_Caption4797"/>
      <w:bookmarkStart w:id="5511" w:name="_Caption7046"/>
      <w:bookmarkStart w:id="5512" w:name="_Caption2755"/>
      <w:bookmarkStart w:id="5513" w:name="_Caption4817"/>
      <w:bookmarkStart w:id="5514" w:name="_Toc32321842"/>
      <w:bookmarkStart w:id="5515" w:name="_Toc44598539"/>
      <w:bookmarkStart w:id="5516" w:name="_Toc45654170"/>
      <w:r w:rsidR="00272AF3">
        <w:rPr>
          <w:noProof/>
        </w:rPr>
        <w:t>5</w:t>
      </w:r>
      <w:r w:rsidR="00272AF3" w:rsidRPr="00695C93">
        <w:rPr>
          <w:noProof/>
        </w:rPr>
        <w:t>.</w:t>
      </w:r>
      <w:r w:rsidR="00272AF3">
        <w:rPr>
          <w:noProof/>
        </w:rPr>
        <w:t>19</w:t>
      </w:r>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r w:rsidRPr="00695C93">
        <w:fldChar w:fldCharType="end"/>
      </w:r>
      <w:r w:rsidRPr="00695C93">
        <w:tab/>
      </w:r>
      <w:r>
        <w:t>Estimated subsidy</w:t>
      </w:r>
      <w:bookmarkEnd w:id="5514"/>
      <w:bookmarkEnd w:id="5515"/>
      <w:bookmarkEnd w:id="5516"/>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5.19"/>
        <w:tblDescription w:val="Estimated subsidy"/>
      </w:tblPr>
      <w:tblGrid>
        <w:gridCol w:w="2160"/>
        <w:gridCol w:w="1516"/>
        <w:gridCol w:w="1420"/>
        <w:gridCol w:w="1420"/>
        <w:gridCol w:w="1420"/>
      </w:tblGrid>
      <w:tr w:rsidR="007C6A5F" w:rsidTr="00B23D77">
        <w:trPr>
          <w:trHeight w:val="185"/>
          <w:tblHeader/>
        </w:trPr>
        <w:tc>
          <w:tcPr>
            <w:tcW w:w="2160" w:type="dxa"/>
            <w:shd w:val="clear" w:color="auto" w:fill="6F6652" w:themeFill="accent5"/>
          </w:tcPr>
          <w:p w:rsidR="007C6A5F" w:rsidRDefault="00B23D77" w:rsidP="00C36DA4">
            <w:pPr>
              <w:pStyle w:val="TableDataColumnHeading"/>
              <w:jc w:val="left"/>
              <w:rPr>
                <w:lang w:val="en-GB"/>
              </w:rPr>
            </w:pPr>
            <w:r>
              <w:rPr>
                <w:lang w:val="en-GB"/>
              </w:rPr>
              <w:t>Dwelling</w:t>
            </w:r>
          </w:p>
        </w:tc>
        <w:tc>
          <w:tcPr>
            <w:tcW w:w="1516" w:type="dxa"/>
            <w:shd w:val="clear" w:color="auto" w:fill="6F6652" w:themeFill="accent5"/>
          </w:tcPr>
          <w:p w:rsidR="007C6A5F" w:rsidRDefault="007C6A5F" w:rsidP="00C36DA4">
            <w:pPr>
              <w:pStyle w:val="TableDataColumnHeading"/>
              <w:rPr>
                <w:lang w:val="en-GB"/>
              </w:rPr>
            </w:pPr>
            <w:r>
              <w:rPr>
                <w:lang w:val="en-GB"/>
              </w:rPr>
              <w:t>Average SDA subsidy</w:t>
            </w:r>
            <w:r w:rsidRPr="00B46BCC">
              <w:rPr>
                <w:rStyle w:val="NoteLabel"/>
                <w:color w:val="FFFFFF" w:themeColor="background1"/>
              </w:rPr>
              <w:t>a</w:t>
            </w:r>
            <w:r w:rsidR="00B23D77">
              <w:rPr>
                <w:rStyle w:val="NoteLabel"/>
                <w:color w:val="FFFFFF" w:themeColor="background1"/>
              </w:rPr>
              <w:br/>
            </w:r>
            <w:r w:rsidR="00B23D77">
              <w:rPr>
                <w:lang w:val="en-GB"/>
              </w:rPr>
              <w:t>($)</w:t>
            </w:r>
          </w:p>
        </w:tc>
        <w:tc>
          <w:tcPr>
            <w:tcW w:w="1420" w:type="dxa"/>
            <w:shd w:val="clear" w:color="auto" w:fill="6F6652" w:themeFill="accent5"/>
          </w:tcPr>
          <w:p w:rsidR="007C6A5F" w:rsidRDefault="007C6A5F" w:rsidP="00C36DA4">
            <w:pPr>
              <w:pStyle w:val="TableDataColumnHeading"/>
              <w:rPr>
                <w:lang w:val="en-GB"/>
              </w:rPr>
            </w:pPr>
            <w:r>
              <w:rPr>
                <w:lang w:val="en-GB"/>
              </w:rPr>
              <w:t>SDA subsidy plus rent</w:t>
            </w:r>
            <w:r w:rsidRPr="00B46BCC">
              <w:rPr>
                <w:rStyle w:val="NoteLabel"/>
                <w:color w:val="FFFFFF" w:themeColor="background1"/>
              </w:rPr>
              <w:t>b</w:t>
            </w:r>
            <w:r w:rsidR="00B23D77">
              <w:rPr>
                <w:rStyle w:val="NoteLabel"/>
                <w:color w:val="FFFFFF" w:themeColor="background1"/>
              </w:rPr>
              <w:br/>
            </w:r>
            <w:r w:rsidR="00B23D77">
              <w:rPr>
                <w:lang w:val="en-GB"/>
              </w:rPr>
              <w:t>($)</w:t>
            </w:r>
          </w:p>
        </w:tc>
        <w:tc>
          <w:tcPr>
            <w:tcW w:w="1420" w:type="dxa"/>
            <w:shd w:val="clear" w:color="auto" w:fill="6F6652" w:themeFill="accent5"/>
          </w:tcPr>
          <w:p w:rsidR="007C6A5F" w:rsidRDefault="007C6A5F" w:rsidP="00C36DA4">
            <w:pPr>
              <w:pStyle w:val="TableDataColumnHeading"/>
              <w:rPr>
                <w:lang w:val="en-GB"/>
              </w:rPr>
            </w:pPr>
            <w:r>
              <w:rPr>
                <w:lang w:val="en-GB"/>
              </w:rPr>
              <w:t>Market rent</w:t>
            </w:r>
            <w:r w:rsidRPr="00B46BCC">
              <w:rPr>
                <w:rStyle w:val="NoteLabel"/>
                <w:color w:val="FFFFFF" w:themeColor="background1"/>
              </w:rPr>
              <w:t>c</w:t>
            </w:r>
            <w:r w:rsidR="00B23D77">
              <w:rPr>
                <w:rStyle w:val="NoteLabel"/>
                <w:color w:val="FFFFFF" w:themeColor="background1"/>
              </w:rPr>
              <w:br/>
            </w:r>
            <w:r w:rsidR="00B23D77">
              <w:rPr>
                <w:lang w:val="en-GB"/>
              </w:rPr>
              <w:t>($)</w:t>
            </w:r>
          </w:p>
        </w:tc>
        <w:tc>
          <w:tcPr>
            <w:tcW w:w="1420" w:type="dxa"/>
            <w:shd w:val="clear" w:color="auto" w:fill="6F6652" w:themeFill="accent5"/>
          </w:tcPr>
          <w:p w:rsidR="007C6A5F" w:rsidRDefault="007C6A5F" w:rsidP="00C36DA4">
            <w:pPr>
              <w:pStyle w:val="TableDataColumnHeading"/>
              <w:rPr>
                <w:lang w:val="en-GB"/>
              </w:rPr>
            </w:pPr>
            <w:r>
              <w:rPr>
                <w:lang w:val="en-GB"/>
              </w:rPr>
              <w:t>Subsidy</w:t>
            </w:r>
            <w:r w:rsidR="00B23D77">
              <w:rPr>
                <w:lang w:val="en-GB"/>
              </w:rPr>
              <w:br/>
              <w:t>($)</w:t>
            </w:r>
          </w:p>
        </w:tc>
      </w:tr>
      <w:tr w:rsidR="007C6A5F" w:rsidTr="009C66A8">
        <w:trPr>
          <w:trHeight w:val="230"/>
        </w:trPr>
        <w:tc>
          <w:tcPr>
            <w:tcW w:w="216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Separate house</w:t>
            </w:r>
          </w:p>
        </w:tc>
        <w:tc>
          <w:tcPr>
            <w:tcW w:w="151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19 563</w:t>
            </w:r>
          </w:p>
        </w:tc>
        <w:tc>
          <w:tcPr>
            <w:tcW w:w="14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28 117</w:t>
            </w:r>
          </w:p>
        </w:tc>
        <w:tc>
          <w:tcPr>
            <w:tcW w:w="14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23 052</w:t>
            </w:r>
          </w:p>
        </w:tc>
        <w:tc>
          <w:tcPr>
            <w:tcW w:w="14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5 065</w:t>
            </w:r>
          </w:p>
        </w:tc>
      </w:tr>
      <w:tr w:rsidR="007C6A5F" w:rsidTr="00B5160B">
        <w:trPr>
          <w:trHeight w:val="230"/>
        </w:trPr>
        <w:tc>
          <w:tcPr>
            <w:tcW w:w="216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Townhouse</w:t>
            </w:r>
          </w:p>
        </w:tc>
        <w:tc>
          <w:tcPr>
            <w:tcW w:w="151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19 711</w:t>
            </w:r>
          </w:p>
        </w:tc>
        <w:tc>
          <w:tcPr>
            <w:tcW w:w="14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28 265</w:t>
            </w:r>
          </w:p>
        </w:tc>
        <w:tc>
          <w:tcPr>
            <w:tcW w:w="14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23 052</w:t>
            </w:r>
          </w:p>
        </w:tc>
        <w:tc>
          <w:tcPr>
            <w:tcW w:w="14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5 213</w:t>
            </w:r>
          </w:p>
        </w:tc>
      </w:tr>
      <w:tr w:rsidR="007C6A5F" w:rsidTr="00B5160B">
        <w:trPr>
          <w:trHeight w:val="230"/>
        </w:trPr>
        <w:tc>
          <w:tcPr>
            <w:tcW w:w="2160"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jc w:val="left"/>
              <w:rPr>
                <w:lang w:val="en-GB"/>
              </w:rPr>
            </w:pPr>
            <w:r>
              <w:rPr>
                <w:lang w:val="en-GB"/>
              </w:rPr>
              <w:t>Apartment</w:t>
            </w:r>
          </w:p>
        </w:tc>
        <w:tc>
          <w:tcPr>
            <w:tcW w:w="1516"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rPr>
                <w:lang w:val="en-GB"/>
              </w:rPr>
              <w:t>40 016</w:t>
            </w:r>
          </w:p>
        </w:tc>
        <w:tc>
          <w:tcPr>
            <w:tcW w:w="1420"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rPr>
                <w:lang w:val="en-GB"/>
              </w:rPr>
              <w:t>48 570</w:t>
            </w:r>
          </w:p>
        </w:tc>
        <w:tc>
          <w:tcPr>
            <w:tcW w:w="1420"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rPr>
                <w:lang w:val="en-GB"/>
              </w:rPr>
              <w:t>21 838</w:t>
            </w:r>
          </w:p>
        </w:tc>
        <w:tc>
          <w:tcPr>
            <w:tcW w:w="1420"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rPr>
                <w:lang w:val="en-GB"/>
              </w:rPr>
              <w:t>26 732</w:t>
            </w:r>
          </w:p>
        </w:tc>
      </w:tr>
    </w:tbl>
    <w:p w:rsidR="007C6A5F" w:rsidRDefault="007C6A5F" w:rsidP="007C6A5F">
      <w:pPr>
        <w:pStyle w:val="Source"/>
      </w:pPr>
      <w:r w:rsidRPr="004918AC">
        <w:rPr>
          <w:i/>
        </w:rPr>
        <w:t>Source:</w:t>
      </w:r>
      <w:r w:rsidRPr="00595039">
        <w:t xml:space="preserve"> N</w:t>
      </w:r>
      <w:r w:rsidRPr="002459E2">
        <w:t>a</w:t>
      </w:r>
      <w:r w:rsidRPr="00E00EFD">
        <w:t>tion</w:t>
      </w:r>
      <w:r w:rsidRPr="00B239AA">
        <w:t>al Disability Insurance Scheme, Specialist Disability Accommodation, Price Guide (2019</w:t>
      </w:r>
      <w:r w:rsidRPr="00B239AA">
        <w:noBreakHyphen/>
        <w:t>20), 28 October 2019.</w:t>
      </w:r>
    </w:p>
    <w:p w:rsidR="007C6A5F" w:rsidRDefault="007C6A5F" w:rsidP="007C6A5F">
      <w:pPr>
        <w:pStyle w:val="BodyText"/>
      </w:pPr>
      <w:r>
        <w:t>The subsidy is targeted at private renters whose accessibility needs are not currently met. According to SDAC data, there are around 150 800 private renters who either require assistance or have difficulty moving around their residence (an indicator of whether their accessibility needs are being met).</w:t>
      </w:r>
    </w:p>
    <w:p w:rsidR="007C6A5F" w:rsidRDefault="007C6A5F" w:rsidP="007C6A5F">
      <w:pPr>
        <w:pStyle w:val="Heading1"/>
        <w:numPr>
          <w:ilvl w:val="0"/>
          <w:numId w:val="5"/>
        </w:numPr>
      </w:pPr>
      <w:bookmarkStart w:id="5517" w:name="_Toc32321764"/>
      <w:bookmarkStart w:id="5518" w:name="_Toc44598452"/>
      <w:bookmarkStart w:id="5519" w:name="_Toc45654083"/>
      <w:r>
        <w:lastRenderedPageBreak/>
        <w:t>Estimating the benefits</w:t>
      </w:r>
      <w:bookmarkEnd w:id="5517"/>
      <w:bookmarkEnd w:id="5518"/>
      <w:bookmarkEnd w:id="5519"/>
    </w:p>
    <w:p w:rsidR="007C6A5F" w:rsidRDefault="007C6A5F" w:rsidP="007C6A5F">
      <w:pPr>
        <w:pStyle w:val="BodyText"/>
      </w:pPr>
      <w:r>
        <w:t>In this chapter we estimate the benefits of each of the options.</w:t>
      </w:r>
    </w:p>
    <w:p w:rsidR="007C6A5F" w:rsidRDefault="007C6A5F" w:rsidP="007C6A5F">
      <w:pPr>
        <w:pStyle w:val="Heading2"/>
        <w:numPr>
          <w:ilvl w:val="1"/>
          <w:numId w:val="5"/>
        </w:numPr>
      </w:pPr>
      <w:bookmarkStart w:id="5520" w:name="_Toc32321765"/>
      <w:bookmarkStart w:id="5521" w:name="_Toc44598453"/>
      <w:bookmarkStart w:id="5522" w:name="_Toc45654084"/>
      <w:r>
        <w:t>Approaches to estimating the benefits</w:t>
      </w:r>
      <w:bookmarkEnd w:id="5520"/>
      <w:bookmarkEnd w:id="5521"/>
      <w:bookmarkEnd w:id="5522"/>
    </w:p>
    <w:p w:rsidR="007C6A5F" w:rsidRDefault="007C6A5F" w:rsidP="007C6A5F">
      <w:pPr>
        <w:pStyle w:val="BodyText"/>
      </w:pPr>
      <w:r>
        <w:t>We estimate the benefits generated by each of the options using two different approaches.</w:t>
      </w:r>
    </w:p>
    <w:p w:rsidR="007C6A5F" w:rsidRDefault="007C6A5F" w:rsidP="005A6F87">
      <w:pPr>
        <w:pStyle w:val="ListBullet"/>
        <w:numPr>
          <w:ilvl w:val="0"/>
          <w:numId w:val="17"/>
        </w:numPr>
        <w:rPr>
          <w:lang w:bidi="fa-IR"/>
        </w:rPr>
      </w:pPr>
      <w:r>
        <w:rPr>
          <w:lang w:bidi="fa-IR"/>
        </w:rPr>
        <w:t xml:space="preserve">The central approach was based on our estimate of the extent to which we would expect the proposed changes to the NCC (and other options) to address the extent of the various issues estimated in chapter 2. </w:t>
      </w:r>
      <w:r w:rsidRPr="00731C93">
        <w:rPr>
          <w:lang w:bidi="fa-IR"/>
        </w:rPr>
        <w:t>In addition, this approach included estimates of benefits to the wider community from seeing better outcomes for Australians with limited mobility.</w:t>
      </w:r>
      <w:r>
        <w:rPr>
          <w:lang w:bidi="fa-IR"/>
        </w:rPr>
        <w:t xml:space="preserve"> These societal benefits were derived from a stated preference survey, which measured the extent to which households were willing to pay to improve these outcomes.</w:t>
      </w:r>
    </w:p>
    <w:p w:rsidR="007C6A5F" w:rsidRDefault="007C6A5F" w:rsidP="005A6F87">
      <w:pPr>
        <w:pStyle w:val="ListBullet"/>
        <w:numPr>
          <w:ilvl w:val="0"/>
          <w:numId w:val="17"/>
        </w:numPr>
        <w:rPr>
          <w:lang w:bidi="fa-IR"/>
        </w:rPr>
      </w:pPr>
      <w:r>
        <w:rPr>
          <w:lang w:bidi="fa-IR"/>
        </w:rPr>
        <w:t>The alternative approach was based on estimates of household willingness to pay for various accessibility features when choosing a home to buy or rent. These estimates were derived from the stated preference survey using questions that offered hypothetical choices between homes with differing accessibility features and rents.</w:t>
      </w:r>
    </w:p>
    <w:p w:rsidR="007C6A5F" w:rsidRDefault="007C6A5F" w:rsidP="007C6A5F">
      <w:pPr>
        <w:pStyle w:val="BodyText"/>
      </w:pPr>
      <w:r>
        <w:t>Each of these approaches is outlined below.</w:t>
      </w:r>
    </w:p>
    <w:p w:rsidR="007C6A5F" w:rsidRPr="00F02EA6" w:rsidRDefault="007C6A5F" w:rsidP="007C6A5F">
      <w:pPr>
        <w:pStyle w:val="Heading2"/>
        <w:numPr>
          <w:ilvl w:val="1"/>
          <w:numId w:val="5"/>
        </w:numPr>
      </w:pPr>
      <w:bookmarkStart w:id="5523" w:name="_Toc32321766"/>
      <w:bookmarkStart w:id="5524" w:name="_Toc44598454"/>
      <w:bookmarkStart w:id="5525" w:name="_Toc45654085"/>
      <w:r>
        <w:t>Problem reduction approach</w:t>
      </w:r>
      <w:bookmarkEnd w:id="5523"/>
      <w:bookmarkEnd w:id="5524"/>
      <w:bookmarkEnd w:id="5525"/>
    </w:p>
    <w:p w:rsidR="007C6A5F" w:rsidRDefault="007C6A5F" w:rsidP="007C6A5F">
      <w:pPr>
        <w:pStyle w:val="BodyText"/>
      </w:pPr>
      <w:r>
        <w:t>Some key factors that will reduce the size of the problem and therefore determine the benefits generated by the various options, include:</w:t>
      </w:r>
    </w:p>
    <w:p w:rsidR="007C6A5F" w:rsidRPr="00731C93" w:rsidRDefault="007C6A5F" w:rsidP="005A6F87">
      <w:pPr>
        <w:pStyle w:val="ListBullet"/>
        <w:numPr>
          <w:ilvl w:val="0"/>
          <w:numId w:val="17"/>
        </w:numPr>
      </w:pPr>
      <w:r w:rsidRPr="00731C93">
        <w:t>the extent to which new accessible housing built under the new code is allocated to households with accessibility needs</w:t>
      </w:r>
    </w:p>
    <w:p w:rsidR="007C6A5F" w:rsidRDefault="007C6A5F" w:rsidP="005A6F87">
      <w:pPr>
        <w:pStyle w:val="ListBullet"/>
        <w:numPr>
          <w:ilvl w:val="0"/>
          <w:numId w:val="17"/>
        </w:numPr>
      </w:pPr>
      <w:r>
        <w:t>the extent to which dwellings with accessibility features would have been provided under the baseline scenario (i.e. the extent to which the accessibility features in dwellings built under the new code are ‘additional’ and therefore can be attributed to the new code).</w:t>
      </w:r>
    </w:p>
    <w:p w:rsidR="007C6A5F" w:rsidRDefault="007C6A5F" w:rsidP="007C6A5F">
      <w:pPr>
        <w:pStyle w:val="Heading3"/>
        <w:numPr>
          <w:ilvl w:val="2"/>
          <w:numId w:val="5"/>
        </w:numPr>
        <w:rPr>
          <w:lang w:bidi="fa-IR"/>
        </w:rPr>
      </w:pPr>
      <w:r>
        <w:rPr>
          <w:lang w:bidi="fa-IR"/>
        </w:rPr>
        <w:t>Allocation of accessible housing</w:t>
      </w:r>
    </w:p>
    <w:p w:rsidR="007C6A5F" w:rsidRDefault="007C6A5F" w:rsidP="007C6A5F">
      <w:pPr>
        <w:pStyle w:val="BodyText"/>
        <w:rPr>
          <w:lang w:bidi="fa-IR"/>
        </w:rPr>
      </w:pPr>
      <w:r>
        <w:rPr>
          <w:lang w:bidi="fa-IR"/>
        </w:rPr>
        <w:t>New housing is generally allocated through the market (rather than through an administrative process) so it is not necessarily the case that new accessible housing will be allocated to those with accessibility needs.</w:t>
      </w:r>
    </w:p>
    <w:p w:rsidR="007C6A5F" w:rsidRDefault="007C6A5F" w:rsidP="007C6A5F">
      <w:pPr>
        <w:pStyle w:val="BodyText"/>
        <w:rPr>
          <w:lang w:bidi="fa-IR"/>
        </w:rPr>
      </w:pPr>
      <w:r>
        <w:rPr>
          <w:lang w:bidi="fa-IR"/>
        </w:rPr>
        <w:t>There are 2 ways that increasing the stock of accessible housing would reduce the size of the problem (estimated above) over time.</w:t>
      </w:r>
    </w:p>
    <w:p w:rsidR="007C6A5F" w:rsidRDefault="007C6A5F" w:rsidP="005A6F87">
      <w:pPr>
        <w:pStyle w:val="ListBullet"/>
        <w:numPr>
          <w:ilvl w:val="0"/>
          <w:numId w:val="17"/>
        </w:numPr>
        <w:rPr>
          <w:lang w:bidi="fa-IR"/>
        </w:rPr>
      </w:pPr>
      <w:r>
        <w:rPr>
          <w:lang w:bidi="fa-IR"/>
        </w:rPr>
        <w:lastRenderedPageBreak/>
        <w:t>The proportion of the population who acquire a disability already living in accessible housing will increase over time.</w:t>
      </w:r>
    </w:p>
    <w:p w:rsidR="007C6A5F" w:rsidRDefault="007C6A5F" w:rsidP="005A6F87">
      <w:pPr>
        <w:pStyle w:val="ListBullet"/>
        <w:numPr>
          <w:ilvl w:val="0"/>
          <w:numId w:val="17"/>
        </w:numPr>
        <w:rPr>
          <w:lang w:bidi="fa-IR"/>
        </w:rPr>
      </w:pPr>
      <w:r>
        <w:rPr>
          <w:lang w:bidi="fa-IR"/>
        </w:rPr>
        <w:t>For people who acquire a disability (or have a pre</w:t>
      </w:r>
      <w:r>
        <w:rPr>
          <w:lang w:bidi="fa-IR"/>
        </w:rPr>
        <w:noBreakHyphen/>
        <w:t>existing</w:t>
      </w:r>
      <w:r w:rsidR="00806409">
        <w:rPr>
          <w:lang w:bidi="fa-IR"/>
        </w:rPr>
        <w:t xml:space="preserve"> disability</w:t>
      </w:r>
      <w:r>
        <w:rPr>
          <w:lang w:bidi="fa-IR"/>
        </w:rPr>
        <w:t>)</w:t>
      </w:r>
      <w:r w:rsidRPr="008A0A01">
        <w:rPr>
          <w:lang w:bidi="fa-IR"/>
        </w:rPr>
        <w:t xml:space="preserve"> </w:t>
      </w:r>
      <w:r>
        <w:rPr>
          <w:lang w:bidi="fa-IR"/>
        </w:rPr>
        <w:t>not already living in accessible housing</w:t>
      </w:r>
      <w:r w:rsidR="00806409">
        <w:rPr>
          <w:lang w:bidi="fa-IR"/>
        </w:rPr>
        <w:t>,</w:t>
      </w:r>
      <w:r>
        <w:rPr>
          <w:lang w:bidi="fa-IR"/>
        </w:rPr>
        <w:t xml:space="preserve"> there will be greater options available to move to an accessible dwelling.</w:t>
      </w:r>
    </w:p>
    <w:p w:rsidR="007C6A5F" w:rsidRDefault="007C6A5F" w:rsidP="005A6F87">
      <w:pPr>
        <w:pStyle w:val="ListBullet2"/>
        <w:numPr>
          <w:ilvl w:val="1"/>
          <w:numId w:val="17"/>
        </w:numPr>
        <w:ind w:left="568" w:hanging="284"/>
        <w:rPr>
          <w:lang w:bidi="fa-IR"/>
        </w:rPr>
      </w:pPr>
      <w:r>
        <w:rPr>
          <w:lang w:bidi="fa-IR"/>
        </w:rPr>
        <w:t>Nevertheless, we assume that the proposed changes to the NCC would have minimal impact on owner</w:t>
      </w:r>
      <w:r>
        <w:rPr>
          <w:lang w:bidi="fa-IR"/>
        </w:rPr>
        <w:noBreakHyphen/>
        <w:t>occupiers due to a range of factors outlined below.</w:t>
      </w:r>
    </w:p>
    <w:p w:rsidR="007C6A5F" w:rsidRDefault="007C6A5F" w:rsidP="005A6F87">
      <w:pPr>
        <w:pStyle w:val="ListBullet2"/>
        <w:numPr>
          <w:ilvl w:val="1"/>
          <w:numId w:val="17"/>
        </w:numPr>
        <w:ind w:left="568" w:hanging="284"/>
        <w:rPr>
          <w:lang w:bidi="fa-IR"/>
        </w:rPr>
      </w:pPr>
      <w:r>
        <w:rPr>
          <w:lang w:bidi="fa-IR"/>
        </w:rPr>
        <w:t>On the other hand</w:t>
      </w:r>
      <w:r w:rsidRPr="00562AB2">
        <w:rPr>
          <w:lang w:bidi="fa-IR"/>
        </w:rPr>
        <w:t xml:space="preserve">, </w:t>
      </w:r>
      <w:r>
        <w:rPr>
          <w:lang w:bidi="fa-IR"/>
        </w:rPr>
        <w:t xml:space="preserve">we assume that </w:t>
      </w:r>
      <w:r w:rsidRPr="00562AB2">
        <w:rPr>
          <w:lang w:bidi="fa-IR"/>
        </w:rPr>
        <w:t>the proposed changes will significantly increase the proportion of renters moving</w:t>
      </w:r>
      <w:r>
        <w:rPr>
          <w:lang w:bidi="fa-IR"/>
        </w:rPr>
        <w:t xml:space="preserve">. </w:t>
      </w:r>
    </w:p>
    <w:p w:rsidR="007C6A5F" w:rsidRDefault="007C6A5F" w:rsidP="007C6A5F">
      <w:pPr>
        <w:pStyle w:val="BodyText"/>
        <w:rPr>
          <w:lang w:bidi="fa-IR"/>
        </w:rPr>
      </w:pPr>
      <w:r>
        <w:rPr>
          <w:lang w:bidi="fa-IR"/>
        </w:rPr>
        <w:t>Based on the assumption outlined below.</w:t>
      </w:r>
    </w:p>
    <w:p w:rsidR="007C6A5F" w:rsidRDefault="007C6A5F" w:rsidP="005A6F87">
      <w:pPr>
        <w:pStyle w:val="ListBullet"/>
        <w:numPr>
          <w:ilvl w:val="0"/>
          <w:numId w:val="17"/>
        </w:numPr>
        <w:rPr>
          <w:lang w:bidi="fa-IR"/>
        </w:rPr>
      </w:pPr>
      <w:r>
        <w:rPr>
          <w:lang w:bidi="fa-IR"/>
        </w:rPr>
        <w:t>The process through which an increasing share of the population are already living in accessible housing when they acquire a disability is estimated to take some time to have an impact. As newly acquired disabilities are around 4</w:t>
      </w:r>
      <w:r>
        <w:rPr>
          <w:lang w:bidi="fa-IR"/>
        </w:rPr>
        <w:noBreakHyphen/>
        <w:t>5 per cent of total disabilities in any given period and the new accessible dwellings are initially a small share of the stock, this pathway is unlikely to significantly reduce the size of the problem in the near to medium term.</w:t>
      </w:r>
    </w:p>
    <w:p w:rsidR="007C6A5F" w:rsidRDefault="007C6A5F" w:rsidP="005A6F87">
      <w:pPr>
        <w:pStyle w:val="ListBullet"/>
        <w:numPr>
          <w:ilvl w:val="0"/>
          <w:numId w:val="17"/>
        </w:numPr>
        <w:rPr>
          <w:lang w:bidi="fa-IR"/>
        </w:rPr>
      </w:pPr>
      <w:r>
        <w:rPr>
          <w:lang w:bidi="fa-IR"/>
        </w:rPr>
        <w:t xml:space="preserve">The impact on renters also starts slowly, but would then increase much more rapidly given the higher propensity to move to a more accessible dwelling. </w:t>
      </w:r>
    </w:p>
    <w:p w:rsidR="007C6A5F" w:rsidRDefault="007C6A5F" w:rsidP="007C6A5F">
      <w:pPr>
        <w:pStyle w:val="BodyText"/>
        <w:rPr>
          <w:lang w:bidi="fa-IR"/>
        </w:rPr>
      </w:pPr>
      <w:r>
        <w:rPr>
          <w:lang w:bidi="fa-IR"/>
        </w:rPr>
        <w:t>The assumptions underlying these assumptions are outlined below.</w:t>
      </w:r>
    </w:p>
    <w:p w:rsidR="007C6A5F" w:rsidRDefault="007C6A5F" w:rsidP="007C6A5F">
      <w:pPr>
        <w:pStyle w:val="Heading4"/>
        <w:numPr>
          <w:ilvl w:val="3"/>
          <w:numId w:val="5"/>
        </w:numPr>
        <w:rPr>
          <w:lang w:bidi="fa-IR"/>
        </w:rPr>
      </w:pPr>
      <w:r>
        <w:rPr>
          <w:lang w:bidi="fa-IR"/>
        </w:rPr>
        <w:t>People living in accessible housing when they acquire a disability</w:t>
      </w:r>
    </w:p>
    <w:p w:rsidR="007C6A5F" w:rsidRDefault="007C6A5F" w:rsidP="007C6A5F">
      <w:pPr>
        <w:pStyle w:val="BodyText"/>
        <w:rPr>
          <w:lang w:bidi="fa-IR"/>
        </w:rPr>
      </w:pPr>
      <w:r>
        <w:rPr>
          <w:lang w:bidi="fa-IR"/>
        </w:rPr>
        <w:t>As noted above, as accessible housing increases as a share of the stock over time, a greater proportion of people (including both owner</w:t>
      </w:r>
      <w:r>
        <w:rPr>
          <w:lang w:bidi="fa-IR"/>
        </w:rPr>
        <w:noBreakHyphen/>
        <w:t>occupiers and renters) will already be living in accessible housing when they acquire a disability.</w:t>
      </w:r>
    </w:p>
    <w:p w:rsidR="007C6A5F" w:rsidRDefault="007C6A5F" w:rsidP="007C6A5F">
      <w:pPr>
        <w:pStyle w:val="BodyText"/>
        <w:rPr>
          <w:lang w:bidi="fa-IR"/>
        </w:rPr>
      </w:pPr>
      <w:r>
        <w:rPr>
          <w:lang w:bidi="fa-IR"/>
        </w:rPr>
        <w:t>We estimate that around 4.5 per cent of the total number of people with mobility limitation due to disability have newly acquired the disability in the past year. This estimate is based on:</w:t>
      </w:r>
    </w:p>
    <w:p w:rsidR="007C6A5F" w:rsidRDefault="007C6A5F" w:rsidP="005A6F87">
      <w:pPr>
        <w:pStyle w:val="ListBullet"/>
        <w:numPr>
          <w:ilvl w:val="0"/>
          <w:numId w:val="17"/>
        </w:numPr>
        <w:rPr>
          <w:lang w:bidi="fa-IR"/>
        </w:rPr>
      </w:pPr>
      <w:r>
        <w:rPr>
          <w:lang w:bidi="fa-IR"/>
        </w:rPr>
        <w:t>the growth in the number of people with a mobility limitation each year</w:t>
      </w:r>
    </w:p>
    <w:p w:rsidR="007C6A5F" w:rsidRPr="00BF3453" w:rsidRDefault="007C6A5F" w:rsidP="005A6F87">
      <w:pPr>
        <w:pStyle w:val="ListBullet"/>
        <w:numPr>
          <w:ilvl w:val="0"/>
          <w:numId w:val="17"/>
        </w:numPr>
        <w:rPr>
          <w:lang w:bidi="fa-IR"/>
        </w:rPr>
      </w:pPr>
      <w:r w:rsidRPr="00E337E1">
        <w:rPr>
          <w:b/>
          <w:bCs/>
          <w:lang w:bidi="fa-IR"/>
        </w:rPr>
        <w:t>plus:</w:t>
      </w:r>
      <w:r>
        <w:rPr>
          <w:lang w:bidi="fa-IR"/>
        </w:rPr>
        <w:t xml:space="preserve"> the estimated number of deaths (based on weighted</w:t>
      </w:r>
      <w:r>
        <w:rPr>
          <w:lang w:bidi="fa-IR"/>
        </w:rPr>
        <w:noBreakHyphen/>
        <w:t>average mortality rates by age).</w:t>
      </w:r>
    </w:p>
    <w:p w:rsidR="007C6A5F" w:rsidRDefault="007C6A5F" w:rsidP="007C6A5F">
      <w:pPr>
        <w:pStyle w:val="BodyText"/>
        <w:rPr>
          <w:lang w:bidi="fa-IR"/>
        </w:rPr>
      </w:pPr>
      <w:r>
        <w:rPr>
          <w:lang w:bidi="fa-IR"/>
        </w:rPr>
        <w:t>Note that this somewhat simplistic approach</w:t>
      </w:r>
      <w:r w:rsidR="00806409">
        <w:rPr>
          <w:lang w:bidi="fa-IR"/>
        </w:rPr>
        <w:t>:</w:t>
      </w:r>
      <w:r>
        <w:rPr>
          <w:lang w:bidi="fa-IR"/>
        </w:rPr>
        <w:t xml:space="preserve"> assumes that people with a mobility</w:t>
      </w:r>
      <w:r w:rsidR="00806409">
        <w:rPr>
          <w:lang w:bidi="fa-IR"/>
        </w:rPr>
        <w:noBreakHyphen/>
        <w:t xml:space="preserve">related disabilities </w:t>
      </w:r>
      <w:r>
        <w:rPr>
          <w:lang w:bidi="fa-IR"/>
        </w:rPr>
        <w:t>have the same age</w:t>
      </w:r>
      <w:r>
        <w:rPr>
          <w:lang w:bidi="fa-IR"/>
        </w:rPr>
        <w:noBreakHyphen/>
        <w:t xml:space="preserve">specific mortality rates as the broader community; </w:t>
      </w:r>
      <w:r w:rsidR="00806409">
        <w:rPr>
          <w:lang w:bidi="fa-IR"/>
        </w:rPr>
        <w:t xml:space="preserve">effectively assumes that </w:t>
      </w:r>
      <w:r>
        <w:rPr>
          <w:lang w:bidi="fa-IR"/>
        </w:rPr>
        <w:t>all people with a mobility</w:t>
      </w:r>
      <w:r w:rsidR="00806409">
        <w:rPr>
          <w:lang w:bidi="fa-IR"/>
        </w:rPr>
        <w:noBreakHyphen/>
        <w:t xml:space="preserve">related </w:t>
      </w:r>
      <w:r>
        <w:rPr>
          <w:lang w:bidi="fa-IR"/>
        </w:rPr>
        <w:t xml:space="preserve">disability have that disability until their death (i.e. ignores the </w:t>
      </w:r>
      <w:r w:rsidR="00806409">
        <w:rPr>
          <w:lang w:bidi="fa-IR"/>
        </w:rPr>
        <w:t>possibility that a</w:t>
      </w:r>
      <w:r>
        <w:rPr>
          <w:lang w:bidi="fa-IR"/>
        </w:rPr>
        <w:t xml:space="preserve"> disability is resolved); and ignores the net impact of migration. It is however, likely to be a reasonable approximation of the number of newly acquired disabilities in each period.</w:t>
      </w:r>
    </w:p>
    <w:p w:rsidR="007C6A5F" w:rsidRDefault="007C6A5F" w:rsidP="007C6A5F">
      <w:pPr>
        <w:pStyle w:val="KeyPoint"/>
        <w:rPr>
          <w:lang w:bidi="fa-IR"/>
        </w:rPr>
      </w:pPr>
      <w:r>
        <w:rPr>
          <w:lang w:bidi="fa-IR"/>
        </w:rPr>
        <w:t>We assume that the proportion of people already living in accessible housing when they acquire a disability will reflect the share of new accessible housing built under a revised NCC in the total dwelling stock.</w:t>
      </w:r>
    </w:p>
    <w:p w:rsidR="007C6A5F" w:rsidRDefault="007C6A5F" w:rsidP="007C6A5F">
      <w:pPr>
        <w:pStyle w:val="BodyText"/>
        <w:rPr>
          <w:lang w:bidi="fa-IR"/>
        </w:rPr>
      </w:pPr>
      <w:r>
        <w:rPr>
          <w:lang w:bidi="fa-IR"/>
        </w:rPr>
        <w:lastRenderedPageBreak/>
        <w:t>As the proportion of new accessible dwellings (i.e. those that would comply with the proposed accessibility requirements) being built under the current code is not known, this issue is addressed separately (see below).</w:t>
      </w:r>
    </w:p>
    <w:p w:rsidR="007C6A5F" w:rsidRDefault="007C6A5F" w:rsidP="007C6A5F">
      <w:pPr>
        <w:pStyle w:val="Heading4"/>
        <w:numPr>
          <w:ilvl w:val="3"/>
          <w:numId w:val="5"/>
        </w:numPr>
        <w:rPr>
          <w:lang w:bidi="fa-IR"/>
        </w:rPr>
      </w:pPr>
      <w:r>
        <w:rPr>
          <w:lang w:bidi="fa-IR"/>
        </w:rPr>
        <w:t>Owner</w:t>
      </w:r>
      <w:r>
        <w:rPr>
          <w:lang w:bidi="fa-IR"/>
        </w:rPr>
        <w:noBreakHyphen/>
        <w:t>occupiers not living in accessible housing</w:t>
      </w:r>
    </w:p>
    <w:p w:rsidR="007C6A5F" w:rsidRDefault="007C6A5F" w:rsidP="007C6A5F">
      <w:pPr>
        <w:pStyle w:val="BodyText"/>
        <w:rPr>
          <w:lang w:bidi="fa-IR"/>
        </w:rPr>
      </w:pPr>
      <w:r>
        <w:rPr>
          <w:lang w:bidi="fa-IR"/>
        </w:rPr>
        <w:t>For owner</w:t>
      </w:r>
      <w:r>
        <w:rPr>
          <w:lang w:bidi="fa-IR"/>
        </w:rPr>
        <w:noBreakHyphen/>
        <w:t>occupiers who already have a mobility</w:t>
      </w:r>
      <w:r w:rsidR="00806409">
        <w:rPr>
          <w:lang w:bidi="fa-IR"/>
        </w:rPr>
        <w:noBreakHyphen/>
        <w:t xml:space="preserve">related disability </w:t>
      </w:r>
      <w:r>
        <w:rPr>
          <w:lang w:bidi="fa-IR"/>
        </w:rPr>
        <w:t>or acquire a mobility</w:t>
      </w:r>
      <w:r>
        <w:rPr>
          <w:lang w:bidi="fa-IR"/>
        </w:rPr>
        <w:noBreakHyphen/>
        <w:t xml:space="preserve">related disability and are not already living in accessible housing when they acquire it, the </w:t>
      </w:r>
      <w:r w:rsidRPr="009816AA">
        <w:rPr>
          <w:lang w:bidi="fa-IR"/>
        </w:rPr>
        <w:t>benefits of the proposed changes to the NCC are less clear</w:t>
      </w:r>
      <w:r>
        <w:rPr>
          <w:lang w:bidi="fa-IR"/>
        </w:rPr>
        <w:t>. In principle, the stock of accessible housing would increase over time as a result of the proposed change to the NCC. This would give these people (and their families) greater choice of accessible dwellings should they choose to move to a dwelling that better meets their needs.</w:t>
      </w:r>
    </w:p>
    <w:p w:rsidR="007C6A5F" w:rsidRDefault="007C6A5F" w:rsidP="007C6A5F">
      <w:pPr>
        <w:pStyle w:val="BodyText"/>
        <w:rPr>
          <w:lang w:bidi="fa-IR"/>
        </w:rPr>
      </w:pPr>
      <w:r>
        <w:rPr>
          <w:lang w:bidi="fa-IR"/>
        </w:rPr>
        <w:t>However, the following factors would limit the impact of the proposed changes to the NCC on the available stock of accessible housing.</w:t>
      </w:r>
    </w:p>
    <w:p w:rsidR="007C6A5F" w:rsidRDefault="007C6A5F" w:rsidP="005A6F87">
      <w:pPr>
        <w:pStyle w:val="ListBullet"/>
        <w:numPr>
          <w:ilvl w:val="0"/>
          <w:numId w:val="17"/>
        </w:numPr>
        <w:rPr>
          <w:lang w:bidi="fa-IR"/>
        </w:rPr>
      </w:pPr>
      <w:r>
        <w:rPr>
          <w:lang w:bidi="fa-IR"/>
        </w:rPr>
        <w:t xml:space="preserve">First, the option of building an accessible house that meets </w:t>
      </w:r>
      <w:r w:rsidRPr="009816AA">
        <w:rPr>
          <w:lang w:bidi="fa-IR"/>
        </w:rPr>
        <w:t>their specific needs is already available to people who acquire a mobility</w:t>
      </w:r>
      <w:r w:rsidRPr="009816AA">
        <w:rPr>
          <w:lang w:bidi="fa-IR"/>
        </w:rPr>
        <w:noBreakHyphen/>
        <w:t>related disability (subject to affordability).</w:t>
      </w:r>
      <w:r>
        <w:rPr>
          <w:lang w:bidi="fa-IR"/>
        </w:rPr>
        <w:t xml:space="preserve"> The proposed regulation would not affect this choice. That said, there are a range of reasons why many people do not choose this option (including financial constraints, the location of greenfield areas etc.). </w:t>
      </w:r>
    </w:p>
    <w:p w:rsidR="007C6A5F" w:rsidRDefault="007C6A5F" w:rsidP="005A6F87">
      <w:pPr>
        <w:pStyle w:val="ListBullet"/>
        <w:numPr>
          <w:ilvl w:val="0"/>
          <w:numId w:val="17"/>
        </w:numPr>
        <w:rPr>
          <w:lang w:bidi="fa-IR"/>
        </w:rPr>
      </w:pPr>
      <w:r>
        <w:rPr>
          <w:lang w:bidi="fa-IR"/>
        </w:rPr>
        <w:t>Second, to the extent that the regulation encourages additional accessible dwellings to be built, it is reasonable to infer that the initial owner would not have accessibility needs (if they did, they would have chosen to build an accessible home anyway). The regulations are therefore unlikely to benefit the initial owner (unless they acquire a disability while still living in the dwelling – see above). Additional accessible dwellings would become available to people with accessibility needs only when the initial owner moves out.</w:t>
      </w:r>
    </w:p>
    <w:p w:rsidR="007C6A5F" w:rsidRDefault="007C6A5F" w:rsidP="007C6A5F">
      <w:pPr>
        <w:pStyle w:val="BodyText"/>
        <w:rPr>
          <w:lang w:bidi="fa-IR"/>
        </w:rPr>
      </w:pPr>
      <w:r>
        <w:rPr>
          <w:lang w:bidi="fa-IR"/>
        </w:rPr>
        <w:t>Furthermore, even if more accessible dwellings become available, there are a range of factors that suggest that the number of people who would choose to move to a more accessible dwelling would likely be relatively low for owner</w:t>
      </w:r>
      <w:r>
        <w:rPr>
          <w:lang w:bidi="fa-IR"/>
        </w:rPr>
        <w:noBreakHyphen/>
        <w:t>occupiers.</w:t>
      </w:r>
    </w:p>
    <w:p w:rsidR="007C6A5F" w:rsidRDefault="007C6A5F" w:rsidP="005A6F87">
      <w:pPr>
        <w:pStyle w:val="ListBullet"/>
        <w:numPr>
          <w:ilvl w:val="0"/>
          <w:numId w:val="17"/>
        </w:numPr>
        <w:rPr>
          <w:lang w:bidi="fa-IR"/>
        </w:rPr>
      </w:pPr>
      <w:r>
        <w:rPr>
          <w:lang w:bidi="fa-IR"/>
        </w:rPr>
        <w:t>SDAC data suggests that only around 10 per cent of owner</w:t>
      </w:r>
      <w:r>
        <w:rPr>
          <w:lang w:bidi="fa-IR"/>
        </w:rPr>
        <w:noBreakHyphen/>
        <w:t xml:space="preserve">occupiers have moved because of their condition. </w:t>
      </w:r>
      <w:r w:rsidRPr="009816AA">
        <w:rPr>
          <w:lang w:bidi="fa-IR"/>
        </w:rPr>
        <w:t>That said, the reason that some people have not moved may have been a lack of available accessible dwellings.</w:t>
      </w:r>
    </w:p>
    <w:p w:rsidR="007C6A5F" w:rsidRDefault="007C6A5F" w:rsidP="005A6F87">
      <w:pPr>
        <w:pStyle w:val="ListBullet"/>
        <w:numPr>
          <w:ilvl w:val="0"/>
          <w:numId w:val="17"/>
        </w:numPr>
        <w:rPr>
          <w:lang w:bidi="fa-IR"/>
        </w:rPr>
      </w:pPr>
      <w:r>
        <w:rPr>
          <w:lang w:bidi="fa-IR"/>
        </w:rPr>
        <w:t xml:space="preserve">Several stakeholders, as well as a number of studies stressed the importance of factors such as affordability and location, as well as accessibility. </w:t>
      </w:r>
      <w:r w:rsidRPr="00782A86">
        <w:t>Affordability and location issues could reduce the likelihood of people moving to newly built accessible housing</w:t>
      </w:r>
      <w:r w:rsidRPr="001C7D22">
        <w:rPr>
          <w:lang w:bidi="fa-IR"/>
        </w:rPr>
        <w:t>.</w:t>
      </w:r>
    </w:p>
    <w:p w:rsidR="007C6A5F" w:rsidRDefault="007C6A5F" w:rsidP="005A6F87">
      <w:pPr>
        <w:pStyle w:val="ListBullet2"/>
        <w:numPr>
          <w:ilvl w:val="1"/>
          <w:numId w:val="17"/>
        </w:numPr>
        <w:ind w:left="568" w:hanging="284"/>
        <w:rPr>
          <w:lang w:bidi="fa-IR"/>
        </w:rPr>
      </w:pPr>
      <w:r>
        <w:rPr>
          <w:lang w:bidi="fa-IR"/>
        </w:rPr>
        <w:t xml:space="preserve">In particular, the new accessible housing may not be in the preferred neighbourhood for many people with </w:t>
      </w:r>
      <w:r w:rsidR="00F64A98">
        <w:rPr>
          <w:lang w:bidi="fa-IR"/>
        </w:rPr>
        <w:t xml:space="preserve">a </w:t>
      </w:r>
      <w:r>
        <w:rPr>
          <w:lang w:bidi="fa-IR"/>
        </w:rPr>
        <w:t>mobility</w:t>
      </w:r>
      <w:r w:rsidR="00F64A98">
        <w:rPr>
          <w:lang w:bidi="fa-IR"/>
        </w:rPr>
        <w:noBreakHyphen/>
        <w:t>related disability</w:t>
      </w:r>
      <w:r>
        <w:rPr>
          <w:lang w:bidi="fa-IR"/>
        </w:rPr>
        <w:t>.</w:t>
      </w:r>
    </w:p>
    <w:p w:rsidR="007C6A5F" w:rsidRDefault="007C6A5F" w:rsidP="005A6F87">
      <w:pPr>
        <w:pStyle w:val="ListBullet3"/>
        <w:numPr>
          <w:ilvl w:val="2"/>
          <w:numId w:val="17"/>
        </w:numPr>
        <w:rPr>
          <w:lang w:bidi="fa-IR"/>
        </w:rPr>
      </w:pPr>
      <w:r>
        <w:rPr>
          <w:lang w:bidi="fa-IR"/>
        </w:rPr>
        <w:t>In NSW, just 11 (out of 131) Local Government Areas account for 50 per cent of all dwelling approvals</w:t>
      </w:r>
      <w:r>
        <w:rPr>
          <w:rStyle w:val="FootnoteReference"/>
          <w:lang w:bidi="fa-IR"/>
        </w:rPr>
        <w:footnoteReference w:id="62"/>
      </w:r>
    </w:p>
    <w:p w:rsidR="007C6A5F" w:rsidRDefault="007C6A5F" w:rsidP="005A6F87">
      <w:pPr>
        <w:pStyle w:val="ListBullet3"/>
        <w:numPr>
          <w:ilvl w:val="2"/>
          <w:numId w:val="17"/>
        </w:numPr>
        <w:rPr>
          <w:lang w:bidi="fa-IR"/>
        </w:rPr>
      </w:pPr>
      <w:r>
        <w:rPr>
          <w:lang w:bidi="fa-IR"/>
        </w:rPr>
        <w:t>Currently, only 29 per cent of all people in NSW with a mobility limitation live in these LGAs</w:t>
      </w:r>
    </w:p>
    <w:p w:rsidR="007C6A5F" w:rsidRDefault="007C6A5F" w:rsidP="005A6F87">
      <w:pPr>
        <w:pStyle w:val="ListBullet3"/>
        <w:numPr>
          <w:ilvl w:val="2"/>
          <w:numId w:val="17"/>
        </w:numPr>
        <w:rPr>
          <w:lang w:bidi="fa-IR"/>
        </w:rPr>
      </w:pPr>
      <w:r>
        <w:rPr>
          <w:lang w:bidi="fa-IR"/>
        </w:rPr>
        <w:lastRenderedPageBreak/>
        <w:t>Analysis of Census data suggests that more than 80 per cent of all people who moved house over the past 5 years, moved within the same LGA. This proportion increases to more than 90 per cent for people over the age of 65.</w:t>
      </w:r>
    </w:p>
    <w:p w:rsidR="007C6A5F" w:rsidRDefault="007C6A5F" w:rsidP="005A6F87">
      <w:pPr>
        <w:pStyle w:val="ListBullet2"/>
        <w:numPr>
          <w:ilvl w:val="1"/>
          <w:numId w:val="17"/>
        </w:numPr>
        <w:ind w:left="568" w:hanging="284"/>
        <w:rPr>
          <w:lang w:bidi="fa-IR"/>
        </w:rPr>
      </w:pPr>
      <w:r>
        <w:rPr>
          <w:lang w:bidi="fa-IR"/>
        </w:rPr>
        <w:t>The financial cost of moving house is relatively high for owner</w:t>
      </w:r>
      <w:r>
        <w:rPr>
          <w:lang w:bidi="fa-IR"/>
        </w:rPr>
        <w:noBreakHyphen/>
        <w:t>occupiers.</w:t>
      </w:r>
    </w:p>
    <w:p w:rsidR="007C6A5F" w:rsidRDefault="007C6A5F" w:rsidP="005A6F87">
      <w:pPr>
        <w:pStyle w:val="ListBullet3"/>
        <w:numPr>
          <w:ilvl w:val="2"/>
          <w:numId w:val="17"/>
        </w:numPr>
        <w:rPr>
          <w:lang w:bidi="fa-IR"/>
        </w:rPr>
      </w:pPr>
      <w:r>
        <w:rPr>
          <w:lang w:bidi="fa-IR"/>
        </w:rPr>
        <w:t>Many households containing people with disabilities have lower than average incomes (see above).</w:t>
      </w:r>
    </w:p>
    <w:p w:rsidR="007C6A5F" w:rsidRDefault="007C6A5F" w:rsidP="005A6F87">
      <w:pPr>
        <w:pStyle w:val="ListBullet3"/>
        <w:numPr>
          <w:ilvl w:val="2"/>
          <w:numId w:val="17"/>
        </w:numPr>
        <w:rPr>
          <w:lang w:bidi="fa-IR"/>
        </w:rPr>
      </w:pPr>
      <w:r>
        <w:rPr>
          <w:lang w:bidi="fa-IR"/>
        </w:rPr>
        <w:t>Stamp duties are a significant barrier to moving. Stamp duties can amount to tens of thousands of dollars (particularly in the major cities). This means that in many cases home modifications (where possible) may be more cost</w:t>
      </w:r>
      <w:r>
        <w:rPr>
          <w:lang w:bidi="fa-IR"/>
        </w:rPr>
        <w:noBreakHyphen/>
        <w:t>effective, particularly as home modifications are subsidised through the NDIS and various aged care programs.</w:t>
      </w:r>
    </w:p>
    <w:p w:rsidR="007C6A5F" w:rsidRDefault="007C6A5F" w:rsidP="005A6F87">
      <w:pPr>
        <w:pStyle w:val="ListBullet3"/>
        <w:numPr>
          <w:ilvl w:val="2"/>
          <w:numId w:val="17"/>
        </w:numPr>
        <w:rPr>
          <w:lang w:bidi="fa-IR"/>
        </w:rPr>
      </w:pPr>
      <w:r>
        <w:rPr>
          <w:lang w:bidi="fa-IR"/>
        </w:rPr>
        <w:t>Some older Australians on a full or part pension could lose their pension if they choose to down</w:t>
      </w:r>
      <w:r>
        <w:rPr>
          <w:lang w:bidi="fa-IR"/>
        </w:rPr>
        <w:noBreakHyphen/>
        <w:t>size as the family home is not included in the pension asset test.</w:t>
      </w:r>
    </w:p>
    <w:p w:rsidR="007C6A5F" w:rsidRDefault="007C6A5F" w:rsidP="007C6A5F">
      <w:pPr>
        <w:pStyle w:val="BodyText"/>
        <w:rPr>
          <w:lang w:bidi="fa-IR"/>
        </w:rPr>
      </w:pPr>
      <w:r>
        <w:rPr>
          <w:lang w:bidi="fa-IR"/>
        </w:rPr>
        <w:t>People with a pre</w:t>
      </w:r>
      <w:r>
        <w:rPr>
          <w:lang w:bidi="fa-IR"/>
        </w:rPr>
        <w:noBreakHyphen/>
        <w:t>existing mobility limitations (i.e. a mobility limitation acquired prior to the commencement of the proposed regulations) are even less likely to be affected by the increased availability of accessible housing.</w:t>
      </w:r>
    </w:p>
    <w:p w:rsidR="007C6A5F" w:rsidRDefault="007C6A5F" w:rsidP="007C6A5F">
      <w:pPr>
        <w:pStyle w:val="BodyText"/>
        <w:rPr>
          <w:lang w:bidi="fa-IR"/>
        </w:rPr>
      </w:pPr>
      <w:r>
        <w:rPr>
          <w:lang w:bidi="fa-IR"/>
        </w:rPr>
        <w:t>These people have already made a housing choice at the point that they acquired the disability (although where the disability gets worse over time, these choices may be constantly re</w:t>
      </w:r>
      <w:r>
        <w:rPr>
          <w:lang w:bidi="fa-IR"/>
        </w:rPr>
        <w:noBreakHyphen/>
        <w:t>assessed). Furthermore, they may have already made choices to accommodate their disability in their existing home (such as through home modifications).</w:t>
      </w:r>
    </w:p>
    <w:p w:rsidR="007C6A5F" w:rsidRPr="008806D5" w:rsidRDefault="007C6A5F" w:rsidP="007C6A5F">
      <w:pPr>
        <w:pStyle w:val="KeyPoint"/>
      </w:pPr>
      <w:r>
        <w:rPr>
          <w:lang w:bidi="fa-IR"/>
        </w:rPr>
        <w:t>This discussion suggests that including an accessibility standard in the NCC is unlikely to significantly affect owner</w:t>
      </w:r>
      <w:r>
        <w:rPr>
          <w:lang w:bidi="fa-IR"/>
        </w:rPr>
        <w:noBreakHyphen/>
        <w:t>occupiers with a pre</w:t>
      </w:r>
      <w:r>
        <w:rPr>
          <w:lang w:bidi="fa-IR"/>
        </w:rPr>
        <w:noBreakHyphen/>
        <w:t>existing mobility</w:t>
      </w:r>
      <w:r>
        <w:rPr>
          <w:lang w:bidi="fa-IR"/>
        </w:rPr>
        <w:noBreakHyphen/>
        <w:t xml:space="preserve">related disability or those still living in inaccessible housing when they acquire a disability in the future </w:t>
      </w:r>
      <w:r>
        <w:t>(</w:t>
      </w:r>
      <w:r w:rsidRPr="008806D5">
        <w:t>in the CBA we assume that the regulation has no benefits</w:t>
      </w:r>
      <w:r>
        <w:t xml:space="preserve"> for these people), a</w:t>
      </w:r>
      <w:r w:rsidRPr="008806D5">
        <w:t>lthough a small number may benefit from increased choice of accessible dwellings over time.</w:t>
      </w:r>
    </w:p>
    <w:p w:rsidR="007C6A5F" w:rsidRDefault="007C6A5F" w:rsidP="007C6A5F">
      <w:pPr>
        <w:pStyle w:val="Heading4"/>
        <w:numPr>
          <w:ilvl w:val="3"/>
          <w:numId w:val="5"/>
        </w:numPr>
        <w:rPr>
          <w:lang w:bidi="fa-IR"/>
        </w:rPr>
      </w:pPr>
      <w:r>
        <w:rPr>
          <w:lang w:bidi="fa-IR"/>
        </w:rPr>
        <w:t>Renters not living in accessible housing</w:t>
      </w:r>
    </w:p>
    <w:p w:rsidR="007C6A5F" w:rsidRDefault="007C6A5F" w:rsidP="007C6A5F">
      <w:pPr>
        <w:pStyle w:val="BodyText"/>
        <w:rPr>
          <w:lang w:bidi="fa-IR"/>
        </w:rPr>
      </w:pPr>
      <w:r>
        <w:rPr>
          <w:lang w:bidi="fa-IR"/>
        </w:rPr>
        <w:t>Presumably some proportion of new dwellings will be used as rental properties, so the stock of accessible private rental properties available to renters will increase over time. Renters that acquire a disability may be more likely to move as more accessible rental properties become available for several reasons.</w:t>
      </w:r>
    </w:p>
    <w:p w:rsidR="007C6A5F" w:rsidRDefault="007C6A5F" w:rsidP="005A6F87">
      <w:pPr>
        <w:pStyle w:val="ListBullet"/>
        <w:numPr>
          <w:ilvl w:val="0"/>
          <w:numId w:val="17"/>
        </w:numPr>
        <w:rPr>
          <w:lang w:bidi="fa-IR"/>
        </w:rPr>
      </w:pPr>
      <w:r>
        <w:rPr>
          <w:lang w:bidi="fa-IR"/>
        </w:rPr>
        <w:t>Renters generally move more frequently than owner</w:t>
      </w:r>
      <w:r>
        <w:rPr>
          <w:lang w:bidi="fa-IR"/>
        </w:rPr>
        <w:noBreakHyphen/>
        <w:t>occupiers (although the proportion of renters with a mobility</w:t>
      </w:r>
      <w:r w:rsidR="00F64A98">
        <w:rPr>
          <w:lang w:bidi="fa-IR"/>
        </w:rPr>
        <w:noBreakHyphen/>
        <w:t xml:space="preserve">related disability </w:t>
      </w:r>
      <w:r>
        <w:rPr>
          <w:lang w:bidi="fa-IR"/>
        </w:rPr>
        <w:t>who have moved because of their disability is only slightly higher than owner</w:t>
      </w:r>
      <w:r>
        <w:rPr>
          <w:lang w:bidi="fa-IR"/>
        </w:rPr>
        <w:noBreakHyphen/>
        <w:t>occupiers at 15 per cent).</w:t>
      </w:r>
    </w:p>
    <w:p w:rsidR="007C6A5F" w:rsidRDefault="007C6A5F" w:rsidP="005A6F87">
      <w:pPr>
        <w:pStyle w:val="ListBullet"/>
        <w:numPr>
          <w:ilvl w:val="0"/>
          <w:numId w:val="17"/>
        </w:numPr>
        <w:rPr>
          <w:lang w:bidi="fa-IR"/>
        </w:rPr>
      </w:pPr>
      <w:r>
        <w:rPr>
          <w:lang w:bidi="fa-IR"/>
        </w:rPr>
        <w:t>There are fewer financial disincentives for renters to moving (other than the cost of moving itself).</w:t>
      </w:r>
    </w:p>
    <w:p w:rsidR="007C6A5F" w:rsidRDefault="007C6A5F" w:rsidP="005A6F87">
      <w:pPr>
        <w:pStyle w:val="ListBullet"/>
        <w:numPr>
          <w:ilvl w:val="0"/>
          <w:numId w:val="17"/>
        </w:numPr>
        <w:rPr>
          <w:lang w:bidi="fa-IR"/>
        </w:rPr>
      </w:pPr>
      <w:r>
        <w:rPr>
          <w:lang w:bidi="fa-IR"/>
        </w:rPr>
        <w:t>Renters are generally less able to have rental properties modified to meet their accessibility needs. This means that renters are less likely to have already made home modifications to meet their accessibility needs.</w:t>
      </w:r>
    </w:p>
    <w:p w:rsidR="007C6A5F" w:rsidRDefault="007C6A5F" w:rsidP="005A6F87">
      <w:pPr>
        <w:pStyle w:val="ListBullet"/>
        <w:numPr>
          <w:ilvl w:val="0"/>
          <w:numId w:val="17"/>
        </w:numPr>
        <w:rPr>
          <w:lang w:bidi="fa-IR"/>
        </w:rPr>
      </w:pPr>
      <w:r>
        <w:rPr>
          <w:lang w:bidi="fa-IR"/>
        </w:rPr>
        <w:lastRenderedPageBreak/>
        <w:t>As renters tend to have shorter tenure, they may be less likely to have an emotional attachment to a rental property.</w:t>
      </w:r>
    </w:p>
    <w:p w:rsidR="007C6A5F" w:rsidRDefault="007C6A5F" w:rsidP="007C6A5F">
      <w:pPr>
        <w:pStyle w:val="BodyText"/>
        <w:rPr>
          <w:lang w:bidi="fa-IR"/>
        </w:rPr>
      </w:pPr>
      <w:r>
        <w:rPr>
          <w:lang w:bidi="fa-IR"/>
        </w:rPr>
        <w:t>Our approach to estimating the share of renters with accessibility needs that are likely to move to accessible rental properties under the proposed regulations, we make the following assumptions.</w:t>
      </w:r>
    </w:p>
    <w:p w:rsidR="007C6A5F" w:rsidRDefault="007C6A5F" w:rsidP="00F64A98">
      <w:pPr>
        <w:pStyle w:val="ListBullet"/>
        <w:rPr>
          <w:lang w:bidi="fa-IR"/>
        </w:rPr>
      </w:pPr>
      <w:r>
        <w:rPr>
          <w:lang w:bidi="fa-IR"/>
        </w:rPr>
        <w:t>When a tenant moves, the probability that the tenant with accessibility needs moves to an accessible property is likely to be related to the share of accessible properties in the rental stock.</w:t>
      </w:r>
    </w:p>
    <w:p w:rsidR="007C6A5F" w:rsidRDefault="007C6A5F" w:rsidP="005A6F87">
      <w:pPr>
        <w:pStyle w:val="ListBullet"/>
        <w:numPr>
          <w:ilvl w:val="0"/>
          <w:numId w:val="17"/>
        </w:numPr>
        <w:rPr>
          <w:lang w:bidi="fa-IR"/>
        </w:rPr>
      </w:pPr>
      <w:r>
        <w:rPr>
          <w:lang w:bidi="fa-IR"/>
        </w:rPr>
        <w:t>If the probability of a tenant with accessibility needs moves to an accessible rental property reflects the share of accessible properties in the rental stock, this implies ‘random allocation’.</w:t>
      </w:r>
    </w:p>
    <w:p w:rsidR="007C6A5F" w:rsidRDefault="007C6A5F" w:rsidP="005A6F87">
      <w:pPr>
        <w:pStyle w:val="ListBullet"/>
        <w:numPr>
          <w:ilvl w:val="0"/>
          <w:numId w:val="17"/>
        </w:numPr>
        <w:rPr>
          <w:lang w:bidi="fa-IR"/>
        </w:rPr>
      </w:pPr>
      <w:r>
        <w:rPr>
          <w:lang w:bidi="fa-IR"/>
        </w:rPr>
        <w:t>In general, we would expect that tenants with accessibility needs would value accessibility features more highly than those without accessibility needs and would therefore be more likely to be attracted to rental properties with these features.</w:t>
      </w:r>
    </w:p>
    <w:p w:rsidR="007C6A5F" w:rsidRDefault="007C6A5F" w:rsidP="005A6F87">
      <w:pPr>
        <w:pStyle w:val="ListBullet"/>
        <w:numPr>
          <w:ilvl w:val="0"/>
          <w:numId w:val="17"/>
        </w:numPr>
        <w:rPr>
          <w:lang w:bidi="fa-IR"/>
        </w:rPr>
      </w:pPr>
      <w:r>
        <w:rPr>
          <w:lang w:bidi="fa-IR"/>
        </w:rPr>
        <w:t>However, the evidence from our survey of randomly</w:t>
      </w:r>
      <w:r>
        <w:rPr>
          <w:lang w:bidi="fa-IR"/>
        </w:rPr>
        <w:noBreakHyphen/>
        <w:t>selected households is mixed:</w:t>
      </w:r>
    </w:p>
    <w:p w:rsidR="007C6A5F" w:rsidRDefault="00F64A98" w:rsidP="005A6F87">
      <w:pPr>
        <w:pStyle w:val="ListBullet2"/>
        <w:numPr>
          <w:ilvl w:val="1"/>
          <w:numId w:val="17"/>
        </w:numPr>
        <w:ind w:left="568" w:hanging="284"/>
        <w:rPr>
          <w:lang w:bidi="fa-IR"/>
        </w:rPr>
      </w:pPr>
      <w:r>
        <w:rPr>
          <w:lang w:bidi="fa-IR"/>
        </w:rPr>
        <w:t>T</w:t>
      </w:r>
      <w:r w:rsidR="007C6A5F">
        <w:rPr>
          <w:lang w:bidi="fa-IR"/>
        </w:rPr>
        <w:t>here is some evidence that households containing a member with a mobility limitation are more likely to have some accessibility features.</w:t>
      </w:r>
    </w:p>
    <w:p w:rsidR="007C6A5F" w:rsidRDefault="007C6A5F" w:rsidP="005A6F87">
      <w:pPr>
        <w:pStyle w:val="ListBullet2"/>
        <w:numPr>
          <w:ilvl w:val="1"/>
          <w:numId w:val="17"/>
        </w:numPr>
        <w:ind w:left="568" w:hanging="284"/>
        <w:rPr>
          <w:lang w:bidi="fa-IR"/>
        </w:rPr>
      </w:pPr>
      <w:r w:rsidRPr="006C3FC1">
        <w:rPr>
          <w:lang w:bidi="fa-IR"/>
        </w:rPr>
        <w:t>On the other hand, there were several accessibility features that were just as likely to be present in households that did not include a member with a mobility limitation as those that did.</w:t>
      </w:r>
    </w:p>
    <w:p w:rsidR="007C6A5F" w:rsidRPr="006C3FC1" w:rsidRDefault="007C6A5F" w:rsidP="005A6F87">
      <w:pPr>
        <w:pStyle w:val="ListBullet"/>
        <w:numPr>
          <w:ilvl w:val="0"/>
          <w:numId w:val="17"/>
        </w:numPr>
        <w:rPr>
          <w:lang w:bidi="fa-IR"/>
        </w:rPr>
      </w:pPr>
      <w:r>
        <w:rPr>
          <w:lang w:bidi="fa-IR"/>
        </w:rPr>
        <w:t>Based on our analysis of the survey results (weighting accessibility features by the estimated willingness to pay for them), we estimate that for renters, households that include a member with a mobility limitation are around 12.6 per cent more likely to have accessibility features than rental households that do not contain a member with a mobility limitation.</w:t>
      </w:r>
    </w:p>
    <w:p w:rsidR="007C6A5F" w:rsidRDefault="007C6A5F" w:rsidP="007C6A5F">
      <w:pPr>
        <w:pStyle w:val="KeyPoint"/>
        <w:rPr>
          <w:lang w:bidi="fa-IR"/>
        </w:rPr>
      </w:pPr>
      <w:r>
        <w:rPr>
          <w:lang w:bidi="fa-IR"/>
        </w:rPr>
        <w:t>Based on the above discussion, we assume that households with accessibility needs are 12.6 per cent more likely to obtain an accessible rental property, compared with the random allocation approach.</w:t>
      </w:r>
    </w:p>
    <w:p w:rsidR="007C6A5F" w:rsidRDefault="007C6A5F" w:rsidP="007C6A5F">
      <w:pPr>
        <w:pStyle w:val="KeyPoint"/>
        <w:rPr>
          <w:lang w:bidi="fa-IR"/>
        </w:rPr>
      </w:pPr>
      <w:r>
        <w:rPr>
          <w:lang w:bidi="fa-IR"/>
        </w:rPr>
        <w:t>We assume that 47.8 per cent of renters move in any given year (based on the reported tenant turnover rates for residential properties).</w:t>
      </w:r>
      <w:r>
        <w:rPr>
          <w:rStyle w:val="FootnoteReference"/>
          <w:lang w:bidi="fa-IR"/>
        </w:rPr>
        <w:footnoteReference w:id="63"/>
      </w:r>
    </w:p>
    <w:p w:rsidR="007C6A5F" w:rsidRDefault="007C6A5F" w:rsidP="007C6A5F">
      <w:pPr>
        <w:pStyle w:val="KeyPoint"/>
        <w:rPr>
          <w:lang w:bidi="fa-IR"/>
        </w:rPr>
      </w:pPr>
      <w:r>
        <w:rPr>
          <w:lang w:bidi="fa-IR"/>
        </w:rPr>
        <w:t>We also assume that once a tenant with accessibility needs moves into an accessible dwelling, they do not move back to housing without accessibility features.</w:t>
      </w:r>
    </w:p>
    <w:p w:rsidR="007C6A5F" w:rsidRDefault="007C6A5F" w:rsidP="007C6A5F">
      <w:pPr>
        <w:pStyle w:val="Heading3"/>
        <w:numPr>
          <w:ilvl w:val="2"/>
          <w:numId w:val="5"/>
        </w:numPr>
      </w:pPr>
      <w:r>
        <w:t>Additionality</w:t>
      </w:r>
    </w:p>
    <w:p w:rsidR="007C6A5F" w:rsidRDefault="007C6A5F" w:rsidP="007C6A5F">
      <w:pPr>
        <w:pStyle w:val="BodyText"/>
        <w:rPr>
          <w:lang w:bidi="fa-IR"/>
        </w:rPr>
      </w:pPr>
      <w:r>
        <w:t xml:space="preserve">Under the proposed changes to the NCC, all (or most) new dwellings would comply with the relevant standard. However, </w:t>
      </w:r>
      <w:r>
        <w:rPr>
          <w:lang w:bidi="fa-IR"/>
        </w:rPr>
        <w:t xml:space="preserve">some proportion of new housing would have included some or all of the accessibility features set out in the standard, even without the proposed </w:t>
      </w:r>
      <w:r>
        <w:rPr>
          <w:lang w:bidi="fa-IR"/>
        </w:rPr>
        <w:lastRenderedPageBreak/>
        <w:t>changes to the NCC. Previous estimates and stakeholder feedback suggest that around 5</w:t>
      </w:r>
      <w:r>
        <w:rPr>
          <w:lang w:bidi="fa-IR"/>
        </w:rPr>
        <w:noBreakHyphen/>
        <w:t>10 per cent of new stock current meets LHDG silver standard.</w:t>
      </w:r>
    </w:p>
    <w:p w:rsidR="007C6A5F" w:rsidRDefault="007C6A5F" w:rsidP="009C66A8">
      <w:pPr>
        <w:pStyle w:val="BodyText"/>
        <w:spacing w:before="100"/>
        <w:rPr>
          <w:lang w:bidi="fa-IR"/>
        </w:rPr>
      </w:pPr>
      <w:r>
        <w:rPr>
          <w:lang w:bidi="fa-IR"/>
        </w:rPr>
        <w:t xml:space="preserve">According to some stakeholders, although relatively few new dwellings incorporate </w:t>
      </w:r>
      <w:r w:rsidRPr="00261E18">
        <w:rPr>
          <w:b/>
          <w:bCs/>
          <w:lang w:bidi="fa-IR"/>
        </w:rPr>
        <w:t>all</w:t>
      </w:r>
      <w:r>
        <w:rPr>
          <w:lang w:bidi="fa-IR"/>
        </w:rPr>
        <w:t xml:space="preserve"> of the design elements in the standard, a significant proportion incorporate at least </w:t>
      </w:r>
      <w:r w:rsidRPr="00261E18">
        <w:rPr>
          <w:b/>
          <w:bCs/>
          <w:lang w:bidi="fa-IR"/>
        </w:rPr>
        <w:t>some</w:t>
      </w:r>
      <w:r>
        <w:rPr>
          <w:lang w:bidi="fa-IR"/>
        </w:rPr>
        <w:t xml:space="preserve"> of these design elements. This is evident in DCWC’s cost weightings where scenarios involving ‘no impact’ had significant weightings across some design elements, indicating that compliance with the standards reflects current practice for </w:t>
      </w:r>
      <w:r w:rsidR="00F64A98">
        <w:rPr>
          <w:lang w:bidi="fa-IR"/>
        </w:rPr>
        <w:t>these</w:t>
      </w:r>
      <w:r>
        <w:rPr>
          <w:lang w:bidi="fa-IR"/>
        </w:rPr>
        <w:t xml:space="preserve"> dwellings.</w:t>
      </w:r>
    </w:p>
    <w:p w:rsidR="007C6A5F" w:rsidRDefault="007C6A5F" w:rsidP="009C66A8">
      <w:pPr>
        <w:pStyle w:val="BodyText"/>
        <w:spacing w:before="100"/>
        <w:rPr>
          <w:lang w:bidi="fa-IR"/>
        </w:rPr>
      </w:pPr>
      <w:r>
        <w:rPr>
          <w:lang w:bidi="fa-IR"/>
        </w:rPr>
        <w:t>Where the proposed standards reflect current practice for particular design elements, there are no additional costs and benefits from the standard. These costs have been excluded from our cost estimates (through a non</w:t>
      </w:r>
      <w:r>
        <w:rPr>
          <w:lang w:bidi="fa-IR"/>
        </w:rPr>
        <w:noBreakHyphen/>
        <w:t>zero weighting on a ‘no impact’ scenario). Some stakeholders pointed out that these ‘baseline effects’ should also be excluded from the benefits.</w:t>
      </w:r>
    </w:p>
    <w:p w:rsidR="007C6A5F" w:rsidRDefault="007C6A5F" w:rsidP="009C66A8">
      <w:pPr>
        <w:pStyle w:val="BodyText"/>
        <w:spacing w:before="100"/>
        <w:rPr>
          <w:lang w:bidi="fa-IR"/>
        </w:rPr>
      </w:pPr>
      <w:r>
        <w:rPr>
          <w:lang w:bidi="fa-IR"/>
        </w:rPr>
        <w:t>However, these ‘baseline effects’ are more difficult to take into account on the benefit side. The extent to which each design element reduces the problem is not clear. Furthermore, it is also not clear to what extent a dwelling that includes some, but not all of the accessible design elements set out in the proposed standard, could be considered accessible and therefore achieve some of the benefits.</w:t>
      </w:r>
    </w:p>
    <w:p w:rsidR="007C6A5F" w:rsidRDefault="007C6A5F" w:rsidP="009C66A8">
      <w:pPr>
        <w:pStyle w:val="BodyText"/>
        <w:spacing w:before="100"/>
        <w:rPr>
          <w:lang w:bidi="fa-IR"/>
        </w:rPr>
      </w:pPr>
      <w:r>
        <w:rPr>
          <w:lang w:bidi="fa-IR"/>
        </w:rPr>
        <w:t xml:space="preserve">There may be some circumstances where all accessibility features are needed for the dwelling to be suitable (such as for wheelchair users); however, in most cases there are likely to be some benefits from accessible design features, even when not all of the design features required </w:t>
      </w:r>
      <w:r w:rsidR="00F64A98">
        <w:rPr>
          <w:lang w:bidi="fa-IR"/>
        </w:rPr>
        <w:t xml:space="preserve">are </w:t>
      </w:r>
      <w:r>
        <w:rPr>
          <w:lang w:bidi="fa-IR"/>
        </w:rPr>
        <w:t>present.</w:t>
      </w:r>
    </w:p>
    <w:p w:rsidR="007C6A5F" w:rsidRDefault="007C6A5F" w:rsidP="009C66A8">
      <w:pPr>
        <w:pStyle w:val="BodyText"/>
        <w:spacing w:before="100"/>
        <w:rPr>
          <w:lang w:bidi="fa-IR"/>
        </w:rPr>
      </w:pPr>
      <w:r>
        <w:rPr>
          <w:lang w:bidi="fa-IR"/>
        </w:rPr>
        <w:t xml:space="preserve">As noted above, it is important that the treatment of accessibility features that are already provided under </w:t>
      </w:r>
      <w:r w:rsidRPr="00722EF7">
        <w:rPr>
          <w:lang w:bidi="fa-IR"/>
        </w:rPr>
        <w:t>the baseline scenario</w:t>
      </w:r>
      <w:r>
        <w:rPr>
          <w:lang w:bidi="fa-IR"/>
        </w:rPr>
        <w:t xml:space="preserve"> is consistent for both costs and benefits. As an indicator of the extent to which accessibility features provided under the baseline affect the costs, we estimate that when the ‘zero cost’ scenarios (implying that the relevant feature is provided under a proportion of existing designs) reduce the weighted average cost by around 16</w:t>
      </w:r>
      <w:r>
        <w:rPr>
          <w:lang w:bidi="fa-IR"/>
        </w:rPr>
        <w:noBreakHyphen/>
        <w:t>41 per cent (table </w:t>
      </w:r>
      <w:r>
        <w:rPr>
          <w:lang w:bidi="fa-IR"/>
        </w:rPr>
        <w:fldChar w:fldCharType="begin"/>
      </w:r>
      <w:r>
        <w:rPr>
          <w:lang w:bidi="fa-IR"/>
        </w:rPr>
        <w:instrText xml:space="preserve"> REF _Caption2577 </w:instrText>
      </w:r>
      <w:r>
        <w:rPr>
          <w:lang w:bidi="fa-IR"/>
        </w:rPr>
        <w:fldChar w:fldCharType="separate"/>
      </w:r>
      <w:r>
        <w:rPr>
          <w:noProof/>
        </w:rPr>
        <w:t>6</w:t>
      </w:r>
      <w:r w:rsidRPr="00695C93">
        <w:rPr>
          <w:noProof/>
        </w:rPr>
        <w:t>.</w:t>
      </w:r>
      <w:r>
        <w:rPr>
          <w:noProof/>
        </w:rPr>
        <w:t>1</w:t>
      </w:r>
      <w:r>
        <w:rPr>
          <w:lang w:bidi="fa-IR"/>
        </w:rPr>
        <w:fldChar w:fldCharType="end"/>
      </w:r>
      <w:r>
        <w:rPr>
          <w:lang w:bidi="fa-IR"/>
        </w:rPr>
        <w:t>).</w:t>
      </w:r>
    </w:p>
    <w:p w:rsidR="007C6A5F" w:rsidRDefault="007C6A5F" w:rsidP="009C66A8">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w:instrText>
      </w:r>
      <w:r w:rsidRPr="00695C93">
        <w:fldChar w:fldCharType="separate"/>
      </w:r>
      <w:r>
        <w:rPr>
          <w:noProof/>
        </w:rPr>
        <w:instrText>6</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6</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1</w:instrText>
      </w:r>
      <w:r w:rsidRPr="00695C93">
        <w:fldChar w:fldCharType="end"/>
      </w:r>
      <w:r w:rsidRPr="00695C93">
        <w:instrText xml:space="preserve">" "" </w:instrText>
      </w:r>
      <w:r w:rsidRPr="00695C93">
        <w:fldChar w:fldCharType="separate"/>
      </w:r>
      <w:bookmarkStart w:id="5526" w:name="_Caption5459"/>
      <w:bookmarkStart w:id="5527" w:name="_Caption8662"/>
      <w:bookmarkStart w:id="5528" w:name="_Caption9164"/>
      <w:bookmarkStart w:id="5529" w:name="_Caption7581"/>
      <w:bookmarkStart w:id="5530" w:name="_Caption5462"/>
      <w:bookmarkStart w:id="5531" w:name="_Caption4505"/>
      <w:bookmarkStart w:id="5532" w:name="_Caption6309"/>
      <w:bookmarkStart w:id="5533" w:name="_Caption4696"/>
      <w:bookmarkStart w:id="5534" w:name="_Caption7901"/>
      <w:bookmarkStart w:id="5535" w:name="_Caption8581"/>
      <w:bookmarkStart w:id="5536" w:name="_Caption4160"/>
      <w:bookmarkStart w:id="5537" w:name="_Caption1255"/>
      <w:bookmarkStart w:id="5538" w:name="_Caption3912"/>
      <w:bookmarkStart w:id="5539" w:name="_Caption6731"/>
      <w:bookmarkStart w:id="5540" w:name="_Caption4671"/>
      <w:bookmarkStart w:id="5541" w:name="_Caption0578"/>
      <w:bookmarkStart w:id="5542" w:name="_Caption1512"/>
      <w:bookmarkStart w:id="5543" w:name="_Caption5985"/>
      <w:bookmarkStart w:id="5544" w:name="_Caption1277"/>
      <w:bookmarkStart w:id="5545" w:name="_Caption0975"/>
      <w:bookmarkStart w:id="5546" w:name="_Caption2577"/>
      <w:bookmarkStart w:id="5547" w:name="_Caption0808"/>
      <w:bookmarkStart w:id="5548" w:name="_Caption5423"/>
      <w:bookmarkStart w:id="5549" w:name="_Caption2400"/>
      <w:bookmarkStart w:id="5550" w:name="_Caption3020"/>
      <w:bookmarkStart w:id="5551" w:name="_Caption4028"/>
      <w:bookmarkStart w:id="5552" w:name="_Caption2216"/>
      <w:bookmarkStart w:id="5553" w:name="_Caption8039"/>
      <w:bookmarkStart w:id="5554" w:name="_Caption9532"/>
      <w:bookmarkStart w:id="5555" w:name="_Caption0830"/>
      <w:bookmarkStart w:id="5556" w:name="_Caption6961"/>
      <w:bookmarkStart w:id="5557" w:name="_Caption8717"/>
      <w:bookmarkStart w:id="5558" w:name="_Caption9877"/>
      <w:bookmarkStart w:id="5559" w:name="_Caption2520"/>
      <w:bookmarkStart w:id="5560" w:name="_Caption4164"/>
      <w:bookmarkStart w:id="5561" w:name="_Caption9067"/>
      <w:bookmarkStart w:id="5562" w:name="_Caption0600"/>
      <w:bookmarkStart w:id="5563" w:name="_Caption3911"/>
      <w:bookmarkStart w:id="5564" w:name="_Toc32321845"/>
      <w:bookmarkStart w:id="5565" w:name="_Toc44598540"/>
      <w:bookmarkStart w:id="5566" w:name="_Toc45654171"/>
      <w:r w:rsidR="00272AF3">
        <w:rPr>
          <w:noProof/>
        </w:rPr>
        <w:t>6</w:t>
      </w:r>
      <w:r w:rsidR="00272AF3" w:rsidRPr="00695C93">
        <w:rPr>
          <w:noProof/>
        </w:rPr>
        <w:t>.</w:t>
      </w:r>
      <w:r w:rsidR="00272AF3">
        <w:rPr>
          <w:noProof/>
        </w:rPr>
        <w:t>1</w:t>
      </w:r>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r w:rsidRPr="00695C93">
        <w:fldChar w:fldCharType="end"/>
      </w:r>
      <w:r w:rsidRPr="00695C93">
        <w:tab/>
      </w:r>
      <w:r>
        <w:t>Reduction of costs due to features being provided under the baseline</w:t>
      </w:r>
      <w:bookmarkEnd w:id="5564"/>
      <w:bookmarkEnd w:id="5565"/>
      <w:bookmarkEnd w:id="5566"/>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6.1"/>
        <w:tblDescription w:val="Reduction of costs due to features being provided under the baseline"/>
      </w:tblPr>
      <w:tblGrid>
        <w:gridCol w:w="1712"/>
        <w:gridCol w:w="1713"/>
        <w:gridCol w:w="1504"/>
        <w:gridCol w:w="1504"/>
        <w:gridCol w:w="1504"/>
      </w:tblGrid>
      <w:tr w:rsidR="002F77B4" w:rsidRPr="00B853C4" w:rsidTr="00A869C3">
        <w:trPr>
          <w:trHeight w:val="68"/>
          <w:tblHeader/>
        </w:trPr>
        <w:tc>
          <w:tcPr>
            <w:tcW w:w="1712" w:type="dxa"/>
            <w:shd w:val="clear" w:color="auto" w:fill="6F6652" w:themeFill="accent5"/>
          </w:tcPr>
          <w:p w:rsidR="002F77B4" w:rsidRPr="00B853C4" w:rsidRDefault="002F77B4" w:rsidP="00C36DA4">
            <w:pPr>
              <w:pStyle w:val="TableDataColumnHeading"/>
              <w:jc w:val="left"/>
              <w:rPr>
                <w:lang w:val="en-GB"/>
              </w:rPr>
            </w:pPr>
            <w:r>
              <w:rPr>
                <w:lang w:val="en-GB"/>
              </w:rPr>
              <w:t>Options</w:t>
            </w:r>
          </w:p>
        </w:tc>
        <w:tc>
          <w:tcPr>
            <w:tcW w:w="1713" w:type="dxa"/>
            <w:shd w:val="clear" w:color="auto" w:fill="6F6652" w:themeFill="accent5"/>
          </w:tcPr>
          <w:p w:rsidR="002F77B4" w:rsidRPr="00B853C4" w:rsidRDefault="002F77B4" w:rsidP="00C36DA4">
            <w:pPr>
              <w:pStyle w:val="TableDataColumnHeading"/>
              <w:jc w:val="left"/>
              <w:rPr>
                <w:lang w:val="en-GB"/>
              </w:rPr>
            </w:pPr>
            <w:r>
              <w:rPr>
                <w:lang w:val="en-GB"/>
              </w:rPr>
              <w:t>Building</w:t>
            </w:r>
          </w:p>
        </w:tc>
        <w:tc>
          <w:tcPr>
            <w:tcW w:w="1504" w:type="dxa"/>
            <w:shd w:val="clear" w:color="auto" w:fill="6F6652" w:themeFill="accent5"/>
          </w:tcPr>
          <w:p w:rsidR="002F77B4" w:rsidRPr="00B853C4" w:rsidRDefault="002F77B4" w:rsidP="00C36DA4">
            <w:pPr>
              <w:pStyle w:val="TableDataColumnHeading"/>
              <w:rPr>
                <w:lang w:val="en-GB"/>
              </w:rPr>
            </w:pPr>
            <w:r w:rsidRPr="00B853C4">
              <w:rPr>
                <w:lang w:val="en-GB"/>
              </w:rPr>
              <w:t>Weighted average cost</w:t>
            </w:r>
            <w:r>
              <w:rPr>
                <w:lang w:val="en-GB"/>
              </w:rPr>
              <w:t xml:space="preserve"> </w:t>
            </w:r>
            <w:r w:rsidR="00F460AB">
              <w:rPr>
                <w:lang w:val="en-GB"/>
              </w:rPr>
              <w:br/>
            </w:r>
            <w:r w:rsidR="00F460AB">
              <w:rPr>
                <w:lang w:val="en-GB"/>
              </w:rPr>
              <w:br/>
            </w:r>
            <w:r>
              <w:rPr>
                <w:lang w:val="en-GB"/>
              </w:rPr>
              <w:t>($)</w:t>
            </w:r>
          </w:p>
        </w:tc>
        <w:tc>
          <w:tcPr>
            <w:tcW w:w="1504" w:type="dxa"/>
            <w:shd w:val="clear" w:color="auto" w:fill="6F6652" w:themeFill="accent5"/>
          </w:tcPr>
          <w:p w:rsidR="002F77B4" w:rsidRPr="00B853C4" w:rsidRDefault="002F77B4" w:rsidP="00C36DA4">
            <w:pPr>
              <w:pStyle w:val="TableDataColumnHeading"/>
              <w:rPr>
                <w:lang w:val="en-GB"/>
              </w:rPr>
            </w:pPr>
            <w:r w:rsidRPr="00B853C4">
              <w:rPr>
                <w:lang w:val="en-GB"/>
              </w:rPr>
              <w:t>Weighted average cost (ex zero cost scenarios)</w:t>
            </w:r>
            <w:r>
              <w:rPr>
                <w:lang w:val="en-GB"/>
              </w:rPr>
              <w:t xml:space="preserve"> </w:t>
            </w:r>
            <w:r w:rsidR="00F460AB">
              <w:rPr>
                <w:lang w:val="en-GB"/>
              </w:rPr>
              <w:br/>
            </w:r>
            <w:r>
              <w:rPr>
                <w:lang w:val="en-GB"/>
              </w:rPr>
              <w:t>($)</w:t>
            </w:r>
          </w:p>
        </w:tc>
        <w:tc>
          <w:tcPr>
            <w:tcW w:w="1504" w:type="dxa"/>
            <w:shd w:val="clear" w:color="auto" w:fill="6F6652" w:themeFill="accent5"/>
          </w:tcPr>
          <w:p w:rsidR="002F77B4" w:rsidRPr="00B853C4" w:rsidRDefault="002F77B4" w:rsidP="00C36DA4">
            <w:pPr>
              <w:pStyle w:val="TableDataColumnHeading"/>
              <w:rPr>
                <w:lang w:val="en-GB"/>
              </w:rPr>
            </w:pPr>
            <w:r>
              <w:rPr>
                <w:lang w:val="en-GB"/>
              </w:rPr>
              <w:t xml:space="preserve"> </w:t>
            </w:r>
            <w:r w:rsidRPr="00B853C4">
              <w:rPr>
                <w:lang w:val="en-GB"/>
              </w:rPr>
              <w:t>Difference</w:t>
            </w:r>
            <w:r>
              <w:rPr>
                <w:lang w:val="en-GB"/>
              </w:rPr>
              <w:t xml:space="preserve"> </w:t>
            </w:r>
            <w:r>
              <w:rPr>
                <w:lang w:val="en-GB"/>
              </w:rPr>
              <w:br/>
            </w:r>
            <w:r w:rsidR="00F460AB">
              <w:rPr>
                <w:lang w:val="en-GB"/>
              </w:rPr>
              <w:br/>
            </w:r>
            <w:r w:rsidR="00F460AB">
              <w:rPr>
                <w:lang w:val="en-GB"/>
              </w:rPr>
              <w:br/>
            </w:r>
            <w:r>
              <w:rPr>
                <w:lang w:val="en-GB"/>
              </w:rPr>
              <w:t>(per cent)</w:t>
            </w:r>
          </w:p>
        </w:tc>
      </w:tr>
      <w:tr w:rsidR="002F77B4" w:rsidTr="00A869C3">
        <w:trPr>
          <w:trHeight w:val="230"/>
        </w:trPr>
        <w:tc>
          <w:tcPr>
            <w:tcW w:w="1712"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jc w:val="left"/>
              <w:rPr>
                <w:lang w:val="en-GB"/>
              </w:rPr>
            </w:pPr>
            <w:r w:rsidRPr="0077493C">
              <w:rPr>
                <w:lang w:val="en-GB"/>
              </w:rPr>
              <w:t>Option 1 (Silver)</w:t>
            </w:r>
          </w:p>
        </w:tc>
        <w:tc>
          <w:tcPr>
            <w:tcW w:w="1713"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jc w:val="left"/>
              <w:rPr>
                <w:lang w:val="en-GB"/>
              </w:rPr>
            </w:pPr>
            <w:r>
              <w:rPr>
                <w:lang w:val="en-GB"/>
              </w:rPr>
              <w:t>Separate house</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903</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1 534</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-41</w:t>
            </w:r>
          </w:p>
        </w:tc>
      </w:tr>
      <w:tr w:rsidR="002F77B4" w:rsidTr="00A869C3">
        <w:trPr>
          <w:trHeight w:val="230"/>
        </w:trPr>
        <w:tc>
          <w:tcPr>
            <w:tcW w:w="1712"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jc w:val="left"/>
              <w:rPr>
                <w:lang w:val="en-GB"/>
              </w:rPr>
            </w:pPr>
            <w:r w:rsidRPr="0077493C">
              <w:rPr>
                <w:lang w:val="en-GB"/>
              </w:rPr>
              <w:t>Option 1 (Silver)</w:t>
            </w:r>
          </w:p>
        </w:tc>
        <w:tc>
          <w:tcPr>
            <w:tcW w:w="1713"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jc w:val="left"/>
              <w:rPr>
                <w:lang w:val="en-GB"/>
              </w:rPr>
            </w:pPr>
            <w:r>
              <w:rPr>
                <w:lang w:val="en-GB"/>
              </w:rPr>
              <w:t>Townhouse</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1 839</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2 198</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-16</w:t>
            </w:r>
          </w:p>
        </w:tc>
      </w:tr>
      <w:tr w:rsidR="002F77B4" w:rsidTr="002F77B4">
        <w:trPr>
          <w:trHeight w:val="230"/>
        </w:trPr>
        <w:tc>
          <w:tcPr>
            <w:tcW w:w="1712"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jc w:val="left"/>
              <w:rPr>
                <w:lang w:val="en-GB"/>
              </w:rPr>
            </w:pPr>
            <w:r w:rsidRPr="0077493C">
              <w:rPr>
                <w:lang w:val="en-GB"/>
              </w:rPr>
              <w:t>Option 1 (Silver)</w:t>
            </w:r>
          </w:p>
        </w:tc>
        <w:tc>
          <w:tcPr>
            <w:tcW w:w="1713"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jc w:val="left"/>
              <w:rPr>
                <w:lang w:val="en-GB"/>
              </w:rPr>
            </w:pPr>
            <w:r>
              <w:rPr>
                <w:lang w:val="en-GB"/>
              </w:rPr>
              <w:t>Apartment</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1 611</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2 167</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-26</w:t>
            </w:r>
          </w:p>
        </w:tc>
      </w:tr>
      <w:tr w:rsidR="002F77B4" w:rsidRPr="002F77B4" w:rsidTr="00A869C3">
        <w:trPr>
          <w:trHeight w:val="230"/>
        </w:trPr>
        <w:tc>
          <w:tcPr>
            <w:tcW w:w="1712" w:type="dxa"/>
            <w:tcBorders>
              <w:top w:val="single" w:sz="8" w:space="0" w:color="FFFFFF" w:themeColor="background1"/>
              <w:bottom w:val="single" w:sz="8" w:space="0" w:color="FFFFFF" w:themeColor="background1"/>
            </w:tcBorders>
            <w:shd w:val="clear" w:color="auto" w:fill="C2DADB" w:themeFill="accent6" w:themeFillTint="99"/>
          </w:tcPr>
          <w:p w:rsidR="002F77B4" w:rsidRPr="002F77B4" w:rsidRDefault="002F77B4" w:rsidP="002F77B4">
            <w:pPr>
              <w:pStyle w:val="TableDataEntries"/>
              <w:jc w:val="left"/>
              <w:rPr>
                <w:rFonts w:ascii="Franklin Gothic Demi" w:hAnsi="Franklin Gothic Demi"/>
                <w:lang w:val="en-GB"/>
              </w:rPr>
            </w:pPr>
            <w:r w:rsidRPr="002F77B4">
              <w:rPr>
                <w:rFonts w:ascii="Franklin Gothic Demi" w:hAnsi="Franklin Gothic Demi"/>
                <w:lang w:val="en-GB"/>
              </w:rPr>
              <w:t>Option 1 (Silver)</w:t>
            </w:r>
          </w:p>
        </w:tc>
        <w:tc>
          <w:tcPr>
            <w:tcW w:w="1713" w:type="dxa"/>
            <w:tcBorders>
              <w:top w:val="single" w:sz="8" w:space="0" w:color="FFFFFF" w:themeColor="background1"/>
              <w:bottom w:val="single" w:sz="8" w:space="0" w:color="FFFFFF" w:themeColor="background1"/>
            </w:tcBorders>
            <w:shd w:val="clear" w:color="auto" w:fill="C2DADB" w:themeFill="accent6" w:themeFillTint="99"/>
          </w:tcPr>
          <w:p w:rsidR="002F77B4" w:rsidRPr="002F77B4" w:rsidRDefault="002F77B4" w:rsidP="002F77B4">
            <w:pPr>
              <w:pStyle w:val="TableDataEntries"/>
              <w:jc w:val="left"/>
              <w:rPr>
                <w:rFonts w:ascii="Franklin Gothic Demi" w:hAnsi="Franklin Gothic Demi"/>
                <w:lang w:val="en-GB"/>
              </w:rPr>
            </w:pPr>
            <w:r w:rsidRPr="002F77B4">
              <w:rPr>
                <w:rFonts w:ascii="Franklin Gothic Demi" w:hAnsi="Franklin Gothic Demi"/>
                <w:lang w:val="en-GB"/>
              </w:rPr>
              <w:t>Weighted average</w:t>
            </w:r>
          </w:p>
        </w:tc>
        <w:tc>
          <w:tcPr>
            <w:tcW w:w="1504" w:type="dxa"/>
            <w:tcBorders>
              <w:top w:val="single" w:sz="8" w:space="0" w:color="FFFFFF" w:themeColor="background1"/>
              <w:bottom w:val="single" w:sz="8" w:space="0" w:color="FFFFFF" w:themeColor="background1"/>
            </w:tcBorders>
            <w:shd w:val="clear" w:color="auto" w:fill="C2DADB" w:themeFill="accent6" w:themeFillTint="99"/>
          </w:tcPr>
          <w:p w:rsidR="002F77B4" w:rsidRPr="002F77B4" w:rsidRDefault="002F77B4" w:rsidP="002F77B4">
            <w:pPr>
              <w:pStyle w:val="TableDataEntries"/>
              <w:rPr>
                <w:rFonts w:ascii="Franklin Gothic Demi" w:hAnsi="Franklin Gothic Demi"/>
                <w:lang w:val="en-GB"/>
              </w:rPr>
            </w:pPr>
          </w:p>
        </w:tc>
        <w:tc>
          <w:tcPr>
            <w:tcW w:w="1504" w:type="dxa"/>
            <w:tcBorders>
              <w:top w:val="single" w:sz="8" w:space="0" w:color="FFFFFF" w:themeColor="background1"/>
              <w:bottom w:val="single" w:sz="8" w:space="0" w:color="FFFFFF" w:themeColor="background1"/>
            </w:tcBorders>
            <w:shd w:val="clear" w:color="auto" w:fill="C2DADB" w:themeFill="accent6" w:themeFillTint="99"/>
          </w:tcPr>
          <w:p w:rsidR="002F77B4" w:rsidRPr="002F77B4" w:rsidRDefault="002F77B4" w:rsidP="002F77B4">
            <w:pPr>
              <w:pStyle w:val="TableDataEntries"/>
              <w:rPr>
                <w:rFonts w:ascii="Franklin Gothic Demi" w:hAnsi="Franklin Gothic Demi"/>
                <w:lang w:val="en-GB"/>
              </w:rPr>
            </w:pPr>
          </w:p>
        </w:tc>
        <w:tc>
          <w:tcPr>
            <w:tcW w:w="1504" w:type="dxa"/>
            <w:tcBorders>
              <w:top w:val="single" w:sz="8" w:space="0" w:color="FFFFFF" w:themeColor="background1"/>
              <w:bottom w:val="single" w:sz="8" w:space="0" w:color="FFFFFF" w:themeColor="background1"/>
            </w:tcBorders>
            <w:shd w:val="clear" w:color="auto" w:fill="C2DADB" w:themeFill="accent6" w:themeFillTint="99"/>
          </w:tcPr>
          <w:p w:rsidR="002F77B4" w:rsidRPr="002F77B4" w:rsidRDefault="002F77B4" w:rsidP="002F77B4">
            <w:pPr>
              <w:pStyle w:val="TableDataEntries"/>
              <w:rPr>
                <w:rFonts w:ascii="Franklin Gothic Demi" w:hAnsi="Franklin Gothic Demi"/>
                <w:lang w:val="en-GB"/>
              </w:rPr>
            </w:pPr>
            <w:r w:rsidRPr="002F77B4">
              <w:rPr>
                <w:rFonts w:ascii="Franklin Gothic Demi" w:hAnsi="Franklin Gothic Demi"/>
                <w:lang w:val="en-GB"/>
              </w:rPr>
              <w:t>-31</w:t>
            </w:r>
          </w:p>
        </w:tc>
      </w:tr>
      <w:tr w:rsidR="002F77B4" w:rsidTr="00A869C3">
        <w:trPr>
          <w:trHeight w:val="230"/>
        </w:trPr>
        <w:tc>
          <w:tcPr>
            <w:tcW w:w="1712"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jc w:val="left"/>
              <w:rPr>
                <w:lang w:val="en-GB"/>
              </w:rPr>
            </w:pPr>
            <w:r w:rsidRPr="00B51F06">
              <w:rPr>
                <w:lang w:val="en-GB"/>
              </w:rPr>
              <w:t>Option 2 (Gold)</w:t>
            </w:r>
          </w:p>
        </w:tc>
        <w:tc>
          <w:tcPr>
            <w:tcW w:w="1713"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jc w:val="left"/>
              <w:rPr>
                <w:lang w:val="en-GB"/>
              </w:rPr>
            </w:pPr>
            <w:r>
              <w:rPr>
                <w:lang w:val="en-GB"/>
              </w:rPr>
              <w:t>Separate house</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7 080</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9 740</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-27</w:t>
            </w:r>
          </w:p>
        </w:tc>
      </w:tr>
      <w:tr w:rsidR="002F77B4" w:rsidTr="00A869C3">
        <w:trPr>
          <w:trHeight w:val="230"/>
        </w:trPr>
        <w:tc>
          <w:tcPr>
            <w:tcW w:w="1712"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jc w:val="left"/>
              <w:rPr>
                <w:lang w:val="en-GB"/>
              </w:rPr>
            </w:pPr>
            <w:r w:rsidRPr="00B51F06">
              <w:rPr>
                <w:lang w:val="en-GB"/>
              </w:rPr>
              <w:t>Option 2 (Gold)</w:t>
            </w:r>
          </w:p>
        </w:tc>
        <w:tc>
          <w:tcPr>
            <w:tcW w:w="1713"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jc w:val="left"/>
              <w:rPr>
                <w:lang w:val="en-GB"/>
              </w:rPr>
            </w:pPr>
            <w:r>
              <w:rPr>
                <w:lang w:val="en-GB"/>
              </w:rPr>
              <w:t>Townhouse</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12 398</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14 975</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-16</w:t>
            </w:r>
          </w:p>
        </w:tc>
      </w:tr>
      <w:tr w:rsidR="002F77B4" w:rsidTr="00A869C3">
        <w:trPr>
          <w:trHeight w:val="230"/>
        </w:trPr>
        <w:tc>
          <w:tcPr>
            <w:tcW w:w="1712"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jc w:val="left"/>
              <w:rPr>
                <w:lang w:val="en-GB"/>
              </w:rPr>
            </w:pPr>
            <w:r w:rsidRPr="00B51F06">
              <w:rPr>
                <w:lang w:val="en-GB"/>
              </w:rPr>
              <w:t>Option 2 (Gold)</w:t>
            </w:r>
          </w:p>
        </w:tc>
        <w:tc>
          <w:tcPr>
            <w:tcW w:w="1713"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jc w:val="left"/>
              <w:rPr>
                <w:lang w:val="en-GB"/>
              </w:rPr>
            </w:pPr>
            <w:r>
              <w:rPr>
                <w:lang w:val="en-GB"/>
              </w:rPr>
              <w:t>Apartment</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8 595</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13 000</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-37</w:t>
            </w:r>
          </w:p>
        </w:tc>
      </w:tr>
      <w:tr w:rsidR="002F77B4" w:rsidRPr="002F77B4" w:rsidTr="00A869C3">
        <w:trPr>
          <w:trHeight w:val="230"/>
        </w:trPr>
        <w:tc>
          <w:tcPr>
            <w:tcW w:w="1712" w:type="dxa"/>
            <w:tcBorders>
              <w:top w:val="single" w:sz="8" w:space="0" w:color="FFFFFF" w:themeColor="background1"/>
              <w:bottom w:val="single" w:sz="8" w:space="0" w:color="FFFFFF" w:themeColor="background1"/>
            </w:tcBorders>
            <w:shd w:val="clear" w:color="auto" w:fill="C2DADB" w:themeFill="accent6" w:themeFillTint="99"/>
          </w:tcPr>
          <w:p w:rsidR="002F77B4" w:rsidRPr="002F77B4" w:rsidRDefault="002F77B4" w:rsidP="002F77B4">
            <w:pPr>
              <w:pStyle w:val="TableDataEntries"/>
              <w:jc w:val="left"/>
              <w:rPr>
                <w:rFonts w:ascii="Franklin Gothic Demi" w:hAnsi="Franklin Gothic Demi"/>
                <w:lang w:val="en-GB"/>
              </w:rPr>
            </w:pPr>
            <w:r w:rsidRPr="002F77B4">
              <w:rPr>
                <w:rFonts w:ascii="Franklin Gothic Demi" w:hAnsi="Franklin Gothic Demi"/>
                <w:lang w:val="en-GB"/>
              </w:rPr>
              <w:t>Option 2 (Gold)</w:t>
            </w:r>
          </w:p>
        </w:tc>
        <w:tc>
          <w:tcPr>
            <w:tcW w:w="1713" w:type="dxa"/>
            <w:tcBorders>
              <w:top w:val="single" w:sz="8" w:space="0" w:color="FFFFFF" w:themeColor="background1"/>
              <w:bottom w:val="single" w:sz="8" w:space="0" w:color="FFFFFF" w:themeColor="background1"/>
            </w:tcBorders>
            <w:shd w:val="clear" w:color="auto" w:fill="C2DADB" w:themeFill="accent6" w:themeFillTint="99"/>
          </w:tcPr>
          <w:p w:rsidR="002F77B4" w:rsidRPr="002F77B4" w:rsidRDefault="002F77B4" w:rsidP="002F77B4">
            <w:pPr>
              <w:pStyle w:val="TableDataEntries"/>
              <w:jc w:val="left"/>
              <w:rPr>
                <w:rFonts w:ascii="Franklin Gothic Demi" w:hAnsi="Franklin Gothic Demi"/>
                <w:lang w:val="en-GB"/>
              </w:rPr>
            </w:pPr>
            <w:r w:rsidRPr="002F77B4">
              <w:rPr>
                <w:rFonts w:ascii="Franklin Gothic Demi" w:hAnsi="Franklin Gothic Demi"/>
                <w:lang w:val="en-GB"/>
              </w:rPr>
              <w:t>Weighted average</w:t>
            </w:r>
          </w:p>
        </w:tc>
        <w:tc>
          <w:tcPr>
            <w:tcW w:w="1504" w:type="dxa"/>
            <w:tcBorders>
              <w:top w:val="single" w:sz="8" w:space="0" w:color="FFFFFF" w:themeColor="background1"/>
              <w:bottom w:val="single" w:sz="8" w:space="0" w:color="FFFFFF" w:themeColor="background1"/>
            </w:tcBorders>
            <w:shd w:val="clear" w:color="auto" w:fill="C2DADB" w:themeFill="accent6" w:themeFillTint="99"/>
          </w:tcPr>
          <w:p w:rsidR="002F77B4" w:rsidRPr="002F77B4" w:rsidRDefault="002F77B4" w:rsidP="002F77B4">
            <w:pPr>
              <w:pStyle w:val="TableDataEntries"/>
              <w:rPr>
                <w:rFonts w:ascii="Franklin Gothic Demi" w:hAnsi="Franklin Gothic Demi"/>
                <w:lang w:val="en-GB"/>
              </w:rPr>
            </w:pPr>
          </w:p>
        </w:tc>
        <w:tc>
          <w:tcPr>
            <w:tcW w:w="1504" w:type="dxa"/>
            <w:tcBorders>
              <w:top w:val="single" w:sz="8" w:space="0" w:color="FFFFFF" w:themeColor="background1"/>
              <w:bottom w:val="single" w:sz="8" w:space="0" w:color="FFFFFF" w:themeColor="background1"/>
            </w:tcBorders>
            <w:shd w:val="clear" w:color="auto" w:fill="C2DADB" w:themeFill="accent6" w:themeFillTint="99"/>
          </w:tcPr>
          <w:p w:rsidR="002F77B4" w:rsidRPr="002F77B4" w:rsidRDefault="002F77B4" w:rsidP="002F77B4">
            <w:pPr>
              <w:pStyle w:val="TableDataEntries"/>
              <w:rPr>
                <w:rFonts w:ascii="Franklin Gothic Demi" w:hAnsi="Franklin Gothic Demi"/>
                <w:lang w:val="en-GB"/>
              </w:rPr>
            </w:pPr>
          </w:p>
        </w:tc>
        <w:tc>
          <w:tcPr>
            <w:tcW w:w="1504" w:type="dxa"/>
            <w:tcBorders>
              <w:top w:val="single" w:sz="8" w:space="0" w:color="FFFFFF" w:themeColor="background1"/>
              <w:bottom w:val="single" w:sz="8" w:space="0" w:color="FFFFFF" w:themeColor="background1"/>
            </w:tcBorders>
            <w:shd w:val="clear" w:color="auto" w:fill="C2DADB" w:themeFill="accent6" w:themeFillTint="99"/>
          </w:tcPr>
          <w:p w:rsidR="002F77B4" w:rsidRPr="002F77B4" w:rsidRDefault="002F77B4" w:rsidP="002F77B4">
            <w:pPr>
              <w:pStyle w:val="TableDataEntries"/>
              <w:rPr>
                <w:rFonts w:ascii="Franklin Gothic Demi" w:hAnsi="Franklin Gothic Demi"/>
                <w:lang w:val="en-GB"/>
              </w:rPr>
            </w:pPr>
            <w:r w:rsidRPr="002F77B4">
              <w:rPr>
                <w:rFonts w:ascii="Franklin Gothic Demi" w:hAnsi="Franklin Gothic Demi"/>
                <w:lang w:val="en-GB"/>
              </w:rPr>
              <w:t>-27</w:t>
            </w:r>
          </w:p>
        </w:tc>
      </w:tr>
      <w:tr w:rsidR="002F77B4" w:rsidTr="00A869C3">
        <w:trPr>
          <w:trHeight w:val="230"/>
        </w:trPr>
        <w:tc>
          <w:tcPr>
            <w:tcW w:w="1712"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jc w:val="left"/>
              <w:rPr>
                <w:lang w:val="en-GB"/>
              </w:rPr>
            </w:pPr>
            <w:r w:rsidRPr="00191AF9">
              <w:rPr>
                <w:lang w:val="en-GB"/>
              </w:rPr>
              <w:t>Option 3 (Gold+)</w:t>
            </w:r>
          </w:p>
        </w:tc>
        <w:tc>
          <w:tcPr>
            <w:tcW w:w="1713"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jc w:val="left"/>
              <w:rPr>
                <w:lang w:val="en-GB"/>
              </w:rPr>
            </w:pPr>
            <w:r>
              <w:rPr>
                <w:lang w:val="en-GB"/>
              </w:rPr>
              <w:t>Separate house</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9 566</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12 219</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-22</w:t>
            </w:r>
          </w:p>
        </w:tc>
      </w:tr>
      <w:tr w:rsidR="002F77B4" w:rsidTr="00A869C3">
        <w:trPr>
          <w:trHeight w:val="230"/>
        </w:trPr>
        <w:tc>
          <w:tcPr>
            <w:tcW w:w="1712"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jc w:val="left"/>
              <w:rPr>
                <w:lang w:val="en-GB"/>
              </w:rPr>
            </w:pPr>
            <w:r w:rsidRPr="00191AF9">
              <w:rPr>
                <w:lang w:val="en-GB"/>
              </w:rPr>
              <w:t>Option 3 (Gold+)</w:t>
            </w:r>
          </w:p>
        </w:tc>
        <w:tc>
          <w:tcPr>
            <w:tcW w:w="1713"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jc w:val="left"/>
              <w:rPr>
                <w:lang w:val="en-GB"/>
              </w:rPr>
            </w:pPr>
            <w:r>
              <w:rPr>
                <w:lang w:val="en-GB"/>
              </w:rPr>
              <w:t>Townhouse</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14 976</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17 051</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-12</w:t>
            </w:r>
          </w:p>
        </w:tc>
      </w:tr>
      <w:tr w:rsidR="002F77B4" w:rsidTr="00A869C3">
        <w:trPr>
          <w:trHeight w:val="230"/>
        </w:trPr>
        <w:tc>
          <w:tcPr>
            <w:tcW w:w="1712"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jc w:val="left"/>
              <w:rPr>
                <w:lang w:val="en-GB"/>
              </w:rPr>
            </w:pPr>
            <w:r w:rsidRPr="00191AF9">
              <w:rPr>
                <w:lang w:val="en-GB"/>
              </w:rPr>
              <w:t>Option 3 (Gold+)</w:t>
            </w:r>
          </w:p>
        </w:tc>
        <w:tc>
          <w:tcPr>
            <w:tcW w:w="1713"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jc w:val="left"/>
              <w:rPr>
                <w:lang w:val="en-GB"/>
              </w:rPr>
            </w:pPr>
            <w:r>
              <w:rPr>
                <w:lang w:val="en-GB"/>
              </w:rPr>
              <w:t>Apartment</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10 804</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15 737</w:t>
            </w:r>
          </w:p>
        </w:tc>
        <w:tc>
          <w:tcPr>
            <w:tcW w:w="1504" w:type="dxa"/>
            <w:tcBorders>
              <w:top w:val="single" w:sz="8" w:space="0" w:color="FFFFFF" w:themeColor="background1"/>
              <w:bottom w:val="single" w:sz="8" w:space="0" w:color="FFFFFF" w:themeColor="background1"/>
            </w:tcBorders>
            <w:shd w:val="clear" w:color="auto" w:fill="E9E8E5" w:themeFill="background2"/>
          </w:tcPr>
          <w:p w:rsidR="002F77B4" w:rsidRDefault="002F77B4" w:rsidP="002F77B4">
            <w:pPr>
              <w:pStyle w:val="TableDataEntries"/>
              <w:rPr>
                <w:lang w:val="en-GB"/>
              </w:rPr>
            </w:pPr>
            <w:r>
              <w:rPr>
                <w:lang w:val="en-GB"/>
              </w:rPr>
              <w:t>-31</w:t>
            </w:r>
          </w:p>
        </w:tc>
      </w:tr>
      <w:tr w:rsidR="002F77B4" w:rsidRPr="002F77B4" w:rsidTr="00A869C3">
        <w:trPr>
          <w:trHeight w:val="230"/>
        </w:trPr>
        <w:tc>
          <w:tcPr>
            <w:tcW w:w="1712" w:type="dxa"/>
            <w:tcBorders>
              <w:top w:val="single" w:sz="8" w:space="0" w:color="FFFFFF" w:themeColor="background1"/>
              <w:bottom w:val="single" w:sz="4" w:space="0" w:color="6F6652" w:themeColor="accent5"/>
            </w:tcBorders>
            <w:shd w:val="clear" w:color="auto" w:fill="C2DADB" w:themeFill="accent6" w:themeFillTint="99"/>
          </w:tcPr>
          <w:p w:rsidR="002F77B4" w:rsidRPr="002F77B4" w:rsidRDefault="002F77B4" w:rsidP="002F77B4">
            <w:pPr>
              <w:pStyle w:val="TableDataEntries"/>
              <w:jc w:val="left"/>
              <w:rPr>
                <w:rFonts w:ascii="Franklin Gothic Demi" w:hAnsi="Franklin Gothic Demi"/>
                <w:lang w:val="en-GB"/>
              </w:rPr>
            </w:pPr>
            <w:r w:rsidRPr="002F77B4">
              <w:rPr>
                <w:rFonts w:ascii="Franklin Gothic Demi" w:hAnsi="Franklin Gothic Demi"/>
                <w:lang w:val="en-GB"/>
              </w:rPr>
              <w:lastRenderedPageBreak/>
              <w:t>Option 3 (Gold+)</w:t>
            </w:r>
          </w:p>
        </w:tc>
        <w:tc>
          <w:tcPr>
            <w:tcW w:w="1713" w:type="dxa"/>
            <w:tcBorders>
              <w:top w:val="single" w:sz="8" w:space="0" w:color="FFFFFF" w:themeColor="background1"/>
              <w:bottom w:val="single" w:sz="4" w:space="0" w:color="6F6652" w:themeColor="accent5"/>
            </w:tcBorders>
            <w:shd w:val="clear" w:color="auto" w:fill="C2DADB" w:themeFill="accent6" w:themeFillTint="99"/>
          </w:tcPr>
          <w:p w:rsidR="002F77B4" w:rsidRPr="002F77B4" w:rsidRDefault="002F77B4" w:rsidP="002F77B4">
            <w:pPr>
              <w:pStyle w:val="TableDataEntries"/>
              <w:jc w:val="left"/>
              <w:rPr>
                <w:rFonts w:ascii="Franklin Gothic Demi" w:hAnsi="Franklin Gothic Demi"/>
                <w:lang w:val="en-GB"/>
              </w:rPr>
            </w:pPr>
            <w:r w:rsidRPr="002F77B4">
              <w:rPr>
                <w:rFonts w:ascii="Franklin Gothic Demi" w:hAnsi="Franklin Gothic Demi"/>
                <w:lang w:val="en-GB"/>
              </w:rPr>
              <w:t>Weighted average</w:t>
            </w:r>
          </w:p>
        </w:tc>
        <w:tc>
          <w:tcPr>
            <w:tcW w:w="1504" w:type="dxa"/>
            <w:tcBorders>
              <w:top w:val="single" w:sz="8" w:space="0" w:color="FFFFFF" w:themeColor="background1"/>
              <w:bottom w:val="single" w:sz="4" w:space="0" w:color="6F6652" w:themeColor="accent5"/>
            </w:tcBorders>
            <w:shd w:val="clear" w:color="auto" w:fill="C2DADB" w:themeFill="accent6" w:themeFillTint="99"/>
          </w:tcPr>
          <w:p w:rsidR="002F77B4" w:rsidRPr="002F77B4" w:rsidRDefault="002F77B4" w:rsidP="002F77B4">
            <w:pPr>
              <w:pStyle w:val="TableDataEntries"/>
              <w:rPr>
                <w:rFonts w:ascii="Franklin Gothic Demi" w:hAnsi="Franklin Gothic Demi"/>
                <w:lang w:val="en-GB"/>
              </w:rPr>
            </w:pPr>
          </w:p>
        </w:tc>
        <w:tc>
          <w:tcPr>
            <w:tcW w:w="1504" w:type="dxa"/>
            <w:tcBorders>
              <w:top w:val="single" w:sz="8" w:space="0" w:color="FFFFFF" w:themeColor="background1"/>
              <w:bottom w:val="single" w:sz="4" w:space="0" w:color="6F6652" w:themeColor="accent5"/>
            </w:tcBorders>
            <w:shd w:val="clear" w:color="auto" w:fill="C2DADB" w:themeFill="accent6" w:themeFillTint="99"/>
          </w:tcPr>
          <w:p w:rsidR="002F77B4" w:rsidRPr="002F77B4" w:rsidRDefault="002F77B4" w:rsidP="002F77B4">
            <w:pPr>
              <w:pStyle w:val="TableDataEntries"/>
              <w:rPr>
                <w:rFonts w:ascii="Franklin Gothic Demi" w:hAnsi="Franklin Gothic Demi"/>
                <w:lang w:val="en-GB"/>
              </w:rPr>
            </w:pPr>
          </w:p>
        </w:tc>
        <w:tc>
          <w:tcPr>
            <w:tcW w:w="1504" w:type="dxa"/>
            <w:tcBorders>
              <w:top w:val="single" w:sz="8" w:space="0" w:color="FFFFFF" w:themeColor="background1"/>
              <w:bottom w:val="single" w:sz="4" w:space="0" w:color="6F6652" w:themeColor="accent5"/>
            </w:tcBorders>
            <w:shd w:val="clear" w:color="auto" w:fill="C2DADB" w:themeFill="accent6" w:themeFillTint="99"/>
          </w:tcPr>
          <w:p w:rsidR="002F77B4" w:rsidRPr="002F77B4" w:rsidRDefault="002F77B4" w:rsidP="002F77B4">
            <w:pPr>
              <w:pStyle w:val="TableDataEntries"/>
              <w:rPr>
                <w:rFonts w:ascii="Franklin Gothic Demi" w:hAnsi="Franklin Gothic Demi"/>
                <w:lang w:val="en-GB"/>
              </w:rPr>
            </w:pPr>
            <w:r w:rsidRPr="002F77B4">
              <w:rPr>
                <w:rFonts w:ascii="Franklin Gothic Demi" w:hAnsi="Franklin Gothic Demi"/>
                <w:lang w:val="en-GB"/>
              </w:rPr>
              <w:t>-23</w:t>
            </w:r>
          </w:p>
        </w:tc>
      </w:tr>
    </w:tbl>
    <w:p w:rsidR="007C6A5F" w:rsidRDefault="007C6A5F" w:rsidP="007C6A5F">
      <w:pPr>
        <w:pStyle w:val="Source"/>
        <w:rPr>
          <w:lang w:bidi="fa-IR"/>
        </w:rPr>
      </w:pPr>
      <w:r w:rsidRPr="00BD566D">
        <w:rPr>
          <w:i/>
          <w:lang w:bidi="fa-IR"/>
        </w:rPr>
        <w:t>Source:</w:t>
      </w:r>
      <w:r>
        <w:rPr>
          <w:lang w:bidi="fa-IR"/>
        </w:rPr>
        <w:t xml:space="preserve"> DCWC, CIE.</w:t>
      </w:r>
    </w:p>
    <w:p w:rsidR="007C6A5F" w:rsidRDefault="007C6A5F" w:rsidP="007C6A5F">
      <w:pPr>
        <w:pStyle w:val="BodyText"/>
        <w:rPr>
          <w:lang w:bidi="fa-IR"/>
        </w:rPr>
      </w:pPr>
      <w:r>
        <w:rPr>
          <w:lang w:bidi="fa-IR"/>
        </w:rPr>
        <w:t>Although the extent to which the provision of accessible design features under the baseline scenario would reduce the benefits attributable to the proposed changes to the NCC is not known, it may be reasonable to suggest that the benefits would be reduced by around the same magnitude as the costs.</w:t>
      </w:r>
    </w:p>
    <w:p w:rsidR="007C6A5F" w:rsidRDefault="007C6A5F" w:rsidP="007C6A5F">
      <w:pPr>
        <w:pStyle w:val="BodyText"/>
        <w:rPr>
          <w:lang w:bidi="fa-IR"/>
        </w:rPr>
      </w:pPr>
      <w:r>
        <w:rPr>
          <w:lang w:bidi="fa-IR"/>
        </w:rPr>
        <w:t>This approach implicitly assumes that the benefits of the various accessibility features are proportional to the cost. Although there is no particular reason why this should be the case, it is also plausible that consumers are choosing features where the benefits are highest relative to cost. This means that reducing the benefits in proportion to cost is more likely to understate the reduction in benefits as a result of baseline effects.</w:t>
      </w:r>
    </w:p>
    <w:p w:rsidR="007C6A5F" w:rsidRDefault="007C6A5F" w:rsidP="007C6A5F">
      <w:pPr>
        <w:pStyle w:val="KeyPoint"/>
        <w:rPr>
          <w:lang w:bidi="fa-IR"/>
        </w:rPr>
      </w:pPr>
      <w:r w:rsidRPr="00722EF7">
        <w:rPr>
          <w:lang w:bidi="fa-IR"/>
        </w:rPr>
        <w:t>To reflect the provision of accessible design features under the baseline scenario, we reduce benefits b</w:t>
      </w:r>
      <w:r>
        <w:rPr>
          <w:lang w:bidi="fa-IR"/>
        </w:rPr>
        <w:t>ased on the extent to which the provision of these design features reduces the weighted average cost. Specifically, we reduce the benefits by:</w:t>
      </w:r>
    </w:p>
    <w:p w:rsidR="007C6A5F" w:rsidRDefault="007C6A5F" w:rsidP="007C6A5F">
      <w:pPr>
        <w:pStyle w:val="KeyPoint2"/>
        <w:rPr>
          <w:lang w:bidi="fa-IR"/>
        </w:rPr>
      </w:pPr>
      <w:r w:rsidRPr="00722EF7">
        <w:rPr>
          <w:lang w:bidi="fa-IR"/>
        </w:rPr>
        <w:t>3</w:t>
      </w:r>
      <w:r w:rsidR="00F64A98">
        <w:rPr>
          <w:lang w:bidi="fa-IR"/>
        </w:rPr>
        <w:t>1</w:t>
      </w:r>
      <w:r w:rsidRPr="00722EF7">
        <w:rPr>
          <w:lang w:bidi="fa-IR"/>
        </w:rPr>
        <w:t> per cent</w:t>
      </w:r>
      <w:r>
        <w:rPr>
          <w:lang w:bidi="fa-IR"/>
        </w:rPr>
        <w:t xml:space="preserve"> for Silver (Option 1)</w:t>
      </w:r>
    </w:p>
    <w:p w:rsidR="007C6A5F" w:rsidRDefault="007C6A5F" w:rsidP="007C6A5F">
      <w:pPr>
        <w:pStyle w:val="KeyPoint2"/>
        <w:rPr>
          <w:lang w:bidi="fa-IR"/>
        </w:rPr>
      </w:pPr>
      <w:r>
        <w:rPr>
          <w:lang w:bidi="fa-IR"/>
        </w:rPr>
        <w:t>27 per cent for Gold (Option 2)</w:t>
      </w:r>
    </w:p>
    <w:p w:rsidR="007C6A5F" w:rsidRPr="00722EF7" w:rsidRDefault="007C6A5F" w:rsidP="007C6A5F">
      <w:pPr>
        <w:pStyle w:val="KeyPoint2"/>
        <w:rPr>
          <w:lang w:bidi="fa-IR"/>
        </w:rPr>
      </w:pPr>
      <w:r>
        <w:rPr>
          <w:lang w:bidi="fa-IR"/>
        </w:rPr>
        <w:t>23 per cent for Gold+ (Option 3)</w:t>
      </w:r>
      <w:r w:rsidRPr="00722EF7">
        <w:rPr>
          <w:lang w:bidi="fa-IR"/>
        </w:rPr>
        <w:t>.</w:t>
      </w:r>
    </w:p>
    <w:p w:rsidR="007C6A5F" w:rsidRDefault="007C6A5F" w:rsidP="007C6A5F">
      <w:pPr>
        <w:pStyle w:val="Invisiblepara"/>
      </w:pPr>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Box 6.2"/>
        <w:tblDescription w:val="Questions for stakeholders"/>
      </w:tblPr>
      <w:tblGrid>
        <w:gridCol w:w="7938"/>
      </w:tblGrid>
      <w:tr w:rsidR="007C6A5F" w:rsidRPr="00E05C8C" w:rsidTr="006862A5">
        <w:trPr>
          <w:tblHeader/>
        </w:trPr>
        <w:tc>
          <w:tcPr>
            <w:tcW w:w="7938" w:type="dxa"/>
            <w:shd w:val="clear" w:color="auto" w:fill="C6BFAB" w:themeFill="accent3"/>
          </w:tcPr>
          <w:p w:rsidR="007C6A5F" w:rsidRPr="00E05C8C" w:rsidRDefault="007C6A5F" w:rsidP="005A6F87">
            <w:pPr>
              <w:pStyle w:val="Caption"/>
              <w:numPr>
                <w:ilvl w:val="0"/>
                <w:numId w:val="13"/>
              </w:numPr>
              <w:spacing w:before="120" w:after="100"/>
            </w:pPr>
            <w:r w:rsidRPr="00E05C8C">
              <w:fldChar w:fldCharType="begin"/>
            </w:r>
            <w:r w:rsidRPr="00E05C8C">
              <w:instrText xml:space="preserve"> IF 1 = 1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E05C8C">
              <w:instrText xml:space="preserve"> = 0 ""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E05C8C">
              <w:instrText xml:space="preserve">." </w:instrText>
            </w:r>
            <w:r w:rsidRPr="00E05C8C">
              <w:fldChar w:fldCharType="separate"/>
            </w:r>
            <w:r>
              <w:rPr>
                <w:noProof/>
              </w:rPr>
              <w:instrText>6</w:instrText>
            </w:r>
            <w:r w:rsidRPr="00E05C8C">
              <w:rPr>
                <w:noProof/>
              </w:rPr>
              <w:instrText>.</w:instrText>
            </w:r>
            <w:r w:rsidRPr="00E05C8C">
              <w:fldChar w:fldCharType="end"/>
            </w:r>
            <w:r w:rsidRPr="00E05C8C">
              <w:instrText>" "</w:instrText>
            </w:r>
            <w:r w:rsidR="00F56BFF">
              <w:fldChar w:fldCharType="begin"/>
            </w:r>
            <w:r w:rsidR="00F56BFF">
              <w:instrText xml:space="preserve"> STYLEREF "Heading 6" \l \n </w:instrText>
            </w:r>
            <w:r w:rsidR="00F56BFF">
              <w:fldChar w:fldCharType="separate"/>
            </w:r>
            <w:r w:rsidRPr="00E05C8C">
              <w:instrText>B</w:instrText>
            </w:r>
            <w:r w:rsidR="00F56BFF">
              <w:fldChar w:fldCharType="end"/>
            </w:r>
            <w:r w:rsidRPr="00E05C8C">
              <w:instrText xml:space="preserve">." </w:instrText>
            </w:r>
            <w:r w:rsidRPr="00E05C8C">
              <w:fldChar w:fldCharType="separate"/>
            </w:r>
            <w:r w:rsidR="00272AF3">
              <w:rPr>
                <w:noProof/>
              </w:rPr>
              <w:instrText>6</w:instrText>
            </w:r>
            <w:r w:rsidR="00272AF3"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E05C8C">
              <w:instrText xml:space="preserve"> = 0 "" "1" </w:instrText>
            </w:r>
            <w:r w:rsidRPr="00E05C8C">
              <w:fldChar w:fldCharType="separate"/>
            </w:r>
            <w:r w:rsidR="00272AF3" w:rsidRPr="00E05C8C">
              <w:rPr>
                <w:noProof/>
              </w:rPr>
              <w:instrText>1</w:instrText>
            </w:r>
            <w:r w:rsidRPr="00E05C8C">
              <w:fldChar w:fldCharType="end"/>
            </w:r>
            <w:r w:rsidRPr="00E05C8C">
              <w:instrText xml:space="preserve">" "6" </w:instrText>
            </w:r>
            <w:r w:rsidRPr="00E05C8C">
              <w:fldChar w:fldCharType="separate"/>
            </w:r>
            <w:r w:rsidR="00272AF3" w:rsidRPr="00E05C8C">
              <w:rPr>
                <w:noProof/>
              </w:rPr>
              <w:instrText>1</w:instrText>
            </w:r>
            <w:r w:rsidRPr="00E05C8C">
              <w:fldChar w:fldCharType="end"/>
            </w:r>
            <w:r w:rsidRPr="00E05C8C">
              <w:instrText xml:space="preserve"> </w:instrText>
            </w:r>
            <w:r w:rsidRPr="00E05C8C">
              <w:fldChar w:fldCharType="separate"/>
            </w:r>
            <w:r>
              <w:rPr>
                <w:noProof/>
              </w:rPr>
              <w:instrText>2</w:instrText>
            </w:r>
            <w:r w:rsidRPr="00E05C8C">
              <w:fldChar w:fldCharType="end"/>
            </w:r>
            <w:r w:rsidRPr="00E05C8C">
              <w:instrText xml:space="preserve">" "" </w:instrText>
            </w:r>
            <w:r w:rsidRPr="00E05C8C">
              <w:fldChar w:fldCharType="separate"/>
            </w:r>
            <w:bookmarkStart w:id="5567" w:name="_Caption3794"/>
            <w:bookmarkStart w:id="5568" w:name="_Caption7104"/>
            <w:bookmarkStart w:id="5569" w:name="_Caption8721"/>
            <w:bookmarkStart w:id="5570" w:name="_Caption9154"/>
            <w:bookmarkStart w:id="5571" w:name="_Caption3334"/>
            <w:bookmarkStart w:id="5572" w:name="_Caption6448"/>
            <w:bookmarkStart w:id="5573" w:name="_Toc44598541"/>
            <w:bookmarkStart w:id="5574" w:name="_Toc45654172"/>
            <w:r w:rsidR="00272AF3">
              <w:rPr>
                <w:noProof/>
              </w:rPr>
              <w:t>6</w:t>
            </w:r>
            <w:r w:rsidR="00272AF3" w:rsidRPr="00E05C8C">
              <w:rPr>
                <w:noProof/>
              </w:rPr>
              <w:t>.</w:t>
            </w:r>
            <w:r w:rsidR="00272AF3">
              <w:rPr>
                <w:noProof/>
              </w:rPr>
              <w:t>2</w:t>
            </w:r>
            <w:bookmarkEnd w:id="5567"/>
            <w:bookmarkEnd w:id="5568"/>
            <w:bookmarkEnd w:id="5569"/>
            <w:bookmarkEnd w:id="5570"/>
            <w:bookmarkEnd w:id="5571"/>
            <w:bookmarkEnd w:id="5572"/>
            <w:r w:rsidRPr="00E05C8C">
              <w:fldChar w:fldCharType="end"/>
            </w:r>
            <w:r w:rsidRPr="00E05C8C">
              <w:tab/>
            </w:r>
            <w:r>
              <w:t>Questions for stakeholders</w:t>
            </w:r>
            <w:bookmarkEnd w:id="5573"/>
            <w:bookmarkEnd w:id="5574"/>
          </w:p>
        </w:tc>
      </w:tr>
      <w:tr w:rsidR="007C6A5F" w:rsidTr="00B5160B">
        <w:tc>
          <w:tcPr>
            <w:tcW w:w="7938" w:type="dxa"/>
            <w:tcBorders>
              <w:bottom w:val="single" w:sz="4" w:space="0" w:color="9B917E" w:themeColor="accent4"/>
            </w:tcBorders>
            <w:shd w:val="clear" w:color="auto" w:fill="E9E8E5" w:themeFill="background2"/>
          </w:tcPr>
          <w:p w:rsidR="005600BF" w:rsidRDefault="005600BF" w:rsidP="005600BF">
            <w:pPr>
              <w:pStyle w:val="ListBullet"/>
              <w:numPr>
                <w:ilvl w:val="0"/>
                <w:numId w:val="17"/>
              </w:numPr>
            </w:pPr>
            <w:r>
              <w:t>Are our assumptions relating to the occupation of accessible housing by owner occupiers and renters over time reasonable</w:t>
            </w:r>
            <w:r w:rsidRPr="00A82F9F">
              <w:t>? What additional evidence could we consider to make these assumptions more robust?</w:t>
            </w:r>
          </w:p>
          <w:p w:rsidR="005600BF" w:rsidRDefault="005600BF" w:rsidP="005600BF">
            <w:pPr>
              <w:pStyle w:val="ListBullet"/>
              <w:numPr>
                <w:ilvl w:val="0"/>
                <w:numId w:val="17"/>
              </w:numPr>
              <w:rPr>
                <w:rStyle w:val="the-question"/>
              </w:rPr>
            </w:pPr>
            <w:r w:rsidRPr="00320F51">
              <w:rPr>
                <w:rStyle w:val="the-question"/>
              </w:rPr>
              <w:t xml:space="preserve">Do you agree with the assumption of the extent features are currently not provided in new dwellings? </w:t>
            </w:r>
          </w:p>
          <w:p w:rsidR="005600BF" w:rsidRDefault="005600BF" w:rsidP="005600BF">
            <w:pPr>
              <w:pStyle w:val="ListBullet"/>
              <w:numPr>
                <w:ilvl w:val="0"/>
                <w:numId w:val="17"/>
              </w:numPr>
            </w:pPr>
            <w:r w:rsidRPr="005600BF">
              <w:rPr>
                <w:rStyle w:val="the-question"/>
                <w:lang w:val="en"/>
              </w:rPr>
              <w:t>Do you have any evidence of the extent that accessibility features similar to those required by Options 1-3 are provided in new dwellings under current arrangements?</w:t>
            </w:r>
          </w:p>
          <w:p w:rsidR="005600BF" w:rsidRDefault="005600BF" w:rsidP="005600BF">
            <w:pPr>
              <w:pStyle w:val="ListBullet"/>
              <w:numPr>
                <w:ilvl w:val="0"/>
                <w:numId w:val="17"/>
              </w:numPr>
            </w:pPr>
            <w:r>
              <w:t>Where dwellings have some accessibility features but not others, would this reduce the size of the problem? In your opinion, by how much? (please provide your reasoning/data for your estimate).</w:t>
            </w:r>
          </w:p>
          <w:p w:rsidR="005600BF" w:rsidRPr="00C05F93" w:rsidRDefault="005600BF" w:rsidP="005600BF">
            <w:pPr>
              <w:pStyle w:val="ListBullet"/>
              <w:numPr>
                <w:ilvl w:val="0"/>
                <w:numId w:val="17"/>
              </w:numPr>
              <w:rPr>
                <w:rStyle w:val="the-question"/>
                <w:lang w:bidi="fa-IR"/>
              </w:rPr>
            </w:pPr>
            <w:r w:rsidRPr="005600BF">
              <w:rPr>
                <w:rStyle w:val="the-question"/>
                <w:lang w:val="en"/>
              </w:rPr>
              <w:t>Do you agree with the assumption that additional features required under accessibility standards in Option 2 and Option 3 would increase the number of beneficiaries compared to Option 1?</w:t>
            </w:r>
          </w:p>
          <w:p w:rsidR="007C6A5F" w:rsidRPr="00BF2F67" w:rsidRDefault="005600BF" w:rsidP="009C66A8">
            <w:pPr>
              <w:pStyle w:val="ListBullet"/>
              <w:numPr>
                <w:ilvl w:val="0"/>
                <w:numId w:val="17"/>
              </w:numPr>
              <w:spacing w:after="120"/>
            </w:pPr>
            <w:r w:rsidRPr="005600BF">
              <w:rPr>
                <w:rStyle w:val="the-question"/>
                <w:lang w:val="en"/>
              </w:rPr>
              <w:t xml:space="preserve">To avoid attributing benefits to accessibility features already installed in dwellings under current arrangements, the </w:t>
            </w:r>
            <w:r w:rsidR="003916EA">
              <w:rPr>
                <w:rStyle w:val="the-question"/>
                <w:lang w:val="en"/>
              </w:rPr>
              <w:t>impacts</w:t>
            </w:r>
            <w:r w:rsidRPr="005600BF">
              <w:rPr>
                <w:rStyle w:val="the-question"/>
                <w:lang w:val="en"/>
              </w:rPr>
              <w:t xml:space="preserve"> of the proposal have been reduced in proportion to those elements assumed prevalence and weighted average cost. What additional evidence could we consider to make this assumption more robust?</w:t>
            </w:r>
          </w:p>
        </w:tc>
      </w:tr>
    </w:tbl>
    <w:p w:rsidR="007C6A5F" w:rsidRDefault="007C6A5F" w:rsidP="007C6A5F">
      <w:pPr>
        <w:pStyle w:val="Heading3"/>
        <w:numPr>
          <w:ilvl w:val="2"/>
          <w:numId w:val="5"/>
        </w:numPr>
        <w:rPr>
          <w:lang w:bidi="fa-IR"/>
        </w:rPr>
      </w:pPr>
      <w:r>
        <w:rPr>
          <w:lang w:bidi="fa-IR"/>
        </w:rPr>
        <w:lastRenderedPageBreak/>
        <w:t>Valuing the benefits of accessible housing</w:t>
      </w:r>
    </w:p>
    <w:p w:rsidR="007C6A5F" w:rsidRDefault="007C6A5F" w:rsidP="007C6A5F">
      <w:pPr>
        <w:pStyle w:val="BodyText"/>
        <w:rPr>
          <w:lang w:bidi="fa-IR"/>
        </w:rPr>
      </w:pPr>
      <w:r>
        <w:rPr>
          <w:lang w:bidi="fa-IR"/>
        </w:rPr>
        <w:t>Under this approach, the benefits depend on the extent to which the regulatory options reduce the issues estimated previously. Under the allocation assumptions outlined above, the reduction in the size of the problem under each of the options is shown in chart </w:t>
      </w:r>
      <w:r>
        <w:rPr>
          <w:lang w:bidi="fa-IR"/>
        </w:rPr>
        <w:fldChar w:fldCharType="begin"/>
      </w:r>
      <w:r>
        <w:rPr>
          <w:lang w:bidi="fa-IR"/>
        </w:rPr>
        <w:instrText xml:space="preserve"> REF _Caption9683 </w:instrText>
      </w:r>
      <w:r>
        <w:rPr>
          <w:lang w:bidi="fa-IR"/>
        </w:rPr>
        <w:fldChar w:fldCharType="separate"/>
      </w:r>
      <w:r>
        <w:rPr>
          <w:noProof/>
        </w:rPr>
        <w:t>6</w:t>
      </w:r>
      <w:r w:rsidRPr="00695C93">
        <w:rPr>
          <w:noProof/>
        </w:rPr>
        <w:t>.</w:t>
      </w:r>
      <w:r>
        <w:rPr>
          <w:noProof/>
        </w:rPr>
        <w:t>3</w:t>
      </w:r>
      <w:r>
        <w:rPr>
          <w:lang w:bidi="fa-IR"/>
        </w:rPr>
        <w:fldChar w:fldCharType="end"/>
      </w:r>
      <w:r>
        <w:rPr>
          <w:lang w:bidi="fa-IR"/>
        </w:rPr>
        <w:t>.</w:t>
      </w:r>
    </w:p>
    <w:p w:rsidR="007C6A5F" w:rsidRDefault="007C6A5F" w:rsidP="005A6F87">
      <w:pPr>
        <w:pStyle w:val="ListBullet"/>
        <w:numPr>
          <w:ilvl w:val="0"/>
          <w:numId w:val="17"/>
        </w:numPr>
        <w:rPr>
          <w:lang w:bidi="fa-IR"/>
        </w:rPr>
      </w:pPr>
      <w:r>
        <w:rPr>
          <w:lang w:bidi="fa-IR"/>
        </w:rPr>
        <w:t>Under Option 1B (involving one step access), the accessibility standard specified in the NCC would be broadly consistent with LHDG Silver standard. Discussions with stakeholders (including accessibility consultants and Occupational Therapists Australia) suggested that dwellings built to this standard is unlikely to be suitable for wheelchair users. As wheelchair users make up around 6 per cent of people with mobility limitations, we assume that the share of the problem this option would address is 6 per cent lower than Options 2 and 3.</w:t>
      </w:r>
    </w:p>
    <w:p w:rsidR="007C6A5F" w:rsidRDefault="007C6A5F" w:rsidP="005A6F87">
      <w:pPr>
        <w:pStyle w:val="ListBullet"/>
        <w:numPr>
          <w:ilvl w:val="0"/>
          <w:numId w:val="17"/>
        </w:numPr>
        <w:rPr>
          <w:lang w:bidi="fa-IR"/>
        </w:rPr>
      </w:pPr>
      <w:r>
        <w:rPr>
          <w:lang w:bidi="fa-IR"/>
        </w:rPr>
        <w:t>Under Option 2, the accessibility standard specified in the NCC would be broadly consistent with LHDG Gold standard. We understand this would be suitable for wheelchair users.</w:t>
      </w:r>
    </w:p>
    <w:p w:rsidR="007C6A5F" w:rsidRDefault="007C6A5F" w:rsidP="005A6F87">
      <w:pPr>
        <w:pStyle w:val="ListBullet"/>
        <w:numPr>
          <w:ilvl w:val="0"/>
          <w:numId w:val="17"/>
        </w:numPr>
        <w:rPr>
          <w:lang w:eastAsia="zh-CN"/>
        </w:rPr>
      </w:pPr>
      <w:r>
        <w:rPr>
          <w:lang w:eastAsia="zh-CN"/>
        </w:rPr>
        <w:t>Under Option 3, accessibility features are upgraded from Gold to Gold+. The key difference here is wider circulation spaces under Gold+ (for example: wider landing space for entry door, more circulation space in front of benches and appliances, etc.). However, as noted, consultations note that Gold is probably sufficient for wheelchair users. Therefore, while we acknowledge that Gold+ may have some benefits from people with mobility limitations, we assume that Gold+ does not create additional benefits relative to Gold. Partially, this reflects our “problem reduction” framework, which focuses on whether people live in housing that is adequate.</w:t>
      </w:r>
    </w:p>
    <w:p w:rsidR="007C6A5F" w:rsidRDefault="007C6A5F" w:rsidP="005A6F87">
      <w:pPr>
        <w:pStyle w:val="ListBullet"/>
        <w:numPr>
          <w:ilvl w:val="0"/>
          <w:numId w:val="17"/>
        </w:numPr>
        <w:rPr>
          <w:lang w:bidi="fa-IR"/>
        </w:rPr>
      </w:pPr>
      <w:r>
        <w:rPr>
          <w:lang w:bidi="fa-IR"/>
        </w:rPr>
        <w:t>Under Option 4, the accessible housing standard would be applied to apartments in Class 2 buildings only. As only a small proportion of people with mobility limitations live in apartment building, this option is estimated to have minimal impact on the size of the problem.</w:t>
      </w:r>
    </w:p>
    <w:p w:rsidR="007C6A5F" w:rsidRDefault="007C6A5F" w:rsidP="005A6F87">
      <w:pPr>
        <w:pStyle w:val="ListBullet"/>
        <w:numPr>
          <w:ilvl w:val="0"/>
          <w:numId w:val="17"/>
        </w:numPr>
        <w:rPr>
          <w:lang w:bidi="fa-IR"/>
        </w:rPr>
      </w:pPr>
      <w:r>
        <w:rPr>
          <w:lang w:bidi="fa-IR"/>
        </w:rPr>
        <w:t>Under Option 5, we assume that as the subsidies would target renters whose accessibility needs are not being met by the available rental stock. For illustrative purposes we assume that all renters in housing that does not meet their accessibility needs move to accessible rental accommodation provided under the scheme. As this option is not within ABCB’s broad area of responsibility, it is not specifically under consideration. This should therefore be considered an indicative option to establish whether the NCC is a more efficient approach to addressing the problem (or a subset of the problem) than alternative more targeted measures.</w:t>
      </w:r>
    </w:p>
    <w:bookmarkStart w:id="5575" w:name="_Hlk44657881"/>
    <w:p w:rsidR="007C6A5F" w:rsidRDefault="007C6A5F" w:rsidP="007C6A5F">
      <w:pPr>
        <w:pStyle w:val="Caption"/>
      </w:pPr>
      <w:r w:rsidRPr="00143D1F">
        <w:lastRenderedPageBreak/>
        <w:fldChar w:fldCharType="begin"/>
      </w:r>
      <w:r w:rsidRPr="00143D1F">
        <w:instrText xml:space="preserve"> IF 1 = 1 "</w:instrText>
      </w:r>
      <w:r w:rsidRPr="00143D1F">
        <w:fldChar w:fldCharType="begin"/>
      </w:r>
      <w:r w:rsidRPr="00143D1F">
        <w:instrText xml:space="preserve"> IF </w:instrText>
      </w:r>
      <w:r w:rsidRPr="00143D1F">
        <w:rPr>
          <w:noProof/>
        </w:rPr>
        <w:fldChar w:fldCharType="begin"/>
      </w:r>
      <w:r w:rsidRPr="00143D1F">
        <w:rPr>
          <w:noProof/>
        </w:rPr>
        <w:instrText xml:space="preserve"> STYLEREF "Heading 6" \l \n </w:instrText>
      </w:r>
      <w:r w:rsidRPr="00143D1F">
        <w:rPr>
          <w:noProof/>
        </w:rPr>
        <w:fldChar w:fldCharType="separate"/>
      </w:r>
      <w:r w:rsidRPr="00143D1F">
        <w:rPr>
          <w:noProof/>
        </w:rPr>
        <w:instrText>0</w:instrText>
      </w:r>
      <w:r w:rsidRPr="00143D1F">
        <w:rPr>
          <w:noProof/>
        </w:rPr>
        <w:fldChar w:fldCharType="end"/>
      </w:r>
      <w:r w:rsidRPr="00143D1F">
        <w:instrText xml:space="preserve"> = 0 "</w:instrText>
      </w:r>
      <w:r w:rsidRPr="00143D1F">
        <w:fldChar w:fldCharType="begin"/>
      </w:r>
      <w:r w:rsidRPr="00143D1F">
        <w:instrText xml:space="preserve"> IF </w:instrText>
      </w:r>
      <w:r w:rsidRPr="00143D1F">
        <w:rPr>
          <w:noProof/>
        </w:rPr>
        <w:fldChar w:fldCharType="begin"/>
      </w:r>
      <w:r w:rsidRPr="00143D1F">
        <w:rPr>
          <w:noProof/>
        </w:rPr>
        <w:instrText xml:space="preserve"> STYLEREF "Heading 1" \l \n </w:instrText>
      </w:r>
      <w:r w:rsidRPr="00143D1F">
        <w:rPr>
          <w:noProof/>
        </w:rPr>
        <w:fldChar w:fldCharType="separate"/>
      </w:r>
      <w:r w:rsidRPr="00143D1F">
        <w:rPr>
          <w:noProof/>
        </w:rPr>
        <w:instrText>6</w:instrText>
      </w:r>
      <w:r w:rsidRPr="00143D1F">
        <w:rPr>
          <w:noProof/>
        </w:rPr>
        <w:fldChar w:fldCharType="end"/>
      </w:r>
      <w:r w:rsidRPr="00143D1F">
        <w:instrText xml:space="preserve"> = 0 "" "</w:instrText>
      </w:r>
      <w:r w:rsidRPr="00143D1F">
        <w:rPr>
          <w:noProof/>
        </w:rPr>
        <w:fldChar w:fldCharType="begin"/>
      </w:r>
      <w:r w:rsidRPr="00143D1F">
        <w:rPr>
          <w:noProof/>
        </w:rPr>
        <w:instrText xml:space="preserve"> STYLEREF "Heading 1" \l \n </w:instrText>
      </w:r>
      <w:r w:rsidRPr="00143D1F">
        <w:rPr>
          <w:noProof/>
        </w:rPr>
        <w:fldChar w:fldCharType="separate"/>
      </w:r>
      <w:r w:rsidRPr="00143D1F">
        <w:rPr>
          <w:noProof/>
        </w:rPr>
        <w:instrText>6</w:instrText>
      </w:r>
      <w:r w:rsidRPr="00143D1F">
        <w:rPr>
          <w:noProof/>
        </w:rPr>
        <w:fldChar w:fldCharType="end"/>
      </w:r>
      <w:r w:rsidRPr="00143D1F">
        <w:instrText xml:space="preserve">." </w:instrText>
      </w:r>
      <w:r w:rsidRPr="00143D1F">
        <w:fldChar w:fldCharType="separate"/>
      </w:r>
      <w:r w:rsidRPr="00143D1F">
        <w:rPr>
          <w:noProof/>
        </w:rPr>
        <w:instrText>6.</w:instrText>
      </w:r>
      <w:r w:rsidRPr="00143D1F">
        <w:fldChar w:fldCharType="end"/>
      </w:r>
      <w:r w:rsidRPr="00143D1F">
        <w:instrText>" "</w:instrText>
      </w:r>
      <w:r w:rsidRPr="00143D1F">
        <w:rPr>
          <w:noProof/>
        </w:rPr>
        <w:fldChar w:fldCharType="begin"/>
      </w:r>
      <w:r w:rsidRPr="00143D1F">
        <w:rPr>
          <w:noProof/>
        </w:rPr>
        <w:instrText xml:space="preserve"> STYLEREF "Heading 6" \l \n </w:instrText>
      </w:r>
      <w:r w:rsidRPr="00143D1F">
        <w:rPr>
          <w:noProof/>
        </w:rPr>
        <w:fldChar w:fldCharType="separate"/>
      </w:r>
      <w:r w:rsidRPr="00143D1F">
        <w:rPr>
          <w:noProof/>
        </w:rPr>
        <w:instrText>A</w:instrText>
      </w:r>
      <w:r w:rsidRPr="00143D1F">
        <w:rPr>
          <w:noProof/>
        </w:rPr>
        <w:fldChar w:fldCharType="end"/>
      </w:r>
      <w:r w:rsidRPr="00143D1F">
        <w:instrText xml:space="preserve">." </w:instrText>
      </w:r>
      <w:r w:rsidRPr="00143D1F">
        <w:fldChar w:fldCharType="separate"/>
      </w:r>
      <w:r w:rsidR="00272AF3" w:rsidRPr="00143D1F">
        <w:rPr>
          <w:noProof/>
        </w:rPr>
        <w:instrText>6.</w:instrText>
      </w:r>
      <w:r w:rsidRPr="00143D1F">
        <w:fldChar w:fldCharType="end"/>
      </w:r>
      <w:r w:rsidRPr="00143D1F">
        <w:fldChar w:fldCharType="begin"/>
      </w:r>
      <w:r w:rsidRPr="00143D1F">
        <w:instrText xml:space="preserve"> SEQ Item \* ARABIC \s </w:instrText>
      </w:r>
      <w:r w:rsidRPr="00143D1F">
        <w:fldChar w:fldCharType="begin"/>
      </w:r>
      <w:r w:rsidRPr="00143D1F">
        <w:instrText xml:space="preserve"> IF </w:instrText>
      </w:r>
      <w:r w:rsidRPr="00143D1F">
        <w:rPr>
          <w:noProof/>
        </w:rPr>
        <w:fldChar w:fldCharType="begin"/>
      </w:r>
      <w:r w:rsidRPr="00143D1F">
        <w:rPr>
          <w:noProof/>
        </w:rPr>
        <w:instrText xml:space="preserve"> STYLEREF "Heading 6" \l \n </w:instrText>
      </w:r>
      <w:r w:rsidRPr="00143D1F">
        <w:rPr>
          <w:noProof/>
        </w:rPr>
        <w:fldChar w:fldCharType="separate"/>
      </w:r>
      <w:r w:rsidRPr="00143D1F">
        <w:rPr>
          <w:noProof/>
        </w:rPr>
        <w:instrText>0</w:instrText>
      </w:r>
      <w:r w:rsidRPr="00143D1F">
        <w:rPr>
          <w:noProof/>
        </w:rPr>
        <w:fldChar w:fldCharType="end"/>
      </w:r>
      <w:r w:rsidRPr="00143D1F">
        <w:instrText xml:space="preserve"> = 0 "</w:instrText>
      </w:r>
      <w:r w:rsidRPr="00143D1F">
        <w:fldChar w:fldCharType="begin"/>
      </w:r>
      <w:r w:rsidRPr="00143D1F">
        <w:instrText xml:space="preserve"> IF </w:instrText>
      </w:r>
      <w:r w:rsidRPr="00143D1F">
        <w:rPr>
          <w:noProof/>
        </w:rPr>
        <w:fldChar w:fldCharType="begin"/>
      </w:r>
      <w:r w:rsidRPr="00143D1F">
        <w:rPr>
          <w:noProof/>
        </w:rPr>
        <w:instrText xml:space="preserve"> STYLEREF "Heading 1" \l \n </w:instrText>
      </w:r>
      <w:r w:rsidRPr="00143D1F">
        <w:rPr>
          <w:noProof/>
        </w:rPr>
        <w:fldChar w:fldCharType="separate"/>
      </w:r>
      <w:r w:rsidRPr="00143D1F">
        <w:rPr>
          <w:noProof/>
        </w:rPr>
        <w:instrText>6</w:instrText>
      </w:r>
      <w:r w:rsidRPr="00143D1F">
        <w:rPr>
          <w:noProof/>
        </w:rPr>
        <w:fldChar w:fldCharType="end"/>
      </w:r>
      <w:r w:rsidRPr="00143D1F">
        <w:instrText xml:space="preserve"> = 0 "" "1" </w:instrText>
      </w:r>
      <w:r w:rsidRPr="00143D1F">
        <w:fldChar w:fldCharType="separate"/>
      </w:r>
      <w:r w:rsidR="00272AF3" w:rsidRPr="00143D1F">
        <w:rPr>
          <w:noProof/>
        </w:rPr>
        <w:instrText>1</w:instrText>
      </w:r>
      <w:r w:rsidRPr="00143D1F">
        <w:fldChar w:fldCharType="end"/>
      </w:r>
      <w:r w:rsidRPr="00143D1F">
        <w:instrText xml:space="preserve">" "6" </w:instrText>
      </w:r>
      <w:r w:rsidRPr="00143D1F">
        <w:fldChar w:fldCharType="separate"/>
      </w:r>
      <w:r w:rsidR="00272AF3" w:rsidRPr="00143D1F">
        <w:rPr>
          <w:noProof/>
        </w:rPr>
        <w:instrText>1</w:instrText>
      </w:r>
      <w:r w:rsidRPr="00143D1F">
        <w:fldChar w:fldCharType="end"/>
      </w:r>
      <w:r w:rsidRPr="00143D1F">
        <w:instrText xml:space="preserve"> </w:instrText>
      </w:r>
      <w:r w:rsidRPr="00143D1F">
        <w:fldChar w:fldCharType="separate"/>
      </w:r>
      <w:r w:rsidRPr="00143D1F">
        <w:rPr>
          <w:noProof/>
        </w:rPr>
        <w:instrText>3</w:instrText>
      </w:r>
      <w:r w:rsidRPr="00143D1F">
        <w:fldChar w:fldCharType="end"/>
      </w:r>
      <w:r w:rsidRPr="00143D1F">
        <w:instrText xml:space="preserve">" "" </w:instrText>
      </w:r>
      <w:r w:rsidRPr="00143D1F">
        <w:fldChar w:fldCharType="separate"/>
      </w:r>
      <w:bookmarkStart w:id="5576" w:name="_Caption2700"/>
      <w:bookmarkStart w:id="5577" w:name="_Caption6982"/>
      <w:bookmarkStart w:id="5578" w:name="_Caption9093"/>
      <w:bookmarkStart w:id="5579" w:name="_Caption7928"/>
      <w:bookmarkStart w:id="5580" w:name="_Caption6608"/>
      <w:bookmarkStart w:id="5581" w:name="_Caption8745"/>
      <w:bookmarkStart w:id="5582" w:name="_Caption1449"/>
      <w:bookmarkStart w:id="5583" w:name="_Caption3503"/>
      <w:bookmarkStart w:id="5584" w:name="_Caption6991"/>
      <w:bookmarkStart w:id="5585" w:name="_Caption4106"/>
      <w:bookmarkStart w:id="5586" w:name="_Caption4908"/>
      <w:bookmarkStart w:id="5587" w:name="_Caption7351"/>
      <w:bookmarkStart w:id="5588" w:name="_Caption1389"/>
      <w:bookmarkStart w:id="5589" w:name="_Caption9307"/>
      <w:bookmarkStart w:id="5590" w:name="_Caption6207"/>
      <w:bookmarkStart w:id="5591" w:name="_Caption4970"/>
      <w:bookmarkStart w:id="5592" w:name="_Caption3541"/>
      <w:bookmarkStart w:id="5593" w:name="_Caption9683"/>
      <w:bookmarkStart w:id="5594" w:name="_Caption2016"/>
      <w:bookmarkStart w:id="5595" w:name="_Caption3782"/>
      <w:bookmarkStart w:id="5596" w:name="_Caption6526"/>
      <w:bookmarkStart w:id="5597" w:name="_Caption4462"/>
      <w:bookmarkStart w:id="5598" w:name="_Caption4295"/>
      <w:bookmarkStart w:id="5599" w:name="_Caption3904"/>
      <w:bookmarkStart w:id="5600" w:name="_Caption1648"/>
      <w:bookmarkStart w:id="5601" w:name="_Caption7433"/>
      <w:bookmarkStart w:id="5602" w:name="_Caption9531"/>
      <w:bookmarkStart w:id="5603" w:name="_Toc32321846"/>
      <w:bookmarkStart w:id="5604" w:name="_Toc44598542"/>
      <w:bookmarkStart w:id="5605" w:name="_Toc45654173"/>
      <w:r w:rsidR="00272AF3" w:rsidRPr="00143D1F">
        <w:rPr>
          <w:noProof/>
        </w:rPr>
        <w:t>6.3</w:t>
      </w:r>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r w:rsidRPr="00143D1F">
        <w:fldChar w:fldCharType="end"/>
      </w:r>
      <w:r w:rsidRPr="00143D1F">
        <w:tab/>
        <w:t>Reduction in the size of the problem</w:t>
      </w:r>
      <w:bookmarkEnd w:id="5603"/>
      <w:bookmarkEnd w:id="5604"/>
      <w:bookmarkEnd w:id="5605"/>
    </w:p>
    <w:p w:rsidR="007C6A5F" w:rsidRDefault="00143D1F" w:rsidP="007C6A5F">
      <w:pPr>
        <w:pStyle w:val="Subtitlebox"/>
      </w:pPr>
      <w:r w:rsidRPr="00143D1F">
        <w:rPr>
          <w:noProof/>
        </w:rPr>
        <w:drawing>
          <wp:inline distT="0" distB="0" distL="0" distR="0" wp14:anchorId="6D8BF4CE" wp14:editId="3A2C405D">
            <wp:extent cx="5040000" cy="2581720"/>
            <wp:effectExtent l="57150" t="57150" r="65405" b="66675"/>
            <wp:docPr id="10" name="Picture 10" descr="Chart 6.3 - Reduction in the size of th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000" cy="2581720"/>
                    </a:xfrm>
                    <a:prstGeom prst="rect">
                      <a:avLst/>
                    </a:prstGeom>
                    <a:noFill/>
                    <a:ln w="57150">
                      <a:solidFill>
                        <a:schemeClr val="bg2"/>
                      </a:solidFill>
                    </a:ln>
                  </pic:spPr>
                </pic:pic>
              </a:graphicData>
            </a:graphic>
          </wp:inline>
        </w:drawing>
      </w:r>
    </w:p>
    <w:p w:rsidR="007C6A5F" w:rsidRDefault="007C6A5F" w:rsidP="007C6A5F">
      <w:pPr>
        <w:pStyle w:val="Source"/>
      </w:pPr>
      <w:r>
        <w:rPr>
          <w:i/>
        </w:rPr>
        <w:t>Data source</w:t>
      </w:r>
      <w:r w:rsidRPr="00A67576">
        <w:rPr>
          <w:i/>
        </w:rPr>
        <w:t>:</w:t>
      </w:r>
      <w:r>
        <w:t xml:space="preserve"> CIE estimates.</w:t>
      </w:r>
    </w:p>
    <w:bookmarkEnd w:id="5575"/>
    <w:p w:rsidR="007C6A5F" w:rsidRDefault="007C6A5F" w:rsidP="007C6A5F">
      <w:pPr>
        <w:pStyle w:val="BodyText"/>
        <w:spacing w:before="240"/>
        <w:rPr>
          <w:lang w:bidi="fa-IR"/>
        </w:rPr>
      </w:pPr>
      <w:r>
        <w:rPr>
          <w:lang w:bidi="fa-IR"/>
        </w:rPr>
        <w:t>To estimate the aggregate benefits:</w:t>
      </w:r>
    </w:p>
    <w:p w:rsidR="007C6A5F" w:rsidRDefault="007C6A5F" w:rsidP="005A6F87">
      <w:pPr>
        <w:pStyle w:val="ListBullet"/>
        <w:numPr>
          <w:ilvl w:val="0"/>
          <w:numId w:val="17"/>
        </w:numPr>
        <w:rPr>
          <w:lang w:bidi="fa-IR"/>
        </w:rPr>
      </w:pPr>
      <w:r>
        <w:rPr>
          <w:lang w:bidi="fa-IR"/>
        </w:rPr>
        <w:t>the share of the problem each option would address is multiplied by the estimated size of the problem</w:t>
      </w:r>
    </w:p>
    <w:p w:rsidR="007C6A5F" w:rsidRPr="006C3FC1" w:rsidRDefault="007C6A5F" w:rsidP="005A6F87">
      <w:pPr>
        <w:pStyle w:val="ListBullet"/>
        <w:numPr>
          <w:ilvl w:val="0"/>
          <w:numId w:val="17"/>
        </w:numPr>
        <w:rPr>
          <w:lang w:bidi="fa-IR"/>
        </w:rPr>
      </w:pPr>
      <w:r w:rsidRPr="006C3FC1">
        <w:rPr>
          <w:lang w:bidi="fa-IR"/>
        </w:rPr>
        <w:t>benefits are then reduced by 30 per cent to reflect additionality issues (see above)</w:t>
      </w:r>
    </w:p>
    <w:p w:rsidR="007C6A5F" w:rsidRDefault="007C6A5F" w:rsidP="005A6F87">
      <w:pPr>
        <w:pStyle w:val="ListBullet"/>
        <w:numPr>
          <w:ilvl w:val="0"/>
          <w:numId w:val="17"/>
        </w:numPr>
        <w:rPr>
          <w:lang w:bidi="fa-IR"/>
        </w:rPr>
      </w:pPr>
      <w:r>
        <w:rPr>
          <w:lang w:bidi="fa-IR"/>
        </w:rPr>
        <w:t>after the 10</w:t>
      </w:r>
      <w:r>
        <w:rPr>
          <w:lang w:bidi="fa-IR"/>
        </w:rPr>
        <w:noBreakHyphen/>
        <w:t>year regulatory period, benefits in the last year of the regulatory period are then held constant for a further 30 years, reflecting the flow of benefits over the life of the building.</w:t>
      </w:r>
    </w:p>
    <w:p w:rsidR="007C6A5F" w:rsidRDefault="007C6A5F" w:rsidP="007C6A5F">
      <w:pPr>
        <w:pStyle w:val="Heading2"/>
        <w:numPr>
          <w:ilvl w:val="1"/>
          <w:numId w:val="5"/>
        </w:numPr>
      </w:pPr>
      <w:bookmarkStart w:id="5606" w:name="_Toc44598455"/>
      <w:bookmarkStart w:id="5607" w:name="_Toc45654086"/>
      <w:r>
        <w:t>Societal benefits</w:t>
      </w:r>
      <w:bookmarkEnd w:id="5606"/>
      <w:bookmarkEnd w:id="5607"/>
    </w:p>
    <w:p w:rsidR="007C6A5F" w:rsidRDefault="007C6A5F" w:rsidP="007C6A5F">
      <w:pPr>
        <w:pStyle w:val="BodyText"/>
      </w:pPr>
      <w:r>
        <w:t xml:space="preserve">A survey was conducted as part of this project of a representative sample of 2062 Australian households. The survey design, data analysis and interpretation of results have been subject to internal peer review by Professor Riccardo Scarpa – a leading authority internationally on the use of surveys for estimating economic benefits. </w:t>
      </w:r>
    </w:p>
    <w:p w:rsidR="007C6A5F" w:rsidRDefault="007C6A5F" w:rsidP="007C6A5F">
      <w:pPr>
        <w:pStyle w:val="BodyText"/>
      </w:pPr>
      <w:r>
        <w:t xml:space="preserve">The survey included a component designed to estimate household </w:t>
      </w:r>
      <w:r>
        <w:rPr>
          <w:lang w:bidi="fa-IR"/>
        </w:rPr>
        <w:t>willingness to pay (</w:t>
      </w:r>
      <w:r>
        <w:t xml:space="preserve">WTP) to improve housing accessibility for other people. The conservative estimate of average altruistic WTP derived from the survey is around $40 per household per year for a policy scenario that would </w:t>
      </w:r>
      <w:r w:rsidRPr="00666D3F">
        <w:t>increase the amount of accessible housing to 15</w:t>
      </w:r>
      <w:r>
        <w:t xml:space="preserve"> per cent</w:t>
      </w:r>
      <w:r w:rsidRPr="00666D3F">
        <w:t xml:space="preserve"> by 2035</w:t>
      </w:r>
      <w:r>
        <w:t xml:space="preserve"> and “greatly improve the chances of Australians with limited mobility finding suitable homes.” See appendix K for further detail. </w:t>
      </w:r>
    </w:p>
    <w:p w:rsidR="007C6A5F" w:rsidRDefault="007C6A5F" w:rsidP="007C6A5F">
      <w:pPr>
        <w:pStyle w:val="BodyText"/>
      </w:pPr>
      <w:r>
        <w:t>This equates to $389 million annually across all households. Assuming an income elasticity of WTP of 0.42, projected annual real wage growth of 0.25 per cent per year and the ABS Cat No. 3236 Series II household projections (extrapolated beyond 2041 to 2066), this equates to $6.9 billion in present value terms.</w:t>
      </w:r>
    </w:p>
    <w:p w:rsidR="007C6A5F" w:rsidRDefault="007C6A5F" w:rsidP="007C6A5F">
      <w:pPr>
        <w:pStyle w:val="BodyText"/>
      </w:pPr>
      <w:r>
        <w:lastRenderedPageBreak/>
        <w:t xml:space="preserve">For the purpose of deriving benefit estimates for options that partially solve the problem, we assume that this $40 amount represents the value households place on solving the problem completely by 2035. Our view is that the limited amount of information provided in the questionnaire would have given respondents the impression that the policy would solve the problem, particularly the comparison between two figures that were provided — the 15 per cent of housing stock that would be accessible by 2035 and the 5 per cent of </w:t>
      </w:r>
      <w:r w:rsidRPr="0058212F">
        <w:t>Australians</w:t>
      </w:r>
      <w:r>
        <w:t xml:space="preserve"> who have </w:t>
      </w:r>
      <w:r w:rsidRPr="0058212F">
        <w:t xml:space="preserve">a disability </w:t>
      </w:r>
      <w:r>
        <w:t>and</w:t>
      </w:r>
      <w:r w:rsidRPr="0058212F">
        <w:t xml:space="preserve"> use a mobility aid</w:t>
      </w:r>
      <w:r>
        <w:t>. We assume that a partial solving of the problem by 2035 would be valued proportionately to the extent to which the problem is solved. For each of the options, we scale the $6.9 billion figure above in this way.</w:t>
      </w:r>
    </w:p>
    <w:p w:rsidR="007C6A5F" w:rsidRDefault="007C6A5F" w:rsidP="007C6A5F">
      <w:pPr>
        <w:pStyle w:val="Heading2"/>
        <w:numPr>
          <w:ilvl w:val="1"/>
          <w:numId w:val="5"/>
        </w:numPr>
        <w:rPr>
          <w:lang w:bidi="fa-IR"/>
        </w:rPr>
      </w:pPr>
      <w:bookmarkStart w:id="5608" w:name="_Toc44598456"/>
      <w:bookmarkStart w:id="5609" w:name="_Toc45654087"/>
      <w:r>
        <w:rPr>
          <w:lang w:bidi="fa-IR"/>
        </w:rPr>
        <w:t>Estimated willingness to pay for accessibility features</w:t>
      </w:r>
      <w:bookmarkEnd w:id="5608"/>
      <w:bookmarkEnd w:id="5609"/>
    </w:p>
    <w:p w:rsidR="007C6A5F" w:rsidRDefault="007C6A5F" w:rsidP="007C6A5F">
      <w:pPr>
        <w:pStyle w:val="BodyText"/>
      </w:pPr>
      <w:r>
        <w:t xml:space="preserve">The survey conducted as part of this project also included a component designed to estimate WTP for accessibility features at the point of purchasing or renting a new home. We use these WTP estimates as an alternative benefit valuation approach to the ‘problem size reduction’ approach. </w:t>
      </w:r>
    </w:p>
    <w:p w:rsidR="007C6A5F" w:rsidRDefault="007C6A5F" w:rsidP="007C6A5F">
      <w:pPr>
        <w:pStyle w:val="BodyText"/>
      </w:pPr>
      <w:r>
        <w:t xml:space="preserve">An advantage of the survey approach is that it can potentially capture WTP for accessibility features for households that do not currently include a person with limited mobility but wish to be prepared for potential future mobility limitation, wish to receive visits from family and friends with mobility limitation and/or value the improved ability to manoeuvre prams or move furniture within their home.  </w:t>
      </w:r>
    </w:p>
    <w:p w:rsidR="007C6A5F" w:rsidRDefault="007C6A5F" w:rsidP="007C6A5F">
      <w:pPr>
        <w:pStyle w:val="BodyText"/>
      </w:pPr>
      <w:r>
        <w:t>A disadvantage of stated preference survey approach is that it is purely hypothetical and subject to a range of potential cognitive biases in the responses. While we attempted to minimise biases identified in the stated preference literature, the framing of our home choice questions necessarily placed greater emphasis on accessibility features than information typically considered by decision makers in the real market for homes. It is uncertain whether this emphasis caused bias in the stated preferences or overcame a bounded rationality bias in revealed preferences.</w:t>
      </w:r>
    </w:p>
    <w:p w:rsidR="007C6A5F" w:rsidRDefault="007C6A5F" w:rsidP="007C6A5F">
      <w:pPr>
        <w:pStyle w:val="BodyText"/>
      </w:pPr>
      <w:r>
        <w:t>To calculate the benefits of increased supply of accessibility features in new housing we:</w:t>
      </w:r>
    </w:p>
    <w:p w:rsidR="007C6A5F" w:rsidRDefault="007C6A5F" w:rsidP="005A6F87">
      <w:pPr>
        <w:pStyle w:val="ListBullet"/>
        <w:numPr>
          <w:ilvl w:val="0"/>
          <w:numId w:val="17"/>
        </w:numPr>
      </w:pPr>
      <w:r>
        <w:t>project the supply of each feature in new homes under the baseline and the change scenarios for both owner-occupied and rental homes</w:t>
      </w:r>
    </w:p>
    <w:p w:rsidR="007C6A5F" w:rsidRDefault="007C6A5F" w:rsidP="005A6F87">
      <w:pPr>
        <w:pStyle w:val="ListBullet"/>
        <w:numPr>
          <w:ilvl w:val="0"/>
          <w:numId w:val="17"/>
        </w:numPr>
        <w:spacing w:before="80"/>
      </w:pPr>
      <w:r>
        <w:t>project the supply of each feature in the total stock of homes under the baseline and change scenarios</w:t>
      </w:r>
      <w:r w:rsidRPr="00B05BDC">
        <w:t xml:space="preserve"> </w:t>
      </w:r>
      <w:r>
        <w:t>for both owner-occupied and rental homes</w:t>
      </w:r>
    </w:p>
    <w:p w:rsidR="007C6A5F" w:rsidRDefault="007C6A5F" w:rsidP="005A6F87">
      <w:pPr>
        <w:pStyle w:val="ListBullet"/>
        <w:numPr>
          <w:ilvl w:val="0"/>
          <w:numId w:val="17"/>
        </w:numPr>
        <w:spacing w:before="80"/>
      </w:pPr>
      <w:r>
        <w:t>project WTP per owner-occupier and rental household for each feature based on projected changes in real income, age and mobility impairment, where WTP is defined as:</w:t>
      </w:r>
    </w:p>
    <w:p w:rsidR="007C6A5F" w:rsidRDefault="007C6A5F" w:rsidP="005A6F87">
      <w:pPr>
        <w:pStyle w:val="ListBullet2"/>
        <w:numPr>
          <w:ilvl w:val="1"/>
          <w:numId w:val="17"/>
        </w:numPr>
        <w:ind w:left="568" w:hanging="284"/>
      </w:pPr>
      <w:r>
        <w:t>average WTP across households, on the assumption of a random matching of accessibility features to households</w:t>
      </w:r>
      <w:r w:rsidR="00C36DA4">
        <w:t>,</w:t>
      </w:r>
      <w:r>
        <w:t xml:space="preserve"> or</w:t>
      </w:r>
    </w:p>
    <w:p w:rsidR="007C6A5F" w:rsidRDefault="007C6A5F" w:rsidP="005A6F87">
      <w:pPr>
        <w:pStyle w:val="ListBullet2"/>
        <w:numPr>
          <w:ilvl w:val="1"/>
          <w:numId w:val="17"/>
        </w:numPr>
        <w:ind w:left="568" w:hanging="284"/>
      </w:pPr>
      <w:r>
        <w:t>as a sensitivity test, WTP of the marginal consumer of each accessibility feature, on the assumption that accessibility features have been and will be consumed by those who value them most highly</w:t>
      </w:r>
    </w:p>
    <w:p w:rsidR="007C6A5F" w:rsidRDefault="007C6A5F" w:rsidP="005A6F87">
      <w:pPr>
        <w:pStyle w:val="ListBullet"/>
        <w:numPr>
          <w:ilvl w:val="0"/>
          <w:numId w:val="17"/>
        </w:numPr>
        <w:spacing w:before="80"/>
      </w:pPr>
      <w:r>
        <w:lastRenderedPageBreak/>
        <w:t>project the number of new home completions owner-occupied and rentals and the number of sales of new homes by first-owner occupants to second owners; and</w:t>
      </w:r>
    </w:p>
    <w:p w:rsidR="007C6A5F" w:rsidRDefault="007C6A5F" w:rsidP="005A6F87">
      <w:pPr>
        <w:pStyle w:val="ListBullet"/>
        <w:numPr>
          <w:ilvl w:val="0"/>
          <w:numId w:val="17"/>
        </w:numPr>
        <w:spacing w:before="80"/>
      </w:pPr>
      <w:r>
        <w:t>derive total WTP for increased supply of accessibility features by:</w:t>
      </w:r>
    </w:p>
    <w:p w:rsidR="007C6A5F" w:rsidRDefault="007C6A5F" w:rsidP="005A6F87">
      <w:pPr>
        <w:pStyle w:val="ListBullet2"/>
        <w:numPr>
          <w:ilvl w:val="1"/>
          <w:numId w:val="17"/>
        </w:numPr>
        <w:ind w:left="568" w:hanging="284"/>
      </w:pPr>
      <w:r>
        <w:t>multiplying the present value of the total rental cohort WTP by the number of new rental home completions</w:t>
      </w:r>
    </w:p>
    <w:p w:rsidR="007C6A5F" w:rsidRDefault="007C6A5F" w:rsidP="005A6F87">
      <w:pPr>
        <w:pStyle w:val="ListBullet2"/>
        <w:numPr>
          <w:ilvl w:val="1"/>
          <w:numId w:val="17"/>
        </w:numPr>
        <w:ind w:left="568" w:hanging="284"/>
      </w:pPr>
      <w:r>
        <w:t>multiplying owner-occupier WTP by the number of sales of new homes by first-owner occupants to second owners (for reasons discussed below)</w:t>
      </w:r>
      <w:r w:rsidR="00C36DA4">
        <w:t>,</w:t>
      </w:r>
      <w:r>
        <w:t xml:space="preserve"> and</w:t>
      </w:r>
    </w:p>
    <w:p w:rsidR="007C6A5F" w:rsidRDefault="007C6A5F" w:rsidP="005A6F87">
      <w:pPr>
        <w:pStyle w:val="ListBullet2"/>
        <w:numPr>
          <w:ilvl w:val="1"/>
          <w:numId w:val="17"/>
        </w:numPr>
        <w:ind w:left="568" w:hanging="284"/>
      </w:pPr>
      <w:r>
        <w:t>taking the present value of the sum of the rental and owner-occupant components described above.</w:t>
      </w:r>
    </w:p>
    <w:p w:rsidR="007C6A5F" w:rsidRDefault="007C6A5F" w:rsidP="007C6A5F">
      <w:pPr>
        <w:pStyle w:val="BodyText"/>
      </w:pPr>
      <w:r>
        <w:t>Each of these steps is described in more detail below.</w:t>
      </w:r>
    </w:p>
    <w:p w:rsidR="007C6A5F" w:rsidRDefault="007C6A5F" w:rsidP="007C6A5F">
      <w:pPr>
        <w:pStyle w:val="Heading4"/>
        <w:numPr>
          <w:ilvl w:val="3"/>
          <w:numId w:val="5"/>
        </w:numPr>
      </w:pPr>
      <w:r>
        <w:t>Projecting supply of accessibility features</w:t>
      </w:r>
    </w:p>
    <w:p w:rsidR="007C6A5F" w:rsidRDefault="007C6A5F" w:rsidP="007C6A5F">
      <w:pPr>
        <w:pStyle w:val="BodyText"/>
      </w:pPr>
      <w:r w:rsidRPr="00013E60">
        <w:t>Based on responses to the survey, we have estimated the levels of the accessibility features in the existing housing stock</w:t>
      </w:r>
      <w:r>
        <w:t xml:space="preserve">. We have some information on the accessibility features of the new homes in the </w:t>
      </w:r>
      <w:r w:rsidRPr="00013E60">
        <w:t>baseline scenario in DCWC’s cost weightings</w:t>
      </w:r>
      <w:r>
        <w:t xml:space="preserve">, however these focus on whether homes meet technical standards, whereas the accessibility features in the survey are less precisely-defined and based more on </w:t>
      </w:r>
      <w:r w:rsidRPr="00013E60">
        <w:t>respondents’ perceptions of outcomes.</w:t>
      </w:r>
      <w:r>
        <w:t xml:space="preserve"> Given the uncertainty over these assumptions, we are keen to hear from stakeholders regarding their reasonableness.</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w:instrText>
      </w:r>
      <w:r w:rsidRPr="00695C93">
        <w:fldChar w:fldCharType="separate"/>
      </w:r>
      <w:r>
        <w:rPr>
          <w:noProof/>
        </w:rPr>
        <w:instrText>6</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6</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4</w:instrText>
      </w:r>
      <w:r w:rsidRPr="00695C93">
        <w:fldChar w:fldCharType="end"/>
      </w:r>
      <w:r w:rsidRPr="00695C93">
        <w:instrText xml:space="preserve">" "" </w:instrText>
      </w:r>
      <w:r w:rsidRPr="00695C93">
        <w:fldChar w:fldCharType="separate"/>
      </w:r>
      <w:bookmarkStart w:id="5610" w:name="_Caption4663"/>
      <w:bookmarkStart w:id="5611" w:name="_Caption9301"/>
      <w:bookmarkStart w:id="5612" w:name="_Caption2055"/>
      <w:bookmarkStart w:id="5613" w:name="_Caption2783"/>
      <w:bookmarkStart w:id="5614" w:name="_Caption0066"/>
      <w:bookmarkStart w:id="5615" w:name="_Caption6542"/>
      <w:bookmarkStart w:id="5616" w:name="_Caption9480"/>
      <w:bookmarkStart w:id="5617" w:name="_Caption5931"/>
      <w:bookmarkStart w:id="5618" w:name="_Caption3611"/>
      <w:bookmarkStart w:id="5619" w:name="_Caption9453"/>
      <w:bookmarkStart w:id="5620" w:name="_Caption9747"/>
      <w:bookmarkStart w:id="5621" w:name="_Caption4941"/>
      <w:bookmarkStart w:id="5622" w:name="_Caption1813"/>
      <w:bookmarkStart w:id="5623" w:name="_Caption0714"/>
      <w:bookmarkStart w:id="5624" w:name="_Caption7342"/>
      <w:bookmarkStart w:id="5625" w:name="_Caption2107"/>
      <w:bookmarkStart w:id="5626" w:name="_Caption9914"/>
      <w:bookmarkStart w:id="5627" w:name="_Toc44598543"/>
      <w:bookmarkStart w:id="5628" w:name="_Toc45654174"/>
      <w:r w:rsidR="00272AF3">
        <w:rPr>
          <w:noProof/>
        </w:rPr>
        <w:t>6</w:t>
      </w:r>
      <w:r w:rsidR="00272AF3" w:rsidRPr="00695C93">
        <w:rPr>
          <w:noProof/>
        </w:rPr>
        <w:t>.</w:t>
      </w:r>
      <w:r w:rsidR="00272AF3">
        <w:rPr>
          <w:noProof/>
        </w:rPr>
        <w:t>4</w:t>
      </w:r>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r w:rsidRPr="00695C93">
        <w:fldChar w:fldCharType="end"/>
      </w:r>
      <w:r w:rsidRPr="00695C93">
        <w:tab/>
      </w:r>
      <w:r>
        <w:t>Estimated supply of accessibility features in baseline</w:t>
      </w:r>
      <w:bookmarkEnd w:id="5627"/>
      <w:bookmarkEnd w:id="5628"/>
      <w:r>
        <w:t xml:space="preserve"> </w:t>
      </w:r>
    </w:p>
    <w:tbl>
      <w:tblPr>
        <w:tblStyle w:val="TableGridLight"/>
        <w:tblW w:w="7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6.4"/>
        <w:tblDescription w:val="Estimated supply of accessibility features in baseline"/>
      </w:tblPr>
      <w:tblGrid>
        <w:gridCol w:w="1129"/>
        <w:gridCol w:w="1140"/>
        <w:gridCol w:w="888"/>
        <w:gridCol w:w="1004"/>
        <w:gridCol w:w="763"/>
        <w:gridCol w:w="750"/>
        <w:gridCol w:w="638"/>
        <w:gridCol w:w="650"/>
        <w:gridCol w:w="994"/>
      </w:tblGrid>
      <w:tr w:rsidR="00610462" w:rsidRPr="00060A8D" w:rsidTr="00F80080">
        <w:trPr>
          <w:trHeight w:val="260"/>
          <w:tblHeader/>
        </w:trPr>
        <w:tc>
          <w:tcPr>
            <w:tcW w:w="1131" w:type="dxa"/>
            <w:tcBorders>
              <w:bottom w:val="single" w:sz="8" w:space="0" w:color="FFFFFF" w:themeColor="background1"/>
            </w:tcBorders>
            <w:shd w:val="clear" w:color="auto" w:fill="6F6652" w:themeFill="accent5"/>
            <w:hideMark/>
          </w:tcPr>
          <w:p w:rsidR="00610462" w:rsidRPr="00C33CE4" w:rsidRDefault="00610462" w:rsidP="00610462">
            <w:pPr>
              <w:pStyle w:val="TableDataColumnHeading"/>
              <w:jc w:val="left"/>
            </w:pPr>
            <w:r>
              <w:t>Feature</w:t>
            </w:r>
          </w:p>
        </w:tc>
        <w:tc>
          <w:tcPr>
            <w:tcW w:w="1138" w:type="dxa"/>
            <w:tcBorders>
              <w:bottom w:val="single" w:sz="8" w:space="0" w:color="FFFFFF" w:themeColor="background1"/>
            </w:tcBorders>
            <w:shd w:val="clear" w:color="auto" w:fill="6F6652" w:themeFill="accent5"/>
          </w:tcPr>
          <w:p w:rsidR="00610462" w:rsidRPr="00C33CE4" w:rsidRDefault="00610462" w:rsidP="00610462">
            <w:pPr>
              <w:pStyle w:val="TableDataColumnHeading"/>
              <w:jc w:val="left"/>
            </w:pPr>
            <w:r>
              <w:t>Specification</w:t>
            </w:r>
          </w:p>
        </w:tc>
        <w:tc>
          <w:tcPr>
            <w:tcW w:w="888" w:type="dxa"/>
            <w:tcBorders>
              <w:bottom w:val="single" w:sz="8" w:space="0" w:color="FFFFFF" w:themeColor="background1"/>
            </w:tcBorders>
            <w:shd w:val="clear" w:color="auto" w:fill="6F6652" w:themeFill="accent5"/>
            <w:hideMark/>
          </w:tcPr>
          <w:p w:rsidR="00610462" w:rsidRPr="009000CB" w:rsidRDefault="00610462" w:rsidP="00C36DA4">
            <w:pPr>
              <w:pStyle w:val="TableDataColumnHeading"/>
            </w:pPr>
            <w:r w:rsidRPr="009000CB">
              <w:t>Weighted av</w:t>
            </w:r>
            <w:r>
              <w:t>era</w:t>
            </w:r>
            <w:r w:rsidRPr="009000CB">
              <w:t>g</w:t>
            </w:r>
            <w:r>
              <w:t>e</w:t>
            </w:r>
          </w:p>
        </w:tc>
        <w:tc>
          <w:tcPr>
            <w:tcW w:w="1004" w:type="dxa"/>
            <w:tcBorders>
              <w:bottom w:val="single" w:sz="8" w:space="0" w:color="FFFFFF" w:themeColor="background1"/>
            </w:tcBorders>
            <w:shd w:val="clear" w:color="auto" w:fill="6F6652" w:themeFill="accent5"/>
            <w:hideMark/>
          </w:tcPr>
          <w:p w:rsidR="00610462" w:rsidRPr="009000CB" w:rsidRDefault="00610462" w:rsidP="00C36DA4">
            <w:pPr>
              <w:pStyle w:val="TableDataColumnHeading"/>
            </w:pPr>
            <w:r>
              <w:t>T</w:t>
            </w:r>
            <w:r w:rsidRPr="009000CB">
              <w:t>ownhouse</w:t>
            </w:r>
          </w:p>
        </w:tc>
        <w:tc>
          <w:tcPr>
            <w:tcW w:w="763" w:type="dxa"/>
            <w:tcBorders>
              <w:bottom w:val="single" w:sz="8" w:space="0" w:color="FFFFFF" w:themeColor="background1"/>
            </w:tcBorders>
            <w:shd w:val="clear" w:color="auto" w:fill="6F6652" w:themeFill="accent5"/>
            <w:hideMark/>
          </w:tcPr>
          <w:p w:rsidR="00610462" w:rsidRPr="009000CB" w:rsidRDefault="00610462" w:rsidP="00C36DA4">
            <w:pPr>
              <w:pStyle w:val="TableDataColumnHeading"/>
            </w:pPr>
            <w:r w:rsidRPr="009000CB">
              <w:t>Custom home</w:t>
            </w:r>
          </w:p>
        </w:tc>
        <w:tc>
          <w:tcPr>
            <w:tcW w:w="750" w:type="dxa"/>
            <w:tcBorders>
              <w:bottom w:val="single" w:sz="8" w:space="0" w:color="FFFFFF" w:themeColor="background1"/>
            </w:tcBorders>
            <w:shd w:val="clear" w:color="auto" w:fill="6F6652" w:themeFill="accent5"/>
            <w:hideMark/>
          </w:tcPr>
          <w:p w:rsidR="00610462" w:rsidRPr="009000CB" w:rsidRDefault="00610462" w:rsidP="00C36DA4">
            <w:pPr>
              <w:pStyle w:val="TableDataColumnHeading"/>
            </w:pPr>
            <w:r w:rsidRPr="009000CB">
              <w:t>Volume home</w:t>
            </w:r>
          </w:p>
        </w:tc>
        <w:tc>
          <w:tcPr>
            <w:tcW w:w="638" w:type="dxa"/>
            <w:tcBorders>
              <w:bottom w:val="single" w:sz="8" w:space="0" w:color="FFFFFF" w:themeColor="background1"/>
            </w:tcBorders>
            <w:shd w:val="clear" w:color="auto" w:fill="6F6652" w:themeFill="accent5"/>
            <w:hideMark/>
          </w:tcPr>
          <w:p w:rsidR="00610462" w:rsidRPr="009000CB" w:rsidRDefault="00610462" w:rsidP="00C36DA4">
            <w:pPr>
              <w:pStyle w:val="TableDataColumnHeading"/>
            </w:pPr>
            <w:r w:rsidRPr="009000CB">
              <w:t>Walk up</w:t>
            </w:r>
          </w:p>
        </w:tc>
        <w:tc>
          <w:tcPr>
            <w:tcW w:w="650" w:type="dxa"/>
            <w:tcBorders>
              <w:bottom w:val="single" w:sz="8" w:space="0" w:color="FFFFFF" w:themeColor="background1"/>
            </w:tcBorders>
            <w:shd w:val="clear" w:color="auto" w:fill="6F6652" w:themeFill="accent5"/>
            <w:hideMark/>
          </w:tcPr>
          <w:p w:rsidR="00610462" w:rsidRPr="009000CB" w:rsidRDefault="00610462" w:rsidP="00C36DA4">
            <w:pPr>
              <w:pStyle w:val="TableDataColumnHeading"/>
            </w:pPr>
            <w:r w:rsidRPr="009000CB">
              <w:t>Four storey plus</w:t>
            </w:r>
          </w:p>
        </w:tc>
        <w:tc>
          <w:tcPr>
            <w:tcW w:w="994" w:type="dxa"/>
            <w:tcBorders>
              <w:bottom w:val="single" w:sz="8" w:space="0" w:color="FFFFFF" w:themeColor="background1"/>
            </w:tcBorders>
            <w:shd w:val="clear" w:color="auto" w:fill="6F6652" w:themeFill="accent5"/>
            <w:hideMark/>
          </w:tcPr>
          <w:p w:rsidR="00610462" w:rsidRPr="009000CB" w:rsidRDefault="00610462" w:rsidP="00C36DA4">
            <w:pPr>
              <w:pStyle w:val="TableDataColumnHeading"/>
            </w:pPr>
            <w:r>
              <w:t>Source in DCWC cost weights</w:t>
            </w:r>
          </w:p>
        </w:tc>
      </w:tr>
      <w:tr w:rsidR="00610462" w:rsidRPr="00060A8D" w:rsidTr="00F80080">
        <w:trPr>
          <w:trHeight w:val="510"/>
        </w:trPr>
        <w:tc>
          <w:tcPr>
            <w:tcW w:w="1131" w:type="dxa"/>
            <w:tcBorders>
              <w:top w:val="single" w:sz="8" w:space="0" w:color="FFFFFF" w:themeColor="background1"/>
              <w:bottom w:val="single" w:sz="8" w:space="0" w:color="FFFFFF" w:themeColor="background1"/>
            </w:tcBorders>
            <w:shd w:val="clear" w:color="auto" w:fill="E9E8E5" w:themeFill="background2"/>
            <w:hideMark/>
          </w:tcPr>
          <w:p w:rsidR="00610462" w:rsidRPr="00060A8D" w:rsidRDefault="00610462" w:rsidP="00610462">
            <w:pPr>
              <w:pStyle w:val="TableDataEntries"/>
              <w:jc w:val="left"/>
            </w:pPr>
            <w:r w:rsidRPr="0074350F">
              <w:t>Getting in and out</w:t>
            </w:r>
          </w:p>
        </w:tc>
        <w:tc>
          <w:tcPr>
            <w:tcW w:w="1138" w:type="dxa"/>
            <w:tcBorders>
              <w:top w:val="single" w:sz="8" w:space="0" w:color="FFFFFF" w:themeColor="background1"/>
              <w:bottom w:val="single" w:sz="8" w:space="0" w:color="FFFFFF" w:themeColor="background1"/>
            </w:tcBorders>
            <w:shd w:val="clear" w:color="auto" w:fill="E9E8E5" w:themeFill="background2"/>
          </w:tcPr>
          <w:p w:rsidR="00610462" w:rsidRPr="00060A8D" w:rsidRDefault="00610462" w:rsidP="00610462">
            <w:pPr>
              <w:pStyle w:val="TableDataEntries"/>
              <w:jc w:val="left"/>
            </w:pPr>
            <w:r w:rsidRPr="00060A8D">
              <w:t>Several steps</w:t>
            </w:r>
          </w:p>
        </w:tc>
        <w:tc>
          <w:tcPr>
            <w:tcW w:w="888"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0%</w:t>
            </w:r>
          </w:p>
        </w:tc>
        <w:tc>
          <w:tcPr>
            <w:tcW w:w="1004"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0%</w:t>
            </w:r>
          </w:p>
        </w:tc>
        <w:tc>
          <w:tcPr>
            <w:tcW w:w="763"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0%</w:t>
            </w:r>
          </w:p>
        </w:tc>
        <w:tc>
          <w:tcPr>
            <w:tcW w:w="750"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0%</w:t>
            </w:r>
          </w:p>
        </w:tc>
        <w:tc>
          <w:tcPr>
            <w:tcW w:w="638"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0%</w:t>
            </w:r>
          </w:p>
        </w:tc>
        <w:tc>
          <w:tcPr>
            <w:tcW w:w="650"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0%</w:t>
            </w:r>
          </w:p>
        </w:tc>
        <w:tc>
          <w:tcPr>
            <w:tcW w:w="994"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This feature will tend to be supplied for exempt homes</w:t>
            </w:r>
          </w:p>
        </w:tc>
      </w:tr>
      <w:tr w:rsidR="00610462" w:rsidRPr="00060A8D" w:rsidTr="00F80080">
        <w:trPr>
          <w:trHeight w:val="510"/>
        </w:trPr>
        <w:tc>
          <w:tcPr>
            <w:tcW w:w="1131" w:type="dxa"/>
            <w:tcBorders>
              <w:top w:val="single" w:sz="8" w:space="0" w:color="FFFFFF" w:themeColor="background1"/>
              <w:bottom w:val="single" w:sz="8" w:space="0" w:color="FFFFFF" w:themeColor="background1"/>
            </w:tcBorders>
            <w:shd w:val="clear" w:color="auto" w:fill="E9E8E5" w:themeFill="background2"/>
            <w:hideMark/>
          </w:tcPr>
          <w:p w:rsidR="00610462" w:rsidRPr="00060A8D" w:rsidRDefault="00610462" w:rsidP="00610462">
            <w:pPr>
              <w:pStyle w:val="TableDataEntries"/>
              <w:jc w:val="left"/>
            </w:pPr>
            <w:r w:rsidRPr="0074350F">
              <w:t>Getting in and out</w:t>
            </w:r>
          </w:p>
        </w:tc>
        <w:tc>
          <w:tcPr>
            <w:tcW w:w="1138" w:type="dxa"/>
            <w:tcBorders>
              <w:top w:val="single" w:sz="8" w:space="0" w:color="FFFFFF" w:themeColor="background1"/>
              <w:bottom w:val="single" w:sz="8" w:space="0" w:color="FFFFFF" w:themeColor="background1"/>
            </w:tcBorders>
            <w:shd w:val="clear" w:color="auto" w:fill="E9E8E5" w:themeFill="background2"/>
          </w:tcPr>
          <w:p w:rsidR="00610462" w:rsidRPr="00060A8D" w:rsidRDefault="00610462" w:rsidP="00610462">
            <w:pPr>
              <w:pStyle w:val="TableDataEntries"/>
              <w:jc w:val="left"/>
            </w:pPr>
            <w:r w:rsidRPr="00060A8D">
              <w:t>Single step</w:t>
            </w:r>
          </w:p>
        </w:tc>
        <w:tc>
          <w:tcPr>
            <w:tcW w:w="888"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100%</w:t>
            </w:r>
          </w:p>
        </w:tc>
        <w:tc>
          <w:tcPr>
            <w:tcW w:w="1004"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100%</w:t>
            </w:r>
          </w:p>
        </w:tc>
        <w:tc>
          <w:tcPr>
            <w:tcW w:w="763"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100%</w:t>
            </w:r>
          </w:p>
        </w:tc>
        <w:tc>
          <w:tcPr>
            <w:tcW w:w="750"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100%</w:t>
            </w:r>
          </w:p>
        </w:tc>
        <w:tc>
          <w:tcPr>
            <w:tcW w:w="638"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100%</w:t>
            </w:r>
          </w:p>
        </w:tc>
        <w:tc>
          <w:tcPr>
            <w:tcW w:w="650"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100%</w:t>
            </w:r>
          </w:p>
        </w:tc>
        <w:tc>
          <w:tcPr>
            <w:tcW w:w="994"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Standard practice</w:t>
            </w:r>
          </w:p>
        </w:tc>
      </w:tr>
      <w:tr w:rsidR="00610462" w:rsidRPr="00060A8D" w:rsidTr="00F80080">
        <w:trPr>
          <w:trHeight w:val="260"/>
        </w:trPr>
        <w:tc>
          <w:tcPr>
            <w:tcW w:w="1131" w:type="dxa"/>
            <w:tcBorders>
              <w:top w:val="single" w:sz="8" w:space="0" w:color="FFFFFF" w:themeColor="background1"/>
              <w:bottom w:val="single" w:sz="8" w:space="0" w:color="FFFFFF" w:themeColor="background1"/>
            </w:tcBorders>
            <w:shd w:val="clear" w:color="auto" w:fill="E9E8E5" w:themeFill="background2"/>
            <w:hideMark/>
          </w:tcPr>
          <w:p w:rsidR="00610462" w:rsidRPr="00060A8D" w:rsidRDefault="00610462" w:rsidP="00610462">
            <w:pPr>
              <w:pStyle w:val="TableDataEntries"/>
              <w:jc w:val="left"/>
            </w:pPr>
            <w:r w:rsidRPr="0074350F">
              <w:t>Getting in and out</w:t>
            </w:r>
          </w:p>
        </w:tc>
        <w:tc>
          <w:tcPr>
            <w:tcW w:w="1138" w:type="dxa"/>
            <w:tcBorders>
              <w:top w:val="single" w:sz="8" w:space="0" w:color="FFFFFF" w:themeColor="background1"/>
              <w:bottom w:val="single" w:sz="8" w:space="0" w:color="FFFFFF" w:themeColor="background1"/>
            </w:tcBorders>
            <w:shd w:val="clear" w:color="auto" w:fill="E9E8E5" w:themeFill="background2"/>
          </w:tcPr>
          <w:p w:rsidR="00610462" w:rsidRPr="00060A8D" w:rsidRDefault="00610462" w:rsidP="00610462">
            <w:pPr>
              <w:pStyle w:val="TableDataEntries"/>
              <w:jc w:val="left"/>
            </w:pPr>
            <w:r w:rsidRPr="00060A8D">
              <w:t>Step-free</w:t>
            </w:r>
          </w:p>
        </w:tc>
        <w:tc>
          <w:tcPr>
            <w:tcW w:w="888"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0%</w:t>
            </w:r>
          </w:p>
        </w:tc>
        <w:tc>
          <w:tcPr>
            <w:tcW w:w="1004"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0%</w:t>
            </w:r>
          </w:p>
        </w:tc>
        <w:tc>
          <w:tcPr>
            <w:tcW w:w="763"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0%</w:t>
            </w:r>
          </w:p>
        </w:tc>
        <w:tc>
          <w:tcPr>
            <w:tcW w:w="750"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0%</w:t>
            </w:r>
          </w:p>
        </w:tc>
        <w:tc>
          <w:tcPr>
            <w:tcW w:w="638"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0%</w:t>
            </w:r>
          </w:p>
        </w:tc>
        <w:tc>
          <w:tcPr>
            <w:tcW w:w="650"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0%</w:t>
            </w:r>
          </w:p>
        </w:tc>
        <w:tc>
          <w:tcPr>
            <w:tcW w:w="994"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p>
        </w:tc>
      </w:tr>
      <w:tr w:rsidR="00610462" w:rsidRPr="00060A8D" w:rsidTr="00F80080">
        <w:trPr>
          <w:trHeight w:val="670"/>
        </w:trPr>
        <w:tc>
          <w:tcPr>
            <w:tcW w:w="1131" w:type="dxa"/>
            <w:tcBorders>
              <w:top w:val="single" w:sz="8" w:space="0" w:color="FFFFFF" w:themeColor="background1"/>
              <w:bottom w:val="single" w:sz="8" w:space="0" w:color="FFFFFF" w:themeColor="background1"/>
            </w:tcBorders>
            <w:shd w:val="clear" w:color="auto" w:fill="E9E8E5" w:themeFill="background2"/>
            <w:hideMark/>
          </w:tcPr>
          <w:p w:rsidR="00610462" w:rsidRPr="00060A8D" w:rsidRDefault="00610462" w:rsidP="00610462">
            <w:pPr>
              <w:pStyle w:val="TableDataEntries"/>
              <w:jc w:val="left"/>
            </w:pPr>
            <w:r w:rsidRPr="00073A4F">
              <w:t>Moving around indoors</w:t>
            </w:r>
          </w:p>
        </w:tc>
        <w:tc>
          <w:tcPr>
            <w:tcW w:w="1138" w:type="dxa"/>
            <w:tcBorders>
              <w:top w:val="single" w:sz="8" w:space="0" w:color="FFFFFF" w:themeColor="background1"/>
              <w:bottom w:val="single" w:sz="8" w:space="0" w:color="FFFFFF" w:themeColor="background1"/>
            </w:tcBorders>
            <w:shd w:val="clear" w:color="auto" w:fill="E9E8E5" w:themeFill="background2"/>
          </w:tcPr>
          <w:p w:rsidR="00610462" w:rsidRPr="00060A8D" w:rsidRDefault="00610462" w:rsidP="00610462">
            <w:pPr>
              <w:pStyle w:val="TableDataEntries"/>
              <w:jc w:val="left"/>
            </w:pPr>
            <w:r w:rsidRPr="00060A8D">
              <w:t xml:space="preserve">Regular spaces – Suitable for some mobility aids </w:t>
            </w:r>
          </w:p>
        </w:tc>
        <w:tc>
          <w:tcPr>
            <w:tcW w:w="888"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87%</w:t>
            </w:r>
          </w:p>
        </w:tc>
        <w:tc>
          <w:tcPr>
            <w:tcW w:w="1004"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95%</w:t>
            </w:r>
          </w:p>
        </w:tc>
        <w:tc>
          <w:tcPr>
            <w:tcW w:w="763"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70%</w:t>
            </w:r>
          </w:p>
        </w:tc>
        <w:tc>
          <w:tcPr>
            <w:tcW w:w="750"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90%</w:t>
            </w:r>
          </w:p>
        </w:tc>
        <w:tc>
          <w:tcPr>
            <w:tcW w:w="638"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90%</w:t>
            </w:r>
          </w:p>
        </w:tc>
        <w:tc>
          <w:tcPr>
            <w:tcW w:w="650"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90%</w:t>
            </w:r>
          </w:p>
        </w:tc>
        <w:tc>
          <w:tcPr>
            <w:tcW w:w="994"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p>
        </w:tc>
      </w:tr>
      <w:tr w:rsidR="00610462" w:rsidRPr="00060A8D" w:rsidTr="00F80080">
        <w:trPr>
          <w:trHeight w:val="890"/>
        </w:trPr>
        <w:tc>
          <w:tcPr>
            <w:tcW w:w="1131" w:type="dxa"/>
            <w:tcBorders>
              <w:top w:val="single" w:sz="8" w:space="0" w:color="FFFFFF" w:themeColor="background1"/>
              <w:bottom w:val="single" w:sz="8" w:space="0" w:color="FFFFFF" w:themeColor="background1"/>
            </w:tcBorders>
            <w:shd w:val="clear" w:color="auto" w:fill="E9E8E5" w:themeFill="background2"/>
            <w:hideMark/>
          </w:tcPr>
          <w:p w:rsidR="00610462" w:rsidRPr="00060A8D" w:rsidRDefault="00610462" w:rsidP="00610462">
            <w:pPr>
              <w:pStyle w:val="TableDataEntries"/>
              <w:jc w:val="left"/>
            </w:pPr>
            <w:r w:rsidRPr="00073A4F">
              <w:t>Moving around indoors</w:t>
            </w:r>
          </w:p>
        </w:tc>
        <w:tc>
          <w:tcPr>
            <w:tcW w:w="1138" w:type="dxa"/>
            <w:tcBorders>
              <w:top w:val="single" w:sz="8" w:space="0" w:color="FFFFFF" w:themeColor="background1"/>
              <w:bottom w:val="single" w:sz="8" w:space="0" w:color="FFFFFF" w:themeColor="background1"/>
            </w:tcBorders>
            <w:shd w:val="clear" w:color="auto" w:fill="E9E8E5" w:themeFill="background2"/>
          </w:tcPr>
          <w:p w:rsidR="00610462" w:rsidRPr="00060A8D" w:rsidRDefault="00610462" w:rsidP="00610462">
            <w:pPr>
              <w:pStyle w:val="TableDataEntries"/>
              <w:jc w:val="left"/>
            </w:pPr>
            <w:r w:rsidRPr="00060A8D">
              <w:t xml:space="preserve">Wide spaces – Suitable for most mobility aids, but not wheelchairs </w:t>
            </w:r>
          </w:p>
        </w:tc>
        <w:tc>
          <w:tcPr>
            <w:tcW w:w="888"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3%</w:t>
            </w:r>
          </w:p>
        </w:tc>
        <w:tc>
          <w:tcPr>
            <w:tcW w:w="1004"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5%</w:t>
            </w:r>
          </w:p>
        </w:tc>
        <w:tc>
          <w:tcPr>
            <w:tcW w:w="763"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10%</w:t>
            </w:r>
          </w:p>
        </w:tc>
        <w:tc>
          <w:tcPr>
            <w:tcW w:w="750"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0%</w:t>
            </w:r>
          </w:p>
        </w:tc>
        <w:tc>
          <w:tcPr>
            <w:tcW w:w="638"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10%</w:t>
            </w:r>
          </w:p>
        </w:tc>
        <w:tc>
          <w:tcPr>
            <w:tcW w:w="650"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0</w:t>
            </w:r>
          </w:p>
        </w:tc>
        <w:tc>
          <w:tcPr>
            <w:tcW w:w="994"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Element 3 – negligible impact increment silver over gold</w:t>
            </w:r>
          </w:p>
        </w:tc>
      </w:tr>
      <w:tr w:rsidR="00610462" w:rsidRPr="00060A8D" w:rsidTr="00F80080">
        <w:trPr>
          <w:trHeight w:val="890"/>
        </w:trPr>
        <w:tc>
          <w:tcPr>
            <w:tcW w:w="1131" w:type="dxa"/>
            <w:tcBorders>
              <w:top w:val="single" w:sz="8" w:space="0" w:color="FFFFFF" w:themeColor="background1"/>
              <w:bottom w:val="single" w:sz="8" w:space="0" w:color="FFFFFF" w:themeColor="background1"/>
            </w:tcBorders>
            <w:shd w:val="clear" w:color="auto" w:fill="E9E8E5" w:themeFill="background2"/>
            <w:hideMark/>
          </w:tcPr>
          <w:p w:rsidR="00610462" w:rsidRPr="00060A8D" w:rsidRDefault="00610462" w:rsidP="00610462">
            <w:pPr>
              <w:pStyle w:val="TableDataEntries"/>
              <w:jc w:val="left"/>
            </w:pPr>
            <w:r w:rsidRPr="00073A4F">
              <w:lastRenderedPageBreak/>
              <w:t>Moving around indoors</w:t>
            </w:r>
          </w:p>
        </w:tc>
        <w:tc>
          <w:tcPr>
            <w:tcW w:w="1138" w:type="dxa"/>
            <w:tcBorders>
              <w:top w:val="single" w:sz="8" w:space="0" w:color="FFFFFF" w:themeColor="background1"/>
              <w:bottom w:val="single" w:sz="8" w:space="0" w:color="FFFFFF" w:themeColor="background1"/>
            </w:tcBorders>
            <w:shd w:val="clear" w:color="auto" w:fill="E9E8E5" w:themeFill="background2"/>
          </w:tcPr>
          <w:p w:rsidR="00610462" w:rsidRPr="00060A8D" w:rsidRDefault="00610462" w:rsidP="00610462">
            <w:pPr>
              <w:pStyle w:val="TableDataEntries"/>
              <w:jc w:val="left"/>
            </w:pPr>
            <w:r w:rsidRPr="00060A8D">
              <w:t>Extra-wide spaces – Suitable for all mobility aids, including wheelchairs</w:t>
            </w:r>
          </w:p>
        </w:tc>
        <w:tc>
          <w:tcPr>
            <w:tcW w:w="888"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10%</w:t>
            </w:r>
          </w:p>
        </w:tc>
        <w:tc>
          <w:tcPr>
            <w:tcW w:w="1004"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0%</w:t>
            </w:r>
          </w:p>
        </w:tc>
        <w:tc>
          <w:tcPr>
            <w:tcW w:w="763"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20%</w:t>
            </w:r>
          </w:p>
        </w:tc>
        <w:tc>
          <w:tcPr>
            <w:tcW w:w="750"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10%</w:t>
            </w:r>
          </w:p>
        </w:tc>
        <w:tc>
          <w:tcPr>
            <w:tcW w:w="638"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0%</w:t>
            </w:r>
          </w:p>
        </w:tc>
        <w:tc>
          <w:tcPr>
            <w:tcW w:w="650"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10%</w:t>
            </w:r>
          </w:p>
        </w:tc>
        <w:tc>
          <w:tcPr>
            <w:tcW w:w="994"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Element 3 – negligible impact gold</w:t>
            </w:r>
          </w:p>
        </w:tc>
      </w:tr>
      <w:tr w:rsidR="00610462" w:rsidRPr="00060A8D" w:rsidTr="00F80080">
        <w:trPr>
          <w:trHeight w:val="670"/>
        </w:trPr>
        <w:tc>
          <w:tcPr>
            <w:tcW w:w="1131" w:type="dxa"/>
            <w:tcBorders>
              <w:top w:val="single" w:sz="8" w:space="0" w:color="FFFFFF" w:themeColor="background1"/>
              <w:bottom w:val="single" w:sz="8" w:space="0" w:color="FFFFFF" w:themeColor="background1"/>
            </w:tcBorders>
            <w:shd w:val="clear" w:color="auto" w:fill="E9E8E5" w:themeFill="background2"/>
            <w:hideMark/>
          </w:tcPr>
          <w:p w:rsidR="00610462" w:rsidRPr="00060A8D" w:rsidRDefault="00610462" w:rsidP="00610462">
            <w:pPr>
              <w:pStyle w:val="TableDataEntries"/>
              <w:jc w:val="left"/>
            </w:pPr>
            <w:r w:rsidRPr="00AE11A6">
              <w:t>Living with limited mobility on same level as an entrance</w:t>
            </w:r>
          </w:p>
        </w:tc>
        <w:tc>
          <w:tcPr>
            <w:tcW w:w="1138" w:type="dxa"/>
            <w:tcBorders>
              <w:top w:val="single" w:sz="8" w:space="0" w:color="FFFFFF" w:themeColor="background1"/>
              <w:bottom w:val="single" w:sz="8" w:space="0" w:color="FFFFFF" w:themeColor="background1"/>
            </w:tcBorders>
            <w:shd w:val="clear" w:color="auto" w:fill="E9E8E5" w:themeFill="background2"/>
          </w:tcPr>
          <w:p w:rsidR="00610462" w:rsidRPr="00060A8D" w:rsidRDefault="00610462" w:rsidP="00610462">
            <w:pPr>
              <w:pStyle w:val="TableDataEntries"/>
              <w:jc w:val="left"/>
            </w:pPr>
            <w:r w:rsidRPr="00060A8D">
              <w:t xml:space="preserve">Unsuitable – No toilet or shower on entry level  </w:t>
            </w:r>
          </w:p>
        </w:tc>
        <w:tc>
          <w:tcPr>
            <w:tcW w:w="888"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2%</w:t>
            </w:r>
          </w:p>
        </w:tc>
        <w:tc>
          <w:tcPr>
            <w:tcW w:w="1004"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10%</w:t>
            </w:r>
          </w:p>
        </w:tc>
        <w:tc>
          <w:tcPr>
            <w:tcW w:w="763"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0%</w:t>
            </w:r>
          </w:p>
        </w:tc>
        <w:tc>
          <w:tcPr>
            <w:tcW w:w="750"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0%</w:t>
            </w:r>
          </w:p>
        </w:tc>
        <w:tc>
          <w:tcPr>
            <w:tcW w:w="638"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0%</w:t>
            </w:r>
          </w:p>
        </w:tc>
        <w:tc>
          <w:tcPr>
            <w:tcW w:w="650"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0%</w:t>
            </w:r>
          </w:p>
        </w:tc>
        <w:tc>
          <w:tcPr>
            <w:tcW w:w="994"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Element 4 - additional WC</w:t>
            </w:r>
          </w:p>
        </w:tc>
      </w:tr>
      <w:tr w:rsidR="00610462" w:rsidRPr="00060A8D" w:rsidTr="00F80080">
        <w:trPr>
          <w:trHeight w:val="670"/>
        </w:trPr>
        <w:tc>
          <w:tcPr>
            <w:tcW w:w="1131" w:type="dxa"/>
            <w:tcBorders>
              <w:top w:val="single" w:sz="8" w:space="0" w:color="FFFFFF" w:themeColor="background1"/>
              <w:bottom w:val="single" w:sz="8" w:space="0" w:color="FFFFFF" w:themeColor="background1"/>
            </w:tcBorders>
            <w:shd w:val="clear" w:color="auto" w:fill="E9E8E5" w:themeFill="background2"/>
            <w:hideMark/>
          </w:tcPr>
          <w:p w:rsidR="00610462" w:rsidRPr="00060A8D" w:rsidRDefault="00610462" w:rsidP="00610462">
            <w:pPr>
              <w:pStyle w:val="TableDataEntries"/>
              <w:jc w:val="left"/>
            </w:pPr>
            <w:r w:rsidRPr="00AE11A6">
              <w:t>Living with limited mobility on same level as an entrance</w:t>
            </w:r>
          </w:p>
        </w:tc>
        <w:tc>
          <w:tcPr>
            <w:tcW w:w="1138" w:type="dxa"/>
            <w:tcBorders>
              <w:top w:val="single" w:sz="8" w:space="0" w:color="FFFFFF" w:themeColor="background1"/>
              <w:bottom w:val="single" w:sz="8" w:space="0" w:color="FFFFFF" w:themeColor="background1"/>
            </w:tcBorders>
            <w:shd w:val="clear" w:color="auto" w:fill="E9E8E5" w:themeFill="background2"/>
          </w:tcPr>
          <w:p w:rsidR="00610462" w:rsidRPr="00060A8D" w:rsidRDefault="00610462" w:rsidP="00610462">
            <w:pPr>
              <w:pStyle w:val="TableDataEntries"/>
              <w:jc w:val="left"/>
            </w:pPr>
            <w:r w:rsidRPr="00060A8D">
              <w:t xml:space="preserve">Suitable for short visits – Toilet, but no shower on entry level </w:t>
            </w:r>
          </w:p>
        </w:tc>
        <w:tc>
          <w:tcPr>
            <w:tcW w:w="888"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14%</w:t>
            </w:r>
          </w:p>
        </w:tc>
        <w:tc>
          <w:tcPr>
            <w:tcW w:w="1004"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70%</w:t>
            </w:r>
          </w:p>
        </w:tc>
        <w:tc>
          <w:tcPr>
            <w:tcW w:w="763"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0%</w:t>
            </w:r>
          </w:p>
        </w:tc>
        <w:tc>
          <w:tcPr>
            <w:tcW w:w="750"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0%</w:t>
            </w:r>
          </w:p>
        </w:tc>
        <w:tc>
          <w:tcPr>
            <w:tcW w:w="638"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0%</w:t>
            </w:r>
          </w:p>
        </w:tc>
        <w:tc>
          <w:tcPr>
            <w:tcW w:w="650"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0%</w:t>
            </w:r>
          </w:p>
        </w:tc>
        <w:tc>
          <w:tcPr>
            <w:tcW w:w="994"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Remainder</w:t>
            </w:r>
          </w:p>
        </w:tc>
      </w:tr>
      <w:tr w:rsidR="00610462" w:rsidRPr="00060A8D" w:rsidTr="00F80080">
        <w:trPr>
          <w:trHeight w:val="1110"/>
        </w:trPr>
        <w:tc>
          <w:tcPr>
            <w:tcW w:w="1131" w:type="dxa"/>
            <w:tcBorders>
              <w:top w:val="single" w:sz="8" w:space="0" w:color="FFFFFF" w:themeColor="background1"/>
              <w:bottom w:val="single" w:sz="8" w:space="0" w:color="FFFFFF" w:themeColor="background1"/>
            </w:tcBorders>
            <w:shd w:val="clear" w:color="auto" w:fill="E9E8E5" w:themeFill="background2"/>
            <w:hideMark/>
          </w:tcPr>
          <w:p w:rsidR="00610462" w:rsidRPr="00060A8D" w:rsidRDefault="00610462" w:rsidP="00610462">
            <w:pPr>
              <w:pStyle w:val="TableDataEntries"/>
              <w:jc w:val="left"/>
            </w:pPr>
            <w:r w:rsidRPr="00AE11A6">
              <w:t>Living with limited mobility on same level as an entrance</w:t>
            </w:r>
          </w:p>
        </w:tc>
        <w:tc>
          <w:tcPr>
            <w:tcW w:w="1138" w:type="dxa"/>
            <w:tcBorders>
              <w:top w:val="single" w:sz="8" w:space="0" w:color="FFFFFF" w:themeColor="background1"/>
              <w:bottom w:val="single" w:sz="8" w:space="0" w:color="FFFFFF" w:themeColor="background1"/>
            </w:tcBorders>
            <w:shd w:val="clear" w:color="auto" w:fill="E9E8E5" w:themeFill="background2"/>
          </w:tcPr>
          <w:p w:rsidR="00610462" w:rsidRPr="00060A8D" w:rsidRDefault="00610462" w:rsidP="00610462">
            <w:pPr>
              <w:pStyle w:val="TableDataEntries"/>
              <w:jc w:val="left"/>
            </w:pPr>
            <w:r w:rsidRPr="00060A8D">
              <w:t>Suitable for living or overnight visits – Toilet, shower and bedroom on entry level</w:t>
            </w:r>
          </w:p>
        </w:tc>
        <w:tc>
          <w:tcPr>
            <w:tcW w:w="888"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84%</w:t>
            </w:r>
          </w:p>
        </w:tc>
        <w:tc>
          <w:tcPr>
            <w:tcW w:w="1004"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20%</w:t>
            </w:r>
          </w:p>
        </w:tc>
        <w:tc>
          <w:tcPr>
            <w:tcW w:w="763"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100%</w:t>
            </w:r>
          </w:p>
        </w:tc>
        <w:tc>
          <w:tcPr>
            <w:tcW w:w="750"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100%</w:t>
            </w:r>
          </w:p>
        </w:tc>
        <w:tc>
          <w:tcPr>
            <w:tcW w:w="638"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100%</w:t>
            </w:r>
          </w:p>
        </w:tc>
        <w:tc>
          <w:tcPr>
            <w:tcW w:w="650"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100%</w:t>
            </w:r>
          </w:p>
        </w:tc>
        <w:tc>
          <w:tcPr>
            <w:tcW w:w="994" w:type="dxa"/>
            <w:tcBorders>
              <w:top w:val="single" w:sz="8" w:space="0" w:color="FFFFFF" w:themeColor="background1"/>
              <w:bottom w:val="single" w:sz="8" w:space="0" w:color="FFFFFF" w:themeColor="background1"/>
            </w:tcBorders>
            <w:shd w:val="clear" w:color="auto" w:fill="E9E8E5" w:themeFill="background2"/>
            <w:hideMark/>
          </w:tcPr>
          <w:p w:rsidR="00610462" w:rsidRPr="004F7D6F" w:rsidRDefault="00610462" w:rsidP="00610462">
            <w:pPr>
              <w:pStyle w:val="TableDataEntries"/>
              <w:rPr>
                <w:szCs w:val="16"/>
              </w:rPr>
            </w:pPr>
            <w:r w:rsidRPr="004F7D6F">
              <w:rPr>
                <w:szCs w:val="16"/>
              </w:rPr>
              <w:t>Element 10 – negligible impact</w:t>
            </w:r>
          </w:p>
        </w:tc>
      </w:tr>
      <w:tr w:rsidR="00610462" w:rsidRPr="00060A8D" w:rsidTr="00F80080">
        <w:trPr>
          <w:trHeight w:val="260"/>
        </w:trPr>
        <w:tc>
          <w:tcPr>
            <w:tcW w:w="1131" w:type="dxa"/>
            <w:tcBorders>
              <w:top w:val="single" w:sz="8" w:space="0" w:color="FFFFFF" w:themeColor="background1"/>
              <w:bottom w:val="single" w:sz="4" w:space="0" w:color="6F6652" w:themeColor="accent5"/>
            </w:tcBorders>
            <w:shd w:val="clear" w:color="auto" w:fill="E9E8E5" w:themeFill="background2"/>
            <w:hideMark/>
          </w:tcPr>
          <w:p w:rsidR="00610462" w:rsidRPr="00060A8D" w:rsidRDefault="00610462" w:rsidP="00C36DA4">
            <w:pPr>
              <w:pStyle w:val="TableDataEntries"/>
              <w:jc w:val="left"/>
            </w:pPr>
            <w:r>
              <w:t>W</w:t>
            </w:r>
            <w:r w:rsidRPr="00060A8D">
              <w:t>eighting</w:t>
            </w:r>
          </w:p>
        </w:tc>
        <w:tc>
          <w:tcPr>
            <w:tcW w:w="1138" w:type="dxa"/>
            <w:tcBorders>
              <w:top w:val="single" w:sz="8" w:space="0" w:color="FFFFFF" w:themeColor="background1"/>
              <w:bottom w:val="single" w:sz="4" w:space="0" w:color="6F6652" w:themeColor="accent5"/>
            </w:tcBorders>
            <w:shd w:val="clear" w:color="auto" w:fill="E9E8E5" w:themeFill="background2"/>
          </w:tcPr>
          <w:p w:rsidR="00610462" w:rsidRPr="00060A8D" w:rsidRDefault="00610462" w:rsidP="00C36DA4">
            <w:pPr>
              <w:pStyle w:val="TableDataEntries"/>
              <w:jc w:val="left"/>
            </w:pPr>
            <w:r>
              <w:t>Supply w</w:t>
            </w:r>
            <w:r w:rsidRPr="00060A8D">
              <w:t>eighting</w:t>
            </w:r>
          </w:p>
        </w:tc>
        <w:tc>
          <w:tcPr>
            <w:tcW w:w="888" w:type="dxa"/>
            <w:tcBorders>
              <w:top w:val="single" w:sz="8" w:space="0" w:color="FFFFFF" w:themeColor="background1"/>
              <w:bottom w:val="single" w:sz="4" w:space="0" w:color="6F6652" w:themeColor="accent5"/>
            </w:tcBorders>
            <w:shd w:val="clear" w:color="auto" w:fill="E9E8E5" w:themeFill="background2"/>
            <w:hideMark/>
          </w:tcPr>
          <w:p w:rsidR="00610462" w:rsidRPr="004F7D6F" w:rsidRDefault="00610462" w:rsidP="00C36DA4">
            <w:pPr>
              <w:pStyle w:val="TableDataEntries"/>
              <w:rPr>
                <w:szCs w:val="16"/>
              </w:rPr>
            </w:pPr>
          </w:p>
        </w:tc>
        <w:tc>
          <w:tcPr>
            <w:tcW w:w="1004" w:type="dxa"/>
            <w:tcBorders>
              <w:top w:val="single" w:sz="8" w:space="0" w:color="FFFFFF" w:themeColor="background1"/>
              <w:bottom w:val="single" w:sz="4" w:space="0" w:color="6F6652" w:themeColor="accent5"/>
            </w:tcBorders>
            <w:shd w:val="clear" w:color="auto" w:fill="E9E8E5" w:themeFill="background2"/>
            <w:hideMark/>
          </w:tcPr>
          <w:p w:rsidR="00610462" w:rsidRPr="004F7D6F" w:rsidRDefault="00610462" w:rsidP="00C36DA4">
            <w:pPr>
              <w:pStyle w:val="TableDataEntries"/>
              <w:rPr>
                <w:szCs w:val="16"/>
              </w:rPr>
            </w:pPr>
            <w:r w:rsidRPr="004F7D6F">
              <w:rPr>
                <w:szCs w:val="16"/>
              </w:rPr>
              <w:t>20%</w:t>
            </w:r>
          </w:p>
        </w:tc>
        <w:tc>
          <w:tcPr>
            <w:tcW w:w="763" w:type="dxa"/>
            <w:tcBorders>
              <w:top w:val="single" w:sz="8" w:space="0" w:color="FFFFFF" w:themeColor="background1"/>
              <w:bottom w:val="single" w:sz="4" w:space="0" w:color="6F6652" w:themeColor="accent5"/>
            </w:tcBorders>
            <w:shd w:val="clear" w:color="auto" w:fill="E9E8E5" w:themeFill="background2"/>
            <w:hideMark/>
          </w:tcPr>
          <w:p w:rsidR="00610462" w:rsidRPr="004F7D6F" w:rsidRDefault="00610462" w:rsidP="00C36DA4">
            <w:pPr>
              <w:pStyle w:val="TableDataEntries"/>
              <w:rPr>
                <w:szCs w:val="16"/>
              </w:rPr>
            </w:pPr>
            <w:r w:rsidRPr="004F7D6F">
              <w:rPr>
                <w:szCs w:val="16"/>
              </w:rPr>
              <w:t>21%</w:t>
            </w:r>
          </w:p>
        </w:tc>
        <w:tc>
          <w:tcPr>
            <w:tcW w:w="750" w:type="dxa"/>
            <w:tcBorders>
              <w:top w:val="single" w:sz="8" w:space="0" w:color="FFFFFF" w:themeColor="background1"/>
              <w:bottom w:val="single" w:sz="4" w:space="0" w:color="6F6652" w:themeColor="accent5"/>
            </w:tcBorders>
            <w:shd w:val="clear" w:color="auto" w:fill="E9E8E5" w:themeFill="background2"/>
            <w:hideMark/>
          </w:tcPr>
          <w:p w:rsidR="00610462" w:rsidRPr="004F7D6F" w:rsidRDefault="00610462" w:rsidP="00C36DA4">
            <w:pPr>
              <w:pStyle w:val="TableDataEntries"/>
              <w:rPr>
                <w:szCs w:val="16"/>
              </w:rPr>
            </w:pPr>
            <w:r w:rsidRPr="004F7D6F">
              <w:rPr>
                <w:szCs w:val="16"/>
              </w:rPr>
              <w:t>29%</w:t>
            </w:r>
          </w:p>
        </w:tc>
        <w:tc>
          <w:tcPr>
            <w:tcW w:w="638" w:type="dxa"/>
            <w:tcBorders>
              <w:top w:val="single" w:sz="8" w:space="0" w:color="FFFFFF" w:themeColor="background1"/>
              <w:bottom w:val="single" w:sz="4" w:space="0" w:color="6F6652" w:themeColor="accent5"/>
            </w:tcBorders>
            <w:shd w:val="clear" w:color="auto" w:fill="E9E8E5" w:themeFill="background2"/>
            <w:hideMark/>
          </w:tcPr>
          <w:p w:rsidR="00610462" w:rsidRPr="004F7D6F" w:rsidRDefault="00610462" w:rsidP="00C36DA4">
            <w:pPr>
              <w:pStyle w:val="TableDataEntries"/>
              <w:rPr>
                <w:szCs w:val="16"/>
              </w:rPr>
            </w:pPr>
            <w:r w:rsidRPr="004F7D6F">
              <w:rPr>
                <w:szCs w:val="16"/>
              </w:rPr>
              <w:t>2%</w:t>
            </w:r>
          </w:p>
        </w:tc>
        <w:tc>
          <w:tcPr>
            <w:tcW w:w="650" w:type="dxa"/>
            <w:tcBorders>
              <w:top w:val="single" w:sz="8" w:space="0" w:color="FFFFFF" w:themeColor="background1"/>
              <w:bottom w:val="single" w:sz="4" w:space="0" w:color="6F6652" w:themeColor="accent5"/>
            </w:tcBorders>
            <w:shd w:val="clear" w:color="auto" w:fill="E9E8E5" w:themeFill="background2"/>
            <w:hideMark/>
          </w:tcPr>
          <w:p w:rsidR="00610462" w:rsidRPr="004F7D6F" w:rsidRDefault="00610462" w:rsidP="00C36DA4">
            <w:pPr>
              <w:pStyle w:val="TableDataEntries"/>
              <w:rPr>
                <w:szCs w:val="16"/>
              </w:rPr>
            </w:pPr>
            <w:r w:rsidRPr="004F7D6F">
              <w:rPr>
                <w:szCs w:val="16"/>
              </w:rPr>
              <w:t>28%</w:t>
            </w:r>
          </w:p>
        </w:tc>
        <w:tc>
          <w:tcPr>
            <w:tcW w:w="994" w:type="dxa"/>
            <w:tcBorders>
              <w:top w:val="single" w:sz="8" w:space="0" w:color="FFFFFF" w:themeColor="background1"/>
              <w:bottom w:val="single" w:sz="4" w:space="0" w:color="6F6652" w:themeColor="accent5"/>
            </w:tcBorders>
            <w:shd w:val="clear" w:color="auto" w:fill="E9E8E5" w:themeFill="background2"/>
            <w:hideMark/>
          </w:tcPr>
          <w:p w:rsidR="00610462" w:rsidRPr="004F7D6F" w:rsidRDefault="00610462" w:rsidP="00C36DA4">
            <w:pPr>
              <w:pStyle w:val="TableDataEntries"/>
              <w:rPr>
                <w:szCs w:val="16"/>
              </w:rPr>
            </w:pPr>
          </w:p>
        </w:tc>
      </w:tr>
    </w:tbl>
    <w:p w:rsidR="007C6A5F" w:rsidRDefault="007C6A5F" w:rsidP="007C6A5F">
      <w:pPr>
        <w:pStyle w:val="Source"/>
      </w:pPr>
      <w:r>
        <w:rPr>
          <w:i/>
        </w:rPr>
        <w:t>Source</w:t>
      </w:r>
      <w:r w:rsidRPr="00E4232C">
        <w:rPr>
          <w:i/>
        </w:rPr>
        <w:t>:</w:t>
      </w:r>
      <w:r>
        <w:t xml:space="preserve"> CIE based on DCWC.</w:t>
      </w:r>
    </w:p>
    <w:p w:rsidR="007C6A5F" w:rsidRDefault="007C6A5F" w:rsidP="007C6A5F">
      <w:pPr>
        <w:pStyle w:val="BodyText"/>
        <w:spacing w:before="240"/>
      </w:pPr>
      <w:r w:rsidRPr="006C3FC1">
        <w:t>The levels of supply of accessibility features under the proposal are based on the relevant standards (e.g. silver or gold), with 5 per cent assumed to be exempt and supplied at the baseline levels (except in the case of path to entrance, where the 5 per cent are assumed to have several steps, as exemptions relating to allotment gradient are expected to be one of the most common exemptions).</w:t>
      </w:r>
      <w:r>
        <w:t xml:space="preserve"> We assume that significant modifications would be needed to make a home built to the Silver standard suitable for ageing in place and that only minimal modifications would be needed for homes built to the Gold standard. This assumption is made on the basis of our understanding that the Gold level of accessibility would be suitable for using a wheelchair, while the Silver level would not, and the retrofitting costs for upgrading the space and entry-level amenities from Silver to Gold level would be considerable. </w:t>
      </w:r>
    </w:p>
    <w:p w:rsidR="007C6A5F" w:rsidRDefault="007C6A5F" w:rsidP="007C6A5F">
      <w:pPr>
        <w:pStyle w:val="BodyText"/>
      </w:pPr>
      <w:r>
        <w:t>The attributes are defined based on consumer outcomes and are not defined with sufficient detail to enable a distinction between the benefits of Option 2 and Option 3. We therefore assume the supply of accessibility features is equal across those two options. Under Option 4 and Option 5, the standard applies to fewer new homes, so a weighted average is taken between the baseline new home features and the Gold new home features depending on the number of new apartments and rental subsidy recipients, respectively.</w:t>
      </w:r>
    </w:p>
    <w:p w:rsidR="009C66A8" w:rsidRDefault="009C66A8" w:rsidP="007C6A5F">
      <w:pPr>
        <w:pStyle w:val="Caption"/>
      </w:pPr>
      <w:r>
        <w:br w:type="page"/>
      </w:r>
    </w:p>
    <w:p w:rsidR="007C6A5F" w:rsidRDefault="007C6A5F" w:rsidP="007C6A5F">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w:instrText>
      </w:r>
      <w:r w:rsidRPr="00695C93">
        <w:fldChar w:fldCharType="separate"/>
      </w:r>
      <w:r>
        <w:rPr>
          <w:noProof/>
        </w:rPr>
        <w:instrText>6</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6</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5</w:instrText>
      </w:r>
      <w:r w:rsidRPr="00695C93">
        <w:fldChar w:fldCharType="end"/>
      </w:r>
      <w:r w:rsidRPr="00695C93">
        <w:instrText xml:space="preserve">" "" </w:instrText>
      </w:r>
      <w:r w:rsidRPr="00695C93">
        <w:fldChar w:fldCharType="separate"/>
      </w:r>
      <w:bookmarkStart w:id="5629" w:name="_Caption3240"/>
      <w:bookmarkStart w:id="5630" w:name="_Caption1919"/>
      <w:bookmarkStart w:id="5631" w:name="_Caption0750"/>
      <w:bookmarkStart w:id="5632" w:name="_Caption8739"/>
      <w:bookmarkStart w:id="5633" w:name="_Caption0395"/>
      <w:bookmarkStart w:id="5634" w:name="_Caption2226"/>
      <w:bookmarkStart w:id="5635" w:name="_Caption3540"/>
      <w:bookmarkStart w:id="5636" w:name="_Caption8691"/>
      <w:bookmarkStart w:id="5637" w:name="_Caption3098"/>
      <w:bookmarkStart w:id="5638" w:name="_Caption3126"/>
      <w:bookmarkStart w:id="5639" w:name="_Caption5826"/>
      <w:bookmarkStart w:id="5640" w:name="_Caption1904"/>
      <w:bookmarkStart w:id="5641" w:name="_Caption5087"/>
      <w:bookmarkStart w:id="5642" w:name="_Caption4862"/>
      <w:bookmarkStart w:id="5643" w:name="_Caption0907"/>
      <w:bookmarkStart w:id="5644" w:name="_Caption9964"/>
      <w:bookmarkStart w:id="5645" w:name="_Caption5864"/>
      <w:bookmarkStart w:id="5646" w:name="_Caption1926"/>
      <w:bookmarkStart w:id="5647" w:name="_Caption3373"/>
      <w:bookmarkStart w:id="5648" w:name="_Caption6405"/>
      <w:bookmarkStart w:id="5649" w:name="_Caption8291"/>
      <w:bookmarkStart w:id="5650" w:name="_Caption6821"/>
      <w:bookmarkStart w:id="5651" w:name="_Caption4271"/>
      <w:bookmarkStart w:id="5652" w:name="_Caption8370"/>
      <w:bookmarkStart w:id="5653" w:name="_Caption0798"/>
      <w:bookmarkStart w:id="5654" w:name="_Caption3223"/>
      <w:bookmarkStart w:id="5655" w:name="_Caption9112"/>
      <w:bookmarkStart w:id="5656" w:name="_Caption9412"/>
      <w:bookmarkStart w:id="5657" w:name="_Caption3934"/>
      <w:bookmarkStart w:id="5658" w:name="_Caption2785"/>
      <w:bookmarkStart w:id="5659" w:name="_Caption6506"/>
      <w:bookmarkStart w:id="5660" w:name="_Caption5020"/>
      <w:bookmarkStart w:id="5661" w:name="_Caption5744"/>
      <w:bookmarkStart w:id="5662" w:name="_Caption9108"/>
      <w:bookmarkStart w:id="5663" w:name="_Caption9594"/>
      <w:bookmarkStart w:id="5664" w:name="_Caption8522"/>
      <w:bookmarkStart w:id="5665" w:name="_Caption9935"/>
      <w:bookmarkStart w:id="5666" w:name="_Caption6084"/>
      <w:bookmarkStart w:id="5667" w:name="_Caption8050"/>
      <w:bookmarkStart w:id="5668" w:name="_Caption3093"/>
      <w:bookmarkStart w:id="5669" w:name="_Caption6426"/>
      <w:bookmarkStart w:id="5670" w:name="_Caption3762"/>
      <w:bookmarkStart w:id="5671" w:name="_Caption1731"/>
      <w:bookmarkStart w:id="5672" w:name="_Caption2333"/>
      <w:bookmarkStart w:id="5673" w:name="_Caption5370"/>
      <w:bookmarkStart w:id="5674" w:name="_Caption9189"/>
      <w:bookmarkStart w:id="5675" w:name="_Caption8802"/>
      <w:bookmarkStart w:id="5676" w:name="_Caption9736"/>
      <w:bookmarkStart w:id="5677" w:name="_Caption3321"/>
      <w:bookmarkStart w:id="5678" w:name="_Caption6077"/>
      <w:bookmarkStart w:id="5679" w:name="_Caption9542"/>
      <w:bookmarkStart w:id="5680" w:name="_Caption0867"/>
      <w:bookmarkStart w:id="5681" w:name="_Caption0536"/>
      <w:bookmarkStart w:id="5682" w:name="_Caption1335"/>
      <w:bookmarkStart w:id="5683" w:name="_Caption4430"/>
      <w:bookmarkStart w:id="5684" w:name="_Caption2847"/>
      <w:bookmarkStart w:id="5685" w:name="_Caption9337"/>
      <w:bookmarkStart w:id="5686" w:name="_Caption6255"/>
      <w:bookmarkStart w:id="5687" w:name="_Caption4439"/>
      <w:bookmarkStart w:id="5688" w:name="_Caption6011"/>
      <w:bookmarkStart w:id="5689" w:name="_Caption6770"/>
      <w:bookmarkStart w:id="5690" w:name="_Caption4316"/>
      <w:bookmarkStart w:id="5691" w:name="_Caption2816"/>
      <w:bookmarkStart w:id="5692" w:name="_Toc32321847"/>
      <w:bookmarkStart w:id="5693" w:name="_Toc44598544"/>
      <w:bookmarkStart w:id="5694" w:name="_Toc45654175"/>
      <w:r w:rsidR="00272AF3">
        <w:rPr>
          <w:noProof/>
        </w:rPr>
        <w:t>6</w:t>
      </w:r>
      <w:r w:rsidR="00272AF3" w:rsidRPr="00695C93">
        <w:rPr>
          <w:noProof/>
        </w:rPr>
        <w:t>.</w:t>
      </w:r>
      <w:r w:rsidR="00272AF3">
        <w:rPr>
          <w:noProof/>
        </w:rPr>
        <w:t>5</w:t>
      </w:r>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r w:rsidRPr="00695C93">
        <w:fldChar w:fldCharType="end"/>
      </w:r>
      <w:r w:rsidRPr="00695C93">
        <w:tab/>
      </w:r>
      <w:r>
        <w:t>Assumptions for projected supply of accessibility features: Owner-occupants</w:t>
      </w:r>
      <w:bookmarkEnd w:id="5692"/>
      <w:bookmarkEnd w:id="5693"/>
      <w:bookmarkEnd w:id="5694"/>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6.5"/>
        <w:tblDescription w:val="Assumptions for projected supply of accessibility features: Owner-occupants"/>
      </w:tblPr>
      <w:tblGrid>
        <w:gridCol w:w="1559"/>
        <w:gridCol w:w="1560"/>
        <w:gridCol w:w="846"/>
        <w:gridCol w:w="1323"/>
        <w:gridCol w:w="1323"/>
        <w:gridCol w:w="1323"/>
      </w:tblGrid>
      <w:tr w:rsidR="00610462" w:rsidTr="0042091F">
        <w:trPr>
          <w:tblHeader/>
        </w:trPr>
        <w:tc>
          <w:tcPr>
            <w:tcW w:w="1559" w:type="dxa"/>
            <w:shd w:val="clear" w:color="auto" w:fill="6F6652" w:themeFill="accent5"/>
          </w:tcPr>
          <w:p w:rsidR="00610462" w:rsidRDefault="00610462" w:rsidP="00C36DA4">
            <w:pPr>
              <w:pStyle w:val="TableTextColumnHeading"/>
            </w:pPr>
            <w:r>
              <w:t>Feature</w:t>
            </w:r>
          </w:p>
        </w:tc>
        <w:tc>
          <w:tcPr>
            <w:tcW w:w="1560" w:type="dxa"/>
            <w:shd w:val="clear" w:color="auto" w:fill="6F6652" w:themeFill="accent5"/>
          </w:tcPr>
          <w:p w:rsidR="00610462" w:rsidRDefault="00610462" w:rsidP="00C36DA4">
            <w:pPr>
              <w:pStyle w:val="TableTextColumnHeading"/>
            </w:pPr>
            <w:r>
              <w:t>Specification</w:t>
            </w:r>
          </w:p>
        </w:tc>
        <w:tc>
          <w:tcPr>
            <w:tcW w:w="846" w:type="dxa"/>
            <w:shd w:val="clear" w:color="auto" w:fill="6F6652" w:themeFill="accent5"/>
          </w:tcPr>
          <w:p w:rsidR="00610462" w:rsidRDefault="00610462" w:rsidP="00C36DA4">
            <w:pPr>
              <w:pStyle w:val="TableDataColumnHeading"/>
            </w:pPr>
            <w:r>
              <w:t>Existing stock</w:t>
            </w:r>
            <w:r>
              <w:br/>
              <w:t>(per cent)</w:t>
            </w:r>
          </w:p>
        </w:tc>
        <w:tc>
          <w:tcPr>
            <w:tcW w:w="1323" w:type="dxa"/>
            <w:shd w:val="clear" w:color="auto" w:fill="6F6652" w:themeFill="accent5"/>
          </w:tcPr>
          <w:p w:rsidR="00610462" w:rsidRDefault="00610462" w:rsidP="00C36DA4">
            <w:pPr>
              <w:pStyle w:val="TableDataColumnHeading"/>
            </w:pPr>
            <w:r>
              <w:t>New homes</w:t>
            </w:r>
          </w:p>
          <w:p w:rsidR="00610462" w:rsidRDefault="00610462" w:rsidP="00C36DA4">
            <w:pPr>
              <w:pStyle w:val="TableDataColumnHeading"/>
            </w:pPr>
            <w:r>
              <w:t>Baseline</w:t>
            </w:r>
            <w:r>
              <w:br/>
              <w:t>(per cent)</w:t>
            </w:r>
          </w:p>
        </w:tc>
        <w:tc>
          <w:tcPr>
            <w:tcW w:w="1323" w:type="dxa"/>
            <w:shd w:val="clear" w:color="auto" w:fill="6F6652" w:themeFill="accent5"/>
          </w:tcPr>
          <w:p w:rsidR="00610462" w:rsidRDefault="00610462" w:rsidP="00C36DA4">
            <w:pPr>
              <w:pStyle w:val="TableDataColumnHeading"/>
            </w:pPr>
            <w:r>
              <w:t>New homes  from 2022</w:t>
            </w:r>
          </w:p>
          <w:p w:rsidR="00610462" w:rsidRDefault="00610462" w:rsidP="00C36DA4">
            <w:pPr>
              <w:pStyle w:val="TableDataColumnHeading"/>
            </w:pPr>
            <w:r>
              <w:t>Option 1</w:t>
            </w:r>
            <w:r>
              <w:br/>
              <w:t>(per cent)</w:t>
            </w:r>
          </w:p>
        </w:tc>
        <w:tc>
          <w:tcPr>
            <w:tcW w:w="1323" w:type="dxa"/>
            <w:shd w:val="clear" w:color="auto" w:fill="6F6652" w:themeFill="accent5"/>
          </w:tcPr>
          <w:p w:rsidR="00610462" w:rsidRDefault="00610462" w:rsidP="00C36DA4">
            <w:pPr>
              <w:pStyle w:val="TableDataColumnHeading"/>
            </w:pPr>
            <w:r>
              <w:t>New homes  from 2022</w:t>
            </w:r>
          </w:p>
          <w:p w:rsidR="00610462" w:rsidRDefault="00610462" w:rsidP="00C36DA4">
            <w:pPr>
              <w:pStyle w:val="TableDataColumnHeading"/>
            </w:pPr>
            <w:r>
              <w:t>Option 2,3</w:t>
            </w:r>
            <w:r>
              <w:br/>
              <w:t>(per cent)</w:t>
            </w:r>
          </w:p>
        </w:tc>
      </w:tr>
      <w:tr w:rsidR="00610462" w:rsidTr="0042091F">
        <w:tc>
          <w:tcPr>
            <w:tcW w:w="1559" w:type="dxa"/>
            <w:tcBorders>
              <w:top w:val="single" w:sz="8" w:space="0" w:color="FFFFFF" w:themeColor="background1"/>
              <w:bottom w:val="single" w:sz="8" w:space="0" w:color="FFFFFF" w:themeColor="background1"/>
            </w:tcBorders>
            <w:shd w:val="clear" w:color="auto" w:fill="E9E8E5" w:themeFill="background2"/>
          </w:tcPr>
          <w:p w:rsidR="00610462" w:rsidRPr="00BC503F" w:rsidRDefault="00610462" w:rsidP="00610462">
            <w:pPr>
              <w:pStyle w:val="TableTextEntries"/>
            </w:pPr>
            <w:r w:rsidRPr="00B01040">
              <w:t>Getting in and out</w:t>
            </w:r>
          </w:p>
        </w:tc>
        <w:tc>
          <w:tcPr>
            <w:tcW w:w="1560" w:type="dxa"/>
            <w:tcBorders>
              <w:top w:val="single" w:sz="8" w:space="0" w:color="FFFFFF" w:themeColor="background1"/>
              <w:bottom w:val="single" w:sz="8" w:space="0" w:color="FFFFFF" w:themeColor="background1"/>
            </w:tcBorders>
            <w:shd w:val="clear" w:color="auto" w:fill="E9E8E5" w:themeFill="background2"/>
          </w:tcPr>
          <w:p w:rsidR="00610462" w:rsidRPr="00BC503F" w:rsidRDefault="00610462" w:rsidP="00610462">
            <w:pPr>
              <w:pStyle w:val="TableTextEntries"/>
            </w:pPr>
            <w:r w:rsidRPr="00BC503F">
              <w:t>Several steps</w:t>
            </w:r>
          </w:p>
        </w:tc>
        <w:tc>
          <w:tcPr>
            <w:tcW w:w="846"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rsidRPr="00B171E5">
              <w:t>33.9</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5.0</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5.0</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5.0</w:t>
            </w:r>
          </w:p>
        </w:tc>
      </w:tr>
      <w:tr w:rsidR="00610462" w:rsidTr="0042091F">
        <w:tc>
          <w:tcPr>
            <w:tcW w:w="1559"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TextEntries"/>
            </w:pPr>
            <w:r w:rsidRPr="00B01040">
              <w:t>Getting in and out</w:t>
            </w:r>
          </w:p>
        </w:tc>
        <w:tc>
          <w:tcPr>
            <w:tcW w:w="1560"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TextEntries"/>
            </w:pPr>
            <w:r w:rsidRPr="00BC503F">
              <w:t>Single step</w:t>
            </w:r>
          </w:p>
        </w:tc>
        <w:tc>
          <w:tcPr>
            <w:tcW w:w="846"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rsidRPr="00B171E5">
              <w:t>36.2</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95.0</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95.0</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95.0</w:t>
            </w:r>
          </w:p>
        </w:tc>
      </w:tr>
      <w:tr w:rsidR="00610462" w:rsidTr="0042091F">
        <w:tc>
          <w:tcPr>
            <w:tcW w:w="1559"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TextEntries"/>
            </w:pPr>
            <w:r w:rsidRPr="00B01040">
              <w:t>Getting in and out</w:t>
            </w:r>
          </w:p>
        </w:tc>
        <w:tc>
          <w:tcPr>
            <w:tcW w:w="1560"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TextEntries"/>
            </w:pPr>
            <w:r w:rsidRPr="00BC503F">
              <w:t>Step-free</w:t>
            </w:r>
          </w:p>
        </w:tc>
        <w:tc>
          <w:tcPr>
            <w:tcW w:w="846"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rsidRPr="00B171E5">
              <w:t>30.0</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0.0</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0.0</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0.0</w:t>
            </w:r>
          </w:p>
        </w:tc>
      </w:tr>
      <w:tr w:rsidR="00610462" w:rsidTr="0042091F">
        <w:tc>
          <w:tcPr>
            <w:tcW w:w="1559"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TextEntries"/>
            </w:pPr>
            <w:r w:rsidRPr="00F16F13">
              <w:t>Moving around indoors</w:t>
            </w:r>
          </w:p>
        </w:tc>
        <w:tc>
          <w:tcPr>
            <w:tcW w:w="1560"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TextEntries"/>
            </w:pPr>
            <w:r w:rsidRPr="00BC503F">
              <w:t xml:space="preserve">Regular spaces – Suitable for some mobility aids </w:t>
            </w:r>
          </w:p>
        </w:tc>
        <w:tc>
          <w:tcPr>
            <w:tcW w:w="846"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rsidRPr="00A61DA9">
              <w:t>86.5</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87.0</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4.4</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4.4</w:t>
            </w:r>
          </w:p>
        </w:tc>
      </w:tr>
      <w:tr w:rsidR="00610462" w:rsidTr="0042091F">
        <w:tc>
          <w:tcPr>
            <w:tcW w:w="1559"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TextEntries"/>
            </w:pPr>
            <w:r w:rsidRPr="00F16F13">
              <w:t>Moving around indoors</w:t>
            </w:r>
          </w:p>
        </w:tc>
        <w:tc>
          <w:tcPr>
            <w:tcW w:w="1560"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TextEntries"/>
            </w:pPr>
            <w:r w:rsidRPr="00BC503F">
              <w:t xml:space="preserve">Wide spaces – Suitable for most mobility aids, but not wheelchairs </w:t>
            </w:r>
          </w:p>
        </w:tc>
        <w:tc>
          <w:tcPr>
            <w:tcW w:w="846"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rsidRPr="00A61DA9">
              <w:t>9.0</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3.0</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85.7</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0.2</w:t>
            </w:r>
          </w:p>
        </w:tc>
      </w:tr>
      <w:tr w:rsidR="00610462" w:rsidTr="0042091F">
        <w:tc>
          <w:tcPr>
            <w:tcW w:w="1559"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TextEntries"/>
            </w:pPr>
            <w:r w:rsidRPr="00F16F13">
              <w:t>Moving around indoors</w:t>
            </w:r>
          </w:p>
        </w:tc>
        <w:tc>
          <w:tcPr>
            <w:tcW w:w="1560"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TextEntries"/>
            </w:pPr>
            <w:r w:rsidRPr="00BC503F">
              <w:t>Extra-wide spaces – Suitable for all mobility aids, including wheelchairs</w:t>
            </w:r>
          </w:p>
        </w:tc>
        <w:tc>
          <w:tcPr>
            <w:tcW w:w="846"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rsidRPr="00A61DA9">
              <w:t>4.5</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10.0</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10.0</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95.5</w:t>
            </w:r>
          </w:p>
        </w:tc>
      </w:tr>
      <w:tr w:rsidR="00610462" w:rsidTr="0042091F">
        <w:tc>
          <w:tcPr>
            <w:tcW w:w="1559"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TextEntries"/>
            </w:pPr>
            <w:r w:rsidRPr="00122E69">
              <w:t>Living with limited mobility on same level as an entrance</w:t>
            </w:r>
          </w:p>
        </w:tc>
        <w:tc>
          <w:tcPr>
            <w:tcW w:w="1560"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TextEntries"/>
            </w:pPr>
            <w:r w:rsidRPr="00BC503F">
              <w:t xml:space="preserve">Unsuitable – No toilet or shower on entry level  </w:t>
            </w:r>
          </w:p>
        </w:tc>
        <w:tc>
          <w:tcPr>
            <w:tcW w:w="846"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rsidRPr="00594883">
              <w:t>11.9</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2.0</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0.1</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0.1</w:t>
            </w:r>
          </w:p>
        </w:tc>
      </w:tr>
      <w:tr w:rsidR="00610462" w:rsidTr="0042091F">
        <w:tc>
          <w:tcPr>
            <w:tcW w:w="1559"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TextEntries"/>
            </w:pPr>
            <w:r w:rsidRPr="00122E69">
              <w:t>Living with limited mobility on same level as an entrance</w:t>
            </w:r>
          </w:p>
        </w:tc>
        <w:tc>
          <w:tcPr>
            <w:tcW w:w="1560"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TextEntries"/>
            </w:pPr>
            <w:r w:rsidRPr="00BC503F">
              <w:t xml:space="preserve">Suitable for short visits – Toilet, but no shower on entry level </w:t>
            </w:r>
          </w:p>
        </w:tc>
        <w:tc>
          <w:tcPr>
            <w:tcW w:w="846"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rsidRPr="00594883">
              <w:t>13.6</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14.0</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15.9</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0.7</w:t>
            </w:r>
          </w:p>
        </w:tc>
      </w:tr>
      <w:tr w:rsidR="00610462" w:rsidTr="0042091F">
        <w:tc>
          <w:tcPr>
            <w:tcW w:w="1559"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TextEntries"/>
            </w:pPr>
            <w:r w:rsidRPr="00122E69">
              <w:t>Living with limited mobility on same level as an entrance</w:t>
            </w:r>
          </w:p>
        </w:tc>
        <w:tc>
          <w:tcPr>
            <w:tcW w:w="1560"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TextEntries"/>
            </w:pPr>
            <w:r w:rsidRPr="00BC503F">
              <w:t>Suitable for living or overnight visits – Toilet, shower and bedroom on entry level</w:t>
            </w:r>
          </w:p>
        </w:tc>
        <w:tc>
          <w:tcPr>
            <w:tcW w:w="846"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rsidRPr="00594883">
              <w:t>74.5</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84.0</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84.0</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99.2</w:t>
            </w:r>
          </w:p>
        </w:tc>
      </w:tr>
      <w:tr w:rsidR="00610462" w:rsidTr="0042091F">
        <w:tc>
          <w:tcPr>
            <w:tcW w:w="1559"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TextEntries"/>
            </w:pPr>
            <w:r w:rsidRPr="009D1F4C">
              <w:t>Modification that would be needed to make home suitable for ageing in place</w:t>
            </w:r>
          </w:p>
        </w:tc>
        <w:tc>
          <w:tcPr>
            <w:tcW w:w="1560"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TextEntries"/>
            </w:pPr>
            <w:r w:rsidRPr="00BC503F">
              <w:t>Significant</w:t>
            </w:r>
          </w:p>
        </w:tc>
        <w:tc>
          <w:tcPr>
            <w:tcW w:w="846"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rsidRPr="00B171E5">
              <w:t>95.6</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90.0</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90.0</w:t>
            </w:r>
          </w:p>
        </w:tc>
        <w:tc>
          <w:tcPr>
            <w:tcW w:w="1323" w:type="dxa"/>
            <w:tcBorders>
              <w:top w:val="single" w:sz="8" w:space="0" w:color="FFFFFF" w:themeColor="background1"/>
              <w:bottom w:val="single" w:sz="8" w:space="0" w:color="FFFFFF" w:themeColor="background1"/>
            </w:tcBorders>
            <w:shd w:val="clear" w:color="auto" w:fill="E9E8E5" w:themeFill="background2"/>
          </w:tcPr>
          <w:p w:rsidR="00610462" w:rsidRDefault="00610462" w:rsidP="00610462">
            <w:pPr>
              <w:pStyle w:val="TableDataEntries"/>
            </w:pPr>
            <w:r>
              <w:t>4.5</w:t>
            </w:r>
          </w:p>
        </w:tc>
      </w:tr>
      <w:tr w:rsidR="00610462" w:rsidTr="0042091F">
        <w:tc>
          <w:tcPr>
            <w:tcW w:w="1559" w:type="dxa"/>
            <w:tcBorders>
              <w:top w:val="single" w:sz="8" w:space="0" w:color="FFFFFF" w:themeColor="background1"/>
              <w:bottom w:val="single" w:sz="4" w:space="0" w:color="6F6652" w:themeColor="accent5"/>
            </w:tcBorders>
            <w:shd w:val="clear" w:color="auto" w:fill="E9E8E5" w:themeFill="background2"/>
          </w:tcPr>
          <w:p w:rsidR="00610462" w:rsidRDefault="00610462" w:rsidP="00610462">
            <w:pPr>
              <w:pStyle w:val="TableTextEntries"/>
            </w:pPr>
            <w:r w:rsidRPr="009D1F4C">
              <w:t>Modification that would be needed to make home suitable for ageing in place</w:t>
            </w:r>
          </w:p>
        </w:tc>
        <w:tc>
          <w:tcPr>
            <w:tcW w:w="1560" w:type="dxa"/>
            <w:tcBorders>
              <w:top w:val="single" w:sz="8" w:space="0" w:color="FFFFFF" w:themeColor="background1"/>
              <w:bottom w:val="single" w:sz="4" w:space="0" w:color="6F6652" w:themeColor="accent5"/>
            </w:tcBorders>
            <w:shd w:val="clear" w:color="auto" w:fill="E9E8E5" w:themeFill="background2"/>
          </w:tcPr>
          <w:p w:rsidR="00610462" w:rsidRDefault="00610462" w:rsidP="00610462">
            <w:pPr>
              <w:pStyle w:val="TableTextEntries"/>
            </w:pPr>
            <w:r w:rsidRPr="00BC503F">
              <w:t>Minimal</w:t>
            </w:r>
          </w:p>
        </w:tc>
        <w:tc>
          <w:tcPr>
            <w:tcW w:w="846" w:type="dxa"/>
            <w:tcBorders>
              <w:top w:val="single" w:sz="8" w:space="0" w:color="FFFFFF" w:themeColor="background1"/>
              <w:bottom w:val="single" w:sz="4" w:space="0" w:color="6F6652" w:themeColor="accent5"/>
            </w:tcBorders>
            <w:shd w:val="clear" w:color="auto" w:fill="E9E8E5" w:themeFill="background2"/>
          </w:tcPr>
          <w:p w:rsidR="00610462" w:rsidRDefault="00610462" w:rsidP="00610462">
            <w:pPr>
              <w:pStyle w:val="TableDataEntries"/>
            </w:pPr>
            <w:r w:rsidRPr="00B171E5">
              <w:t>4.5</w:t>
            </w:r>
          </w:p>
        </w:tc>
        <w:tc>
          <w:tcPr>
            <w:tcW w:w="1323" w:type="dxa"/>
            <w:tcBorders>
              <w:top w:val="single" w:sz="8" w:space="0" w:color="FFFFFF" w:themeColor="background1"/>
              <w:bottom w:val="single" w:sz="4" w:space="0" w:color="6F6652" w:themeColor="accent5"/>
            </w:tcBorders>
            <w:shd w:val="clear" w:color="auto" w:fill="E9E8E5" w:themeFill="background2"/>
          </w:tcPr>
          <w:p w:rsidR="00610462" w:rsidRDefault="00610462" w:rsidP="00610462">
            <w:pPr>
              <w:pStyle w:val="TableDataEntries"/>
            </w:pPr>
            <w:r>
              <w:t>10.0</w:t>
            </w:r>
          </w:p>
        </w:tc>
        <w:tc>
          <w:tcPr>
            <w:tcW w:w="1323" w:type="dxa"/>
            <w:tcBorders>
              <w:top w:val="single" w:sz="8" w:space="0" w:color="FFFFFF" w:themeColor="background1"/>
              <w:bottom w:val="single" w:sz="4" w:space="0" w:color="6F6652" w:themeColor="accent5"/>
            </w:tcBorders>
            <w:shd w:val="clear" w:color="auto" w:fill="E9E8E5" w:themeFill="background2"/>
          </w:tcPr>
          <w:p w:rsidR="00610462" w:rsidRDefault="00610462" w:rsidP="00610462">
            <w:pPr>
              <w:pStyle w:val="TableDataEntries"/>
            </w:pPr>
            <w:r>
              <w:t>10.0</w:t>
            </w:r>
          </w:p>
        </w:tc>
        <w:tc>
          <w:tcPr>
            <w:tcW w:w="1323" w:type="dxa"/>
            <w:tcBorders>
              <w:top w:val="single" w:sz="8" w:space="0" w:color="FFFFFF" w:themeColor="background1"/>
              <w:bottom w:val="single" w:sz="4" w:space="0" w:color="6F6652" w:themeColor="accent5"/>
            </w:tcBorders>
            <w:shd w:val="clear" w:color="auto" w:fill="E9E8E5" w:themeFill="background2"/>
          </w:tcPr>
          <w:p w:rsidR="00610462" w:rsidRDefault="00610462" w:rsidP="00610462">
            <w:pPr>
              <w:pStyle w:val="TableDataEntries"/>
            </w:pPr>
            <w:r>
              <w:t>95.5</w:t>
            </w:r>
          </w:p>
        </w:tc>
      </w:tr>
    </w:tbl>
    <w:p w:rsidR="007C6A5F" w:rsidRDefault="007C6A5F" w:rsidP="007C6A5F">
      <w:pPr>
        <w:pStyle w:val="Source"/>
      </w:pPr>
      <w:r>
        <w:rPr>
          <w:i/>
        </w:rPr>
        <w:t>Source</w:t>
      </w:r>
      <w:r w:rsidRPr="00E4232C">
        <w:rPr>
          <w:i/>
        </w:rPr>
        <w:t>:</w:t>
      </w:r>
      <w:r>
        <w:t xml:space="preserve"> CIE survey and assumptions</w:t>
      </w:r>
      <w:r w:rsidR="00A745D0">
        <w:t>.</w:t>
      </w:r>
    </w:p>
    <w:p w:rsidR="00A745D0" w:rsidRDefault="00A745D0" w:rsidP="007C6A5F">
      <w:pPr>
        <w:pStyle w:val="Caption"/>
      </w:pPr>
      <w:r>
        <w:br w:type="page"/>
      </w:r>
    </w:p>
    <w:p w:rsidR="007C6A5F" w:rsidRDefault="007C6A5F" w:rsidP="007C6A5F">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w:instrText>
      </w:r>
      <w:r w:rsidRPr="00695C93">
        <w:fldChar w:fldCharType="separate"/>
      </w:r>
      <w:r>
        <w:rPr>
          <w:noProof/>
        </w:rPr>
        <w:instrText>6</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6</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6</w:instrText>
      </w:r>
      <w:r w:rsidRPr="00695C93">
        <w:fldChar w:fldCharType="end"/>
      </w:r>
      <w:r w:rsidRPr="00695C93">
        <w:instrText xml:space="preserve">" "" </w:instrText>
      </w:r>
      <w:r w:rsidRPr="00695C93">
        <w:fldChar w:fldCharType="separate"/>
      </w:r>
      <w:bookmarkStart w:id="5695" w:name="_Caption4311"/>
      <w:bookmarkStart w:id="5696" w:name="_Caption2736"/>
      <w:bookmarkStart w:id="5697" w:name="_Caption7578"/>
      <w:bookmarkStart w:id="5698" w:name="_Caption6468"/>
      <w:bookmarkStart w:id="5699" w:name="_Caption2365"/>
      <w:bookmarkStart w:id="5700" w:name="_Caption8005"/>
      <w:bookmarkStart w:id="5701" w:name="_Caption9971"/>
      <w:bookmarkStart w:id="5702" w:name="_Caption7783"/>
      <w:bookmarkStart w:id="5703" w:name="_Caption6631"/>
      <w:bookmarkStart w:id="5704" w:name="_Caption8132"/>
      <w:bookmarkStart w:id="5705" w:name="_Caption7341"/>
      <w:bookmarkStart w:id="5706" w:name="_Caption6387"/>
      <w:bookmarkStart w:id="5707" w:name="_Caption3187"/>
      <w:bookmarkStart w:id="5708" w:name="_Caption0647"/>
      <w:bookmarkStart w:id="5709" w:name="_Caption6007"/>
      <w:bookmarkStart w:id="5710" w:name="_Caption9128"/>
      <w:bookmarkStart w:id="5711" w:name="_Caption9816"/>
      <w:bookmarkStart w:id="5712" w:name="_Caption1379"/>
      <w:bookmarkStart w:id="5713" w:name="_Caption3208"/>
      <w:bookmarkStart w:id="5714" w:name="_Caption1812"/>
      <w:bookmarkStart w:id="5715" w:name="_Caption4136"/>
      <w:bookmarkStart w:id="5716" w:name="_Caption7730"/>
      <w:bookmarkStart w:id="5717" w:name="_Caption7810"/>
      <w:bookmarkStart w:id="5718" w:name="_Caption4404"/>
      <w:bookmarkStart w:id="5719" w:name="_Caption8044"/>
      <w:bookmarkStart w:id="5720" w:name="_Caption6332"/>
      <w:bookmarkStart w:id="5721" w:name="_Caption6196"/>
      <w:bookmarkStart w:id="5722" w:name="_Caption5069"/>
      <w:bookmarkStart w:id="5723" w:name="_Caption3666"/>
      <w:bookmarkStart w:id="5724" w:name="_Caption7710"/>
      <w:bookmarkStart w:id="5725" w:name="_Caption7220"/>
      <w:bookmarkStart w:id="5726" w:name="_Caption4807"/>
      <w:bookmarkStart w:id="5727" w:name="_Caption0389"/>
      <w:bookmarkStart w:id="5728" w:name="_Caption7789"/>
      <w:bookmarkStart w:id="5729" w:name="_Caption7183"/>
      <w:bookmarkStart w:id="5730" w:name="_Caption3364"/>
      <w:bookmarkStart w:id="5731" w:name="_Caption2466"/>
      <w:bookmarkStart w:id="5732" w:name="_Caption9366"/>
      <w:bookmarkStart w:id="5733" w:name="_Caption2787"/>
      <w:bookmarkStart w:id="5734" w:name="_Caption9354"/>
      <w:bookmarkStart w:id="5735" w:name="_Caption7826"/>
      <w:bookmarkStart w:id="5736" w:name="_Caption5579"/>
      <w:bookmarkStart w:id="5737" w:name="_Caption9007"/>
      <w:bookmarkStart w:id="5738" w:name="_Caption9172"/>
      <w:bookmarkStart w:id="5739" w:name="_Caption9776"/>
      <w:bookmarkStart w:id="5740" w:name="_Caption8707"/>
      <w:bookmarkStart w:id="5741" w:name="_Caption4939"/>
      <w:bookmarkStart w:id="5742" w:name="_Caption2455"/>
      <w:bookmarkStart w:id="5743" w:name="_Caption0892"/>
      <w:bookmarkStart w:id="5744" w:name="_Caption2677"/>
      <w:bookmarkStart w:id="5745" w:name="_Caption5327"/>
      <w:bookmarkStart w:id="5746" w:name="_Caption3800"/>
      <w:bookmarkStart w:id="5747" w:name="_Caption3963"/>
      <w:bookmarkStart w:id="5748" w:name="_Caption0882"/>
      <w:bookmarkStart w:id="5749" w:name="_Caption9008"/>
      <w:bookmarkStart w:id="5750" w:name="_Caption6176"/>
      <w:bookmarkStart w:id="5751" w:name="_Caption2859"/>
      <w:bookmarkStart w:id="5752" w:name="_Caption4497"/>
      <w:bookmarkStart w:id="5753" w:name="_Caption0735"/>
      <w:bookmarkStart w:id="5754" w:name="_Caption4825"/>
      <w:bookmarkStart w:id="5755" w:name="_Caption3150"/>
      <w:bookmarkStart w:id="5756" w:name="_Caption2110"/>
      <w:bookmarkStart w:id="5757" w:name="_Caption1133"/>
      <w:bookmarkStart w:id="5758" w:name="_Toc32321848"/>
      <w:bookmarkStart w:id="5759" w:name="_Toc44598545"/>
      <w:bookmarkStart w:id="5760" w:name="_Toc45654176"/>
      <w:r w:rsidR="00272AF3">
        <w:rPr>
          <w:noProof/>
        </w:rPr>
        <w:t>6</w:t>
      </w:r>
      <w:r w:rsidR="00272AF3" w:rsidRPr="00695C93">
        <w:rPr>
          <w:noProof/>
        </w:rPr>
        <w:t>.</w:t>
      </w:r>
      <w:r w:rsidR="00272AF3">
        <w:rPr>
          <w:noProof/>
        </w:rPr>
        <w:t>6</w:t>
      </w:r>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r w:rsidRPr="00695C93">
        <w:fldChar w:fldCharType="end"/>
      </w:r>
      <w:r w:rsidRPr="00695C93">
        <w:tab/>
      </w:r>
      <w:r>
        <w:t>Assumptions for projected supply of accessibility features: Rentals</w:t>
      </w:r>
      <w:bookmarkEnd w:id="5758"/>
      <w:bookmarkEnd w:id="5759"/>
      <w:bookmarkEnd w:id="5760"/>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6.6"/>
        <w:tblDescription w:val="Assumptions for projected supply of accessibility features: Rentals"/>
      </w:tblPr>
      <w:tblGrid>
        <w:gridCol w:w="1560"/>
        <w:gridCol w:w="1701"/>
        <w:gridCol w:w="921"/>
        <w:gridCol w:w="1252"/>
        <w:gridCol w:w="1252"/>
        <w:gridCol w:w="1252"/>
      </w:tblGrid>
      <w:tr w:rsidR="0042091F" w:rsidTr="00DB79FF">
        <w:trPr>
          <w:tblHeader/>
        </w:trPr>
        <w:tc>
          <w:tcPr>
            <w:tcW w:w="1560" w:type="dxa"/>
            <w:shd w:val="clear" w:color="auto" w:fill="6F6652" w:themeFill="accent5"/>
          </w:tcPr>
          <w:p w:rsidR="0042091F" w:rsidRDefault="0042091F" w:rsidP="00C36DA4">
            <w:pPr>
              <w:pStyle w:val="TableTextColumnHeading"/>
            </w:pPr>
            <w:r>
              <w:t>Feature</w:t>
            </w:r>
          </w:p>
        </w:tc>
        <w:tc>
          <w:tcPr>
            <w:tcW w:w="1701" w:type="dxa"/>
            <w:shd w:val="clear" w:color="auto" w:fill="6F6652" w:themeFill="accent5"/>
          </w:tcPr>
          <w:p w:rsidR="0042091F" w:rsidRDefault="0042091F" w:rsidP="00C36DA4">
            <w:pPr>
              <w:pStyle w:val="TableTextColumnHeading"/>
            </w:pPr>
            <w:r>
              <w:t>Specification</w:t>
            </w:r>
          </w:p>
        </w:tc>
        <w:tc>
          <w:tcPr>
            <w:tcW w:w="921" w:type="dxa"/>
            <w:shd w:val="clear" w:color="auto" w:fill="6F6652" w:themeFill="accent5"/>
          </w:tcPr>
          <w:p w:rsidR="0042091F" w:rsidRDefault="0042091F" w:rsidP="00C36DA4">
            <w:pPr>
              <w:pStyle w:val="TableDataColumnHeading"/>
            </w:pPr>
            <w:r>
              <w:t>Existing stock</w:t>
            </w:r>
            <w:r>
              <w:br/>
              <w:t>(per cent)</w:t>
            </w:r>
          </w:p>
        </w:tc>
        <w:tc>
          <w:tcPr>
            <w:tcW w:w="1252" w:type="dxa"/>
            <w:shd w:val="clear" w:color="auto" w:fill="6F6652" w:themeFill="accent5"/>
          </w:tcPr>
          <w:p w:rsidR="0042091F" w:rsidRDefault="0042091F" w:rsidP="00C36DA4">
            <w:pPr>
              <w:pStyle w:val="TableDataColumnHeading"/>
            </w:pPr>
            <w:r>
              <w:t>New homes</w:t>
            </w:r>
          </w:p>
          <w:p w:rsidR="0042091F" w:rsidRDefault="0042091F" w:rsidP="00C36DA4">
            <w:pPr>
              <w:pStyle w:val="TableDataColumnHeading"/>
            </w:pPr>
            <w:r>
              <w:t>Baseline</w:t>
            </w:r>
            <w:r>
              <w:br/>
              <w:t>(per cent)</w:t>
            </w:r>
          </w:p>
        </w:tc>
        <w:tc>
          <w:tcPr>
            <w:tcW w:w="1252" w:type="dxa"/>
            <w:shd w:val="clear" w:color="auto" w:fill="6F6652" w:themeFill="accent5"/>
          </w:tcPr>
          <w:p w:rsidR="0042091F" w:rsidRDefault="0042091F" w:rsidP="00C36DA4">
            <w:pPr>
              <w:pStyle w:val="TableDataColumnHeading"/>
            </w:pPr>
            <w:r>
              <w:t>New homes from 2022</w:t>
            </w:r>
          </w:p>
          <w:p w:rsidR="0042091F" w:rsidRDefault="0042091F" w:rsidP="00C36DA4">
            <w:pPr>
              <w:pStyle w:val="TableDataColumnHeading"/>
            </w:pPr>
            <w:r>
              <w:t>Option 1</w:t>
            </w:r>
            <w:r>
              <w:br/>
              <w:t>(per cent)</w:t>
            </w:r>
          </w:p>
        </w:tc>
        <w:tc>
          <w:tcPr>
            <w:tcW w:w="1252" w:type="dxa"/>
            <w:shd w:val="clear" w:color="auto" w:fill="6F6652" w:themeFill="accent5"/>
          </w:tcPr>
          <w:p w:rsidR="0042091F" w:rsidRDefault="0042091F" w:rsidP="00C36DA4">
            <w:pPr>
              <w:pStyle w:val="TableDataColumnHeading"/>
            </w:pPr>
            <w:r>
              <w:t>New homes from 2022</w:t>
            </w:r>
          </w:p>
          <w:p w:rsidR="0042091F" w:rsidRDefault="0042091F" w:rsidP="00C36DA4">
            <w:pPr>
              <w:pStyle w:val="TableDataColumnHeading"/>
            </w:pPr>
            <w:r>
              <w:t>Option 2,3</w:t>
            </w:r>
            <w:r>
              <w:br/>
              <w:t>(per cent)</w:t>
            </w:r>
          </w:p>
        </w:tc>
      </w:tr>
      <w:tr w:rsidR="0042091F" w:rsidTr="00DB79FF">
        <w:tc>
          <w:tcPr>
            <w:tcW w:w="1560" w:type="dxa"/>
            <w:tcBorders>
              <w:top w:val="single" w:sz="8" w:space="0" w:color="FFFFFF" w:themeColor="background1"/>
              <w:bottom w:val="single" w:sz="8" w:space="0" w:color="FFFFFF" w:themeColor="background1"/>
            </w:tcBorders>
            <w:shd w:val="clear" w:color="auto" w:fill="E9E8E5" w:themeFill="background2"/>
          </w:tcPr>
          <w:p w:rsidR="0042091F" w:rsidRPr="00BC503F" w:rsidRDefault="0042091F" w:rsidP="0042091F">
            <w:pPr>
              <w:pStyle w:val="TableTextEntries"/>
            </w:pPr>
            <w:r w:rsidRPr="008947D4">
              <w:t>Getting in and out</w:t>
            </w:r>
          </w:p>
        </w:tc>
        <w:tc>
          <w:tcPr>
            <w:tcW w:w="1701" w:type="dxa"/>
            <w:tcBorders>
              <w:top w:val="single" w:sz="8" w:space="0" w:color="FFFFFF" w:themeColor="background1"/>
              <w:bottom w:val="single" w:sz="8" w:space="0" w:color="FFFFFF" w:themeColor="background1"/>
            </w:tcBorders>
            <w:shd w:val="clear" w:color="auto" w:fill="E9E8E5" w:themeFill="background2"/>
          </w:tcPr>
          <w:p w:rsidR="0042091F" w:rsidRPr="00BC503F" w:rsidRDefault="0042091F" w:rsidP="0042091F">
            <w:pPr>
              <w:pStyle w:val="TableTextEntries"/>
            </w:pPr>
            <w:r w:rsidRPr="00BC503F">
              <w:t>Several steps</w:t>
            </w:r>
          </w:p>
        </w:tc>
        <w:tc>
          <w:tcPr>
            <w:tcW w:w="921"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rsidRPr="00C938D6">
              <w:t>35.8</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5.0</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5.0</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5.0</w:t>
            </w:r>
          </w:p>
        </w:tc>
      </w:tr>
      <w:tr w:rsidR="0042091F" w:rsidTr="00DB79FF">
        <w:tc>
          <w:tcPr>
            <w:tcW w:w="1560"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TextEntries"/>
            </w:pPr>
            <w:r w:rsidRPr="008947D4">
              <w:t>Getting in and out</w:t>
            </w:r>
          </w:p>
        </w:tc>
        <w:tc>
          <w:tcPr>
            <w:tcW w:w="1701"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TextEntries"/>
            </w:pPr>
            <w:r w:rsidRPr="00BC503F">
              <w:t>Single step</w:t>
            </w:r>
          </w:p>
        </w:tc>
        <w:tc>
          <w:tcPr>
            <w:tcW w:w="921"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rsidRPr="00C938D6">
              <w:t>30.3</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95.0</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95.0</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95.0</w:t>
            </w:r>
          </w:p>
        </w:tc>
      </w:tr>
      <w:tr w:rsidR="0042091F" w:rsidTr="00DB79FF">
        <w:tc>
          <w:tcPr>
            <w:tcW w:w="1560"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TextEntries"/>
            </w:pPr>
            <w:r w:rsidRPr="008947D4">
              <w:t>Getting in and out</w:t>
            </w:r>
          </w:p>
        </w:tc>
        <w:tc>
          <w:tcPr>
            <w:tcW w:w="1701"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TextEntries"/>
            </w:pPr>
            <w:r w:rsidRPr="00BC503F">
              <w:t>Step-free</w:t>
            </w:r>
          </w:p>
        </w:tc>
        <w:tc>
          <w:tcPr>
            <w:tcW w:w="921"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rsidRPr="00C938D6">
              <w:t>34.0</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0.0</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0.0</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0.0</w:t>
            </w:r>
          </w:p>
        </w:tc>
      </w:tr>
      <w:tr w:rsidR="0042091F" w:rsidTr="00DB79FF">
        <w:tc>
          <w:tcPr>
            <w:tcW w:w="1560"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TextEntries"/>
            </w:pPr>
            <w:r w:rsidRPr="00463625">
              <w:t>Moving around indoors</w:t>
            </w:r>
          </w:p>
        </w:tc>
        <w:tc>
          <w:tcPr>
            <w:tcW w:w="1701"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TextEntries"/>
            </w:pPr>
            <w:r w:rsidRPr="00BC503F">
              <w:t xml:space="preserve">Regular spaces – Suitable for some mobility aids </w:t>
            </w:r>
          </w:p>
        </w:tc>
        <w:tc>
          <w:tcPr>
            <w:tcW w:w="921"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rsidRPr="00814447">
              <w:t>87.2</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87.0</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4.4</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4.4</w:t>
            </w:r>
          </w:p>
        </w:tc>
      </w:tr>
      <w:tr w:rsidR="0042091F" w:rsidTr="00DB79FF">
        <w:tc>
          <w:tcPr>
            <w:tcW w:w="1560"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TextEntries"/>
            </w:pPr>
            <w:r w:rsidRPr="00463625">
              <w:t>Moving around indoors</w:t>
            </w:r>
          </w:p>
        </w:tc>
        <w:tc>
          <w:tcPr>
            <w:tcW w:w="1701"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TextEntries"/>
            </w:pPr>
            <w:r w:rsidRPr="00BC503F">
              <w:t xml:space="preserve">Wide spaces – Suitable for most mobility aids, but not wheelchairs </w:t>
            </w:r>
          </w:p>
        </w:tc>
        <w:tc>
          <w:tcPr>
            <w:tcW w:w="921"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rsidRPr="00814447">
              <w:t>8.5</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3.0</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85.7</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0.2</w:t>
            </w:r>
          </w:p>
        </w:tc>
      </w:tr>
      <w:tr w:rsidR="0042091F" w:rsidTr="00DB79FF">
        <w:tc>
          <w:tcPr>
            <w:tcW w:w="1560"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TextEntries"/>
            </w:pPr>
            <w:r w:rsidRPr="00463625">
              <w:t>Moving around indoors</w:t>
            </w:r>
          </w:p>
        </w:tc>
        <w:tc>
          <w:tcPr>
            <w:tcW w:w="1701"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TextEntries"/>
            </w:pPr>
            <w:r w:rsidRPr="00BC503F">
              <w:t>Extra-wide spaces – Suitable for all mobility aids, including wheelchairs</w:t>
            </w:r>
          </w:p>
        </w:tc>
        <w:tc>
          <w:tcPr>
            <w:tcW w:w="921"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rsidRPr="00814447">
              <w:t>4.3</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10.0</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10.0</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95.5</w:t>
            </w:r>
          </w:p>
        </w:tc>
      </w:tr>
      <w:tr w:rsidR="0042091F" w:rsidTr="00DB79FF">
        <w:tc>
          <w:tcPr>
            <w:tcW w:w="1560"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TextEntries"/>
            </w:pPr>
            <w:r w:rsidRPr="00C203D9">
              <w:t>Living with limited mobility on same level as an entrance</w:t>
            </w:r>
          </w:p>
        </w:tc>
        <w:tc>
          <w:tcPr>
            <w:tcW w:w="1701"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TextEntries"/>
            </w:pPr>
            <w:r w:rsidRPr="00BC503F">
              <w:t xml:space="preserve">Unsuitable – No toilet or shower on entry level  </w:t>
            </w:r>
          </w:p>
        </w:tc>
        <w:tc>
          <w:tcPr>
            <w:tcW w:w="921"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rsidRPr="00083ABA">
              <w:t>15.9</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2.0</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0.1</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0.1</w:t>
            </w:r>
          </w:p>
        </w:tc>
      </w:tr>
      <w:tr w:rsidR="0042091F" w:rsidTr="00DB79FF">
        <w:tc>
          <w:tcPr>
            <w:tcW w:w="1560"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TextEntries"/>
            </w:pPr>
            <w:r w:rsidRPr="00C203D9">
              <w:t>Living with limited mobility on same level as an entrance</w:t>
            </w:r>
          </w:p>
        </w:tc>
        <w:tc>
          <w:tcPr>
            <w:tcW w:w="1701"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TextEntries"/>
            </w:pPr>
            <w:r w:rsidRPr="00BC503F">
              <w:t xml:space="preserve">Suitable for short visits – Toilet, but no shower on entry level </w:t>
            </w:r>
          </w:p>
        </w:tc>
        <w:tc>
          <w:tcPr>
            <w:tcW w:w="921"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rsidRPr="00083ABA">
              <w:t>15.3</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14.0</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15.9</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0.7</w:t>
            </w:r>
          </w:p>
        </w:tc>
      </w:tr>
      <w:tr w:rsidR="0042091F" w:rsidTr="00DB79FF">
        <w:tc>
          <w:tcPr>
            <w:tcW w:w="1560"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TextEntries"/>
            </w:pPr>
            <w:r w:rsidRPr="00C203D9">
              <w:t>Living with limited mobility on same level as an entrance</w:t>
            </w:r>
          </w:p>
        </w:tc>
        <w:tc>
          <w:tcPr>
            <w:tcW w:w="1701"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TextEntries"/>
            </w:pPr>
            <w:r w:rsidRPr="00BC503F">
              <w:t>Suitable for living or overnight visits – Toilet, shower and bedroom on entry level</w:t>
            </w:r>
          </w:p>
        </w:tc>
        <w:tc>
          <w:tcPr>
            <w:tcW w:w="921"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rsidRPr="00083ABA">
              <w:t>68.8</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84.0</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84.0</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99.2</w:t>
            </w:r>
          </w:p>
        </w:tc>
      </w:tr>
      <w:tr w:rsidR="0042091F" w:rsidTr="00DB79FF">
        <w:tc>
          <w:tcPr>
            <w:tcW w:w="1560"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TextEntries"/>
            </w:pPr>
            <w:r w:rsidRPr="00031ADF">
              <w:t>Modification that would be needed to make home suitable for ageing in place</w:t>
            </w:r>
          </w:p>
        </w:tc>
        <w:tc>
          <w:tcPr>
            <w:tcW w:w="1701"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TextEntries"/>
            </w:pPr>
            <w:r w:rsidRPr="00BC503F">
              <w:t>Significant</w:t>
            </w:r>
          </w:p>
        </w:tc>
        <w:tc>
          <w:tcPr>
            <w:tcW w:w="921"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rsidRPr="00C03BBF">
              <w:t>96.1</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90.0</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90.0</w:t>
            </w:r>
          </w:p>
        </w:tc>
        <w:tc>
          <w:tcPr>
            <w:tcW w:w="1252" w:type="dxa"/>
            <w:tcBorders>
              <w:top w:val="single" w:sz="8" w:space="0" w:color="FFFFFF" w:themeColor="background1"/>
              <w:bottom w:val="single" w:sz="8" w:space="0" w:color="FFFFFF" w:themeColor="background1"/>
            </w:tcBorders>
            <w:shd w:val="clear" w:color="auto" w:fill="E9E8E5" w:themeFill="background2"/>
          </w:tcPr>
          <w:p w:rsidR="0042091F" w:rsidRDefault="0042091F" w:rsidP="0042091F">
            <w:pPr>
              <w:pStyle w:val="TableDataEntries"/>
            </w:pPr>
            <w:r>
              <w:t>4.5</w:t>
            </w:r>
          </w:p>
        </w:tc>
      </w:tr>
      <w:tr w:rsidR="0042091F" w:rsidTr="00DB79FF">
        <w:tc>
          <w:tcPr>
            <w:tcW w:w="1560" w:type="dxa"/>
            <w:tcBorders>
              <w:top w:val="single" w:sz="8" w:space="0" w:color="FFFFFF" w:themeColor="background1"/>
              <w:bottom w:val="single" w:sz="4" w:space="0" w:color="6F6652" w:themeColor="accent5"/>
            </w:tcBorders>
            <w:shd w:val="clear" w:color="auto" w:fill="E9E8E5" w:themeFill="background2"/>
          </w:tcPr>
          <w:p w:rsidR="0042091F" w:rsidRDefault="0042091F" w:rsidP="0042091F">
            <w:pPr>
              <w:pStyle w:val="TableTextEntries"/>
            </w:pPr>
            <w:r w:rsidRPr="00031ADF">
              <w:t>Modification that would be needed to make home suitable for ageing in place</w:t>
            </w:r>
          </w:p>
        </w:tc>
        <w:tc>
          <w:tcPr>
            <w:tcW w:w="1701" w:type="dxa"/>
            <w:tcBorders>
              <w:top w:val="single" w:sz="8" w:space="0" w:color="FFFFFF" w:themeColor="background1"/>
              <w:bottom w:val="single" w:sz="4" w:space="0" w:color="6F6652" w:themeColor="accent5"/>
            </w:tcBorders>
            <w:shd w:val="clear" w:color="auto" w:fill="E9E8E5" w:themeFill="background2"/>
          </w:tcPr>
          <w:p w:rsidR="0042091F" w:rsidRDefault="0042091F" w:rsidP="0042091F">
            <w:pPr>
              <w:pStyle w:val="TableTextEntries"/>
            </w:pPr>
            <w:r w:rsidRPr="00BC503F">
              <w:t>Minimal</w:t>
            </w:r>
          </w:p>
        </w:tc>
        <w:tc>
          <w:tcPr>
            <w:tcW w:w="921" w:type="dxa"/>
            <w:tcBorders>
              <w:top w:val="single" w:sz="8" w:space="0" w:color="FFFFFF" w:themeColor="background1"/>
              <w:bottom w:val="single" w:sz="4" w:space="0" w:color="6F6652" w:themeColor="accent5"/>
            </w:tcBorders>
            <w:shd w:val="clear" w:color="auto" w:fill="E9E8E5" w:themeFill="background2"/>
          </w:tcPr>
          <w:p w:rsidR="0042091F" w:rsidRDefault="0042091F" w:rsidP="0042091F">
            <w:pPr>
              <w:pStyle w:val="TableDataEntries"/>
            </w:pPr>
            <w:r w:rsidRPr="00C03BBF">
              <w:t>3.9</w:t>
            </w:r>
          </w:p>
        </w:tc>
        <w:tc>
          <w:tcPr>
            <w:tcW w:w="1252" w:type="dxa"/>
            <w:tcBorders>
              <w:top w:val="single" w:sz="8" w:space="0" w:color="FFFFFF" w:themeColor="background1"/>
              <w:bottom w:val="single" w:sz="4" w:space="0" w:color="6F6652" w:themeColor="accent5"/>
            </w:tcBorders>
            <w:shd w:val="clear" w:color="auto" w:fill="E9E8E5" w:themeFill="background2"/>
          </w:tcPr>
          <w:p w:rsidR="0042091F" w:rsidRDefault="0042091F" w:rsidP="0042091F">
            <w:pPr>
              <w:pStyle w:val="TableDataEntries"/>
            </w:pPr>
            <w:r>
              <w:t>10.0</w:t>
            </w:r>
          </w:p>
        </w:tc>
        <w:tc>
          <w:tcPr>
            <w:tcW w:w="1252" w:type="dxa"/>
            <w:tcBorders>
              <w:top w:val="single" w:sz="8" w:space="0" w:color="FFFFFF" w:themeColor="background1"/>
              <w:bottom w:val="single" w:sz="4" w:space="0" w:color="6F6652" w:themeColor="accent5"/>
            </w:tcBorders>
            <w:shd w:val="clear" w:color="auto" w:fill="E9E8E5" w:themeFill="background2"/>
          </w:tcPr>
          <w:p w:rsidR="0042091F" w:rsidRDefault="0042091F" w:rsidP="0042091F">
            <w:pPr>
              <w:pStyle w:val="TableDataEntries"/>
            </w:pPr>
            <w:r>
              <w:t>10.0</w:t>
            </w:r>
          </w:p>
        </w:tc>
        <w:tc>
          <w:tcPr>
            <w:tcW w:w="1252" w:type="dxa"/>
            <w:tcBorders>
              <w:top w:val="single" w:sz="8" w:space="0" w:color="FFFFFF" w:themeColor="background1"/>
              <w:bottom w:val="single" w:sz="4" w:space="0" w:color="6F6652" w:themeColor="accent5"/>
            </w:tcBorders>
            <w:shd w:val="clear" w:color="auto" w:fill="E9E8E5" w:themeFill="background2"/>
          </w:tcPr>
          <w:p w:rsidR="0042091F" w:rsidRDefault="0042091F" w:rsidP="0042091F">
            <w:pPr>
              <w:pStyle w:val="TableDataEntries"/>
            </w:pPr>
            <w:r>
              <w:t>95.5</w:t>
            </w:r>
          </w:p>
        </w:tc>
      </w:tr>
    </w:tbl>
    <w:p w:rsidR="007C6A5F" w:rsidRDefault="007C6A5F" w:rsidP="007C6A5F">
      <w:pPr>
        <w:pStyle w:val="Source"/>
      </w:pPr>
      <w:r>
        <w:rPr>
          <w:i/>
        </w:rPr>
        <w:t>Source</w:t>
      </w:r>
      <w:r w:rsidRPr="00E4232C">
        <w:rPr>
          <w:i/>
        </w:rPr>
        <w:t>:</w:t>
      </w:r>
      <w:r>
        <w:t xml:space="preserve"> CIE survey and assumptions</w:t>
      </w:r>
      <w:r w:rsidR="00A745D0">
        <w:t>.</w:t>
      </w:r>
    </w:p>
    <w:p w:rsidR="007C6A5F" w:rsidRDefault="007C6A5F" w:rsidP="007C6A5F">
      <w:pPr>
        <w:pStyle w:val="BodyText"/>
      </w:pPr>
      <w:r>
        <w:t>These assumptions are combined to project accessibility features in the stock over time.</w:t>
      </w:r>
    </w:p>
    <w:p w:rsidR="007C6A5F" w:rsidRDefault="007C6A5F" w:rsidP="007C6A5F">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w:instrText>
      </w:r>
      <w:r w:rsidRPr="00695C93">
        <w:fldChar w:fldCharType="separate"/>
      </w:r>
      <w:r>
        <w:rPr>
          <w:noProof/>
        </w:rPr>
        <w:instrText>6</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sidR="00272AF3">
        <w:rPr>
          <w:noProof/>
        </w:rPr>
        <w:instrText>6</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7</w:instrText>
      </w:r>
      <w:r w:rsidRPr="00695C93">
        <w:fldChar w:fldCharType="end"/>
      </w:r>
      <w:r w:rsidRPr="00695C93">
        <w:instrText xml:space="preserve">" "" </w:instrText>
      </w:r>
      <w:r w:rsidRPr="00695C93">
        <w:fldChar w:fldCharType="separate"/>
      </w:r>
      <w:bookmarkStart w:id="5761" w:name="_Caption1650"/>
      <w:bookmarkStart w:id="5762" w:name="_Caption0802"/>
      <w:bookmarkStart w:id="5763" w:name="_Caption6115"/>
      <w:bookmarkStart w:id="5764" w:name="_Caption0469"/>
      <w:bookmarkStart w:id="5765" w:name="_Caption0321"/>
      <w:bookmarkStart w:id="5766" w:name="_Caption9333"/>
      <w:bookmarkStart w:id="5767" w:name="_Caption3009"/>
      <w:bookmarkStart w:id="5768" w:name="_Caption1397"/>
      <w:bookmarkStart w:id="5769" w:name="_Caption2054"/>
      <w:bookmarkStart w:id="5770" w:name="_Caption7442"/>
      <w:bookmarkStart w:id="5771" w:name="_Caption8538"/>
      <w:bookmarkStart w:id="5772" w:name="_Caption0298"/>
      <w:bookmarkStart w:id="5773" w:name="_Caption4873"/>
      <w:bookmarkStart w:id="5774" w:name="_Caption6695"/>
      <w:bookmarkStart w:id="5775" w:name="_Caption9722"/>
      <w:bookmarkStart w:id="5776" w:name="_Caption3680"/>
      <w:bookmarkStart w:id="5777" w:name="_Caption1049"/>
      <w:bookmarkStart w:id="5778" w:name="_Caption3475"/>
      <w:bookmarkStart w:id="5779" w:name="_Caption3569"/>
      <w:bookmarkStart w:id="5780" w:name="_Caption2756"/>
      <w:bookmarkStart w:id="5781" w:name="_Caption2902"/>
      <w:bookmarkStart w:id="5782" w:name="_Caption8639"/>
      <w:bookmarkStart w:id="5783" w:name="_Caption3379"/>
      <w:bookmarkStart w:id="5784" w:name="_Caption6661"/>
      <w:bookmarkStart w:id="5785" w:name="_Caption8463"/>
      <w:bookmarkStart w:id="5786" w:name="_Caption2034"/>
      <w:bookmarkStart w:id="5787" w:name="_Caption7091"/>
      <w:bookmarkStart w:id="5788" w:name="_Caption6977"/>
      <w:bookmarkStart w:id="5789" w:name="_Caption7879"/>
      <w:bookmarkStart w:id="5790" w:name="_Caption2688"/>
      <w:bookmarkStart w:id="5791" w:name="_Caption3507"/>
      <w:bookmarkStart w:id="5792" w:name="_Caption7078"/>
      <w:bookmarkStart w:id="5793" w:name="_Caption5825"/>
      <w:bookmarkStart w:id="5794" w:name="_Caption6835"/>
      <w:bookmarkStart w:id="5795" w:name="_Caption1764"/>
      <w:bookmarkStart w:id="5796" w:name="_Caption6135"/>
      <w:bookmarkStart w:id="5797" w:name="_Caption8110"/>
      <w:bookmarkStart w:id="5798" w:name="_Caption2478"/>
      <w:bookmarkStart w:id="5799" w:name="_Caption2235"/>
      <w:bookmarkStart w:id="5800" w:name="_Caption2946"/>
      <w:bookmarkStart w:id="5801" w:name="_Caption7536"/>
      <w:bookmarkStart w:id="5802" w:name="_Caption6885"/>
      <w:bookmarkStart w:id="5803" w:name="_Caption2922"/>
      <w:bookmarkStart w:id="5804" w:name="_Caption0847"/>
      <w:bookmarkStart w:id="5805" w:name="_Caption9041"/>
      <w:bookmarkStart w:id="5806" w:name="_Caption1454"/>
      <w:bookmarkStart w:id="5807" w:name="_Caption4765"/>
      <w:bookmarkStart w:id="5808" w:name="_Caption2494"/>
      <w:bookmarkStart w:id="5809" w:name="_Caption5027"/>
      <w:bookmarkStart w:id="5810" w:name="_Caption9262"/>
      <w:bookmarkStart w:id="5811" w:name="_Caption9230"/>
      <w:bookmarkStart w:id="5812" w:name="_Caption7915"/>
      <w:bookmarkStart w:id="5813" w:name="_Caption1993"/>
      <w:bookmarkStart w:id="5814" w:name="_Caption6268"/>
      <w:bookmarkStart w:id="5815" w:name="_Caption8497"/>
      <w:bookmarkStart w:id="5816" w:name="_Caption8482"/>
      <w:bookmarkStart w:id="5817" w:name="_Caption7444"/>
      <w:bookmarkStart w:id="5818" w:name="_Caption5096"/>
      <w:bookmarkStart w:id="5819" w:name="_Caption0581"/>
      <w:bookmarkStart w:id="5820" w:name="_Caption2313"/>
      <w:bookmarkStart w:id="5821" w:name="_Caption0230"/>
      <w:bookmarkStart w:id="5822" w:name="_Caption7061"/>
      <w:bookmarkStart w:id="5823" w:name="_Toc32321849"/>
      <w:bookmarkStart w:id="5824" w:name="_Toc44598546"/>
      <w:bookmarkStart w:id="5825" w:name="_Toc45654177"/>
      <w:r w:rsidR="00272AF3">
        <w:rPr>
          <w:noProof/>
        </w:rPr>
        <w:t>6</w:t>
      </w:r>
      <w:r w:rsidR="00272AF3" w:rsidRPr="00695C93">
        <w:rPr>
          <w:noProof/>
        </w:rPr>
        <w:t>.</w:t>
      </w:r>
      <w:r w:rsidR="00272AF3">
        <w:rPr>
          <w:noProof/>
        </w:rPr>
        <w:t>7</w:t>
      </w:r>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r w:rsidRPr="00695C93">
        <w:fldChar w:fldCharType="end"/>
      </w:r>
      <w:r w:rsidRPr="00695C93">
        <w:tab/>
      </w:r>
      <w:r>
        <w:t>Projected entrance-level amenities in rental housing stock: Option 2</w:t>
      </w:r>
      <w:bookmarkEnd w:id="5823"/>
      <w:bookmarkEnd w:id="5824"/>
      <w:bookmarkEnd w:id="5825"/>
    </w:p>
    <w:p w:rsidR="007C6A5F" w:rsidRDefault="007C6A5F" w:rsidP="007C6A5F">
      <w:pPr>
        <w:pStyle w:val="Subtitlebox"/>
      </w:pPr>
      <w:r>
        <w:rPr>
          <w:noProof/>
        </w:rPr>
        <w:drawing>
          <wp:inline distT="0" distB="0" distL="0" distR="0" wp14:anchorId="4A930374" wp14:editId="3FE6FFAA">
            <wp:extent cx="5040000" cy="2416175"/>
            <wp:effectExtent l="19050" t="19050" r="27305" b="22225"/>
            <wp:docPr id="40" name="Chart 40" descr="Chart 6.7 - Projected entrance-level amenities in rental housing stock: Option 2">
              <a:extLst xmlns:a="http://schemas.openxmlformats.org/drawingml/2006/main">
                <a:ext uri="{FF2B5EF4-FFF2-40B4-BE49-F238E27FC236}">
                  <a16:creationId xmlns:a16="http://schemas.microsoft.com/office/drawing/2014/main" id="{8023E15B-E062-4AC4-AB0D-3E1B919E8E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C6A5F" w:rsidRDefault="007C6A5F" w:rsidP="007C6A5F">
      <w:pPr>
        <w:pStyle w:val="Source"/>
      </w:pPr>
      <w:r>
        <w:rPr>
          <w:i/>
        </w:rPr>
        <w:t>Data source</w:t>
      </w:r>
      <w:r w:rsidRPr="00A67576">
        <w:rPr>
          <w:i/>
        </w:rPr>
        <w:t>:</w:t>
      </w:r>
      <w:r>
        <w:t xml:space="preserve"> CIE</w:t>
      </w:r>
    </w:p>
    <w:p w:rsidR="007C6A5F" w:rsidRDefault="007C6A5F" w:rsidP="007C6A5F">
      <w:pPr>
        <w:pStyle w:val="Heading4"/>
        <w:numPr>
          <w:ilvl w:val="3"/>
          <w:numId w:val="5"/>
        </w:numPr>
      </w:pPr>
      <w:r>
        <w:t>Projecting willingness to pay for accessibility features</w:t>
      </w:r>
    </w:p>
    <w:p w:rsidR="007C6A5F" w:rsidRDefault="007C6A5F" w:rsidP="007C6A5F">
      <w:pPr>
        <w:pStyle w:val="BodyText"/>
      </w:pPr>
      <w:r>
        <w:t xml:space="preserve">The ‘per household’ estimates of average WTP for changes in each accessibility feature are detailed in appendix </w:t>
      </w:r>
      <w:r w:rsidR="00620E26">
        <w:t>K</w:t>
      </w:r>
      <w:r>
        <w:t xml:space="preserve"> for both owner-occupiers and renters. The estimated averages of these ‘use values’ for various subgroups are described in </w:t>
      </w:r>
      <w:r w:rsidRPr="00752F92">
        <w:t>table</w:t>
      </w:r>
      <w:r>
        <w:t xml:space="preserve"> 6.8.</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w:instrText>
      </w:r>
      <w:r w:rsidRPr="00695C93">
        <w:fldChar w:fldCharType="separate"/>
      </w:r>
      <w:r>
        <w:rPr>
          <w:noProof/>
        </w:rPr>
        <w:instrText>6</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w:instrText>
      </w:r>
      <w:r w:rsidRPr="00695C93">
        <w:fldChar w:fldCharType="separate"/>
      </w:r>
      <w:r w:rsidR="00272AF3">
        <w:rPr>
          <w:noProof/>
        </w:rPr>
        <w:instrText>6</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8</w:instrText>
      </w:r>
      <w:r w:rsidRPr="00695C93">
        <w:fldChar w:fldCharType="end"/>
      </w:r>
      <w:r w:rsidRPr="00695C93">
        <w:instrText xml:space="preserve">" "" </w:instrText>
      </w:r>
      <w:r w:rsidRPr="00695C93">
        <w:fldChar w:fldCharType="separate"/>
      </w:r>
      <w:bookmarkStart w:id="5826" w:name="_Caption4721"/>
      <w:bookmarkStart w:id="5827" w:name="_Caption6036"/>
      <w:bookmarkStart w:id="5828" w:name="_Caption9666"/>
      <w:bookmarkStart w:id="5829" w:name="_Caption6519"/>
      <w:bookmarkStart w:id="5830" w:name="_Caption7961"/>
      <w:bookmarkStart w:id="5831" w:name="_Caption6247"/>
      <w:bookmarkStart w:id="5832" w:name="_Toc44598547"/>
      <w:bookmarkStart w:id="5833" w:name="_Toc45654178"/>
      <w:r w:rsidR="00272AF3">
        <w:rPr>
          <w:noProof/>
        </w:rPr>
        <w:t>6</w:t>
      </w:r>
      <w:r w:rsidR="00272AF3" w:rsidRPr="00695C93">
        <w:rPr>
          <w:noProof/>
        </w:rPr>
        <w:t>.</w:t>
      </w:r>
      <w:r w:rsidR="00272AF3">
        <w:rPr>
          <w:noProof/>
        </w:rPr>
        <w:t>8</w:t>
      </w:r>
      <w:bookmarkEnd w:id="5826"/>
      <w:bookmarkEnd w:id="5827"/>
      <w:bookmarkEnd w:id="5828"/>
      <w:bookmarkEnd w:id="5829"/>
      <w:bookmarkEnd w:id="5830"/>
      <w:bookmarkEnd w:id="5831"/>
      <w:r w:rsidRPr="00695C93">
        <w:fldChar w:fldCharType="end"/>
      </w:r>
      <w:r w:rsidRPr="00695C93">
        <w:tab/>
      </w:r>
      <w:r>
        <w:t>Estimates of average willingness to pay by tenure type and mobility status</w:t>
      </w:r>
      <w:bookmarkEnd w:id="5832"/>
      <w:bookmarkEnd w:id="5833"/>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6.8"/>
        <w:tblDescription w:val="Estimates of average willingness to pay by tenure type and mobility status"/>
      </w:tblPr>
      <w:tblGrid>
        <w:gridCol w:w="4461"/>
        <w:gridCol w:w="881"/>
        <w:gridCol w:w="814"/>
        <w:gridCol w:w="891"/>
        <w:gridCol w:w="891"/>
      </w:tblGrid>
      <w:tr w:rsidR="007C6A5F" w:rsidRPr="000F45A0" w:rsidTr="00A53AF7">
        <w:trPr>
          <w:trHeight w:val="270"/>
          <w:tblHeader/>
        </w:trPr>
        <w:tc>
          <w:tcPr>
            <w:tcW w:w="4461" w:type="dxa"/>
            <w:shd w:val="clear" w:color="auto" w:fill="6F6652" w:themeFill="accent5"/>
            <w:hideMark/>
          </w:tcPr>
          <w:p w:rsidR="007C6A5F" w:rsidRPr="000F45A0" w:rsidRDefault="007C6A5F" w:rsidP="00C36DA4">
            <w:pPr>
              <w:pStyle w:val="TableDataColumnHeading"/>
              <w:jc w:val="left"/>
            </w:pPr>
            <w:r w:rsidRPr="000F45A0">
              <w:t> </w:t>
            </w:r>
            <w:r>
              <w:t>Change in housing features</w:t>
            </w:r>
          </w:p>
        </w:tc>
        <w:tc>
          <w:tcPr>
            <w:tcW w:w="881" w:type="dxa"/>
            <w:shd w:val="clear" w:color="auto" w:fill="6F6652" w:themeFill="accent5"/>
            <w:hideMark/>
          </w:tcPr>
          <w:p w:rsidR="007C6A5F" w:rsidRPr="000F45A0" w:rsidRDefault="007C6A5F" w:rsidP="00C36DA4">
            <w:pPr>
              <w:pStyle w:val="TableDataColumnHeading"/>
              <w:rPr>
                <w:szCs w:val="16"/>
              </w:rPr>
            </w:pPr>
            <w:r w:rsidRPr="000F45A0">
              <w:rPr>
                <w:szCs w:val="16"/>
              </w:rPr>
              <w:t>Buyers</w:t>
            </w:r>
            <w:r w:rsidR="00A53AF7">
              <w:rPr>
                <w:szCs w:val="16"/>
              </w:rPr>
              <w:br/>
              <w:t>($ per week)</w:t>
            </w:r>
          </w:p>
        </w:tc>
        <w:tc>
          <w:tcPr>
            <w:tcW w:w="814" w:type="dxa"/>
            <w:shd w:val="clear" w:color="auto" w:fill="6F6652" w:themeFill="accent5"/>
            <w:noWrap/>
            <w:hideMark/>
          </w:tcPr>
          <w:p w:rsidR="007C6A5F" w:rsidRPr="000F45A0" w:rsidRDefault="007C6A5F" w:rsidP="00C36DA4">
            <w:pPr>
              <w:pStyle w:val="TableDataColumnHeading"/>
              <w:rPr>
                <w:szCs w:val="16"/>
              </w:rPr>
            </w:pPr>
            <w:r w:rsidRPr="000F45A0">
              <w:rPr>
                <w:szCs w:val="16"/>
              </w:rPr>
              <w:t>Renters</w:t>
            </w:r>
            <w:r w:rsidR="00A53AF7">
              <w:rPr>
                <w:szCs w:val="16"/>
              </w:rPr>
              <w:br/>
              <w:t>($ per week)</w:t>
            </w:r>
          </w:p>
        </w:tc>
        <w:tc>
          <w:tcPr>
            <w:tcW w:w="891" w:type="dxa"/>
            <w:shd w:val="clear" w:color="auto" w:fill="6F6652" w:themeFill="accent5"/>
            <w:noWrap/>
            <w:hideMark/>
          </w:tcPr>
          <w:p w:rsidR="007C6A5F" w:rsidRPr="000F45A0" w:rsidRDefault="007C6A5F" w:rsidP="00C36DA4">
            <w:pPr>
              <w:pStyle w:val="TableDataColumnHeading"/>
              <w:rPr>
                <w:szCs w:val="16"/>
              </w:rPr>
            </w:pPr>
            <w:r w:rsidRPr="000F45A0">
              <w:rPr>
                <w:szCs w:val="16"/>
              </w:rPr>
              <w:t>Buyers with mobility limitation</w:t>
            </w:r>
            <w:r w:rsidR="00A53AF7">
              <w:rPr>
                <w:szCs w:val="16"/>
              </w:rPr>
              <w:br/>
              <w:t>($ per week)</w:t>
            </w:r>
          </w:p>
        </w:tc>
        <w:tc>
          <w:tcPr>
            <w:tcW w:w="891" w:type="dxa"/>
            <w:shd w:val="clear" w:color="auto" w:fill="6F6652" w:themeFill="accent5"/>
            <w:noWrap/>
            <w:hideMark/>
          </w:tcPr>
          <w:p w:rsidR="007C6A5F" w:rsidRPr="000F45A0" w:rsidRDefault="007C6A5F" w:rsidP="00C36DA4">
            <w:pPr>
              <w:pStyle w:val="TableDataColumnHeading"/>
              <w:rPr>
                <w:szCs w:val="16"/>
              </w:rPr>
            </w:pPr>
            <w:r w:rsidRPr="000F45A0">
              <w:rPr>
                <w:szCs w:val="16"/>
              </w:rPr>
              <w:t>Renters with mobility limitation</w:t>
            </w:r>
            <w:r w:rsidR="00A53AF7">
              <w:rPr>
                <w:szCs w:val="16"/>
              </w:rPr>
              <w:br/>
              <w:t>($ per week)</w:t>
            </w:r>
          </w:p>
        </w:tc>
      </w:tr>
      <w:tr w:rsidR="007C6A5F" w:rsidRPr="000F45A0" w:rsidTr="00A53AF7">
        <w:trPr>
          <w:trHeight w:val="260"/>
        </w:trPr>
        <w:tc>
          <w:tcPr>
            <w:tcW w:w="4461" w:type="dxa"/>
            <w:tcBorders>
              <w:top w:val="single" w:sz="8" w:space="0" w:color="FFFFFF" w:themeColor="background1"/>
              <w:bottom w:val="single" w:sz="8" w:space="0" w:color="FFFFFF" w:themeColor="background1"/>
            </w:tcBorders>
            <w:shd w:val="clear" w:color="auto" w:fill="E9E8E5" w:themeFill="background2"/>
            <w:hideMark/>
          </w:tcPr>
          <w:p w:rsidR="007C6A5F" w:rsidRPr="00DF7B3F" w:rsidRDefault="007C6A5F" w:rsidP="00C36DA4">
            <w:pPr>
              <w:pStyle w:val="TableDataEntries"/>
              <w:jc w:val="left"/>
              <w:rPr>
                <w:color w:val="000000"/>
              </w:rPr>
            </w:pPr>
            <w:r w:rsidRPr="000F45A0">
              <w:t>Getting in and out: 'Several steps' to 'Single step'</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pPr>
            <w:r w:rsidRPr="000F45A0">
              <w:t>32.63</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rsidR="007C6A5F" w:rsidRPr="00DF7B3F" w:rsidRDefault="007C6A5F" w:rsidP="00C36DA4">
            <w:pPr>
              <w:pStyle w:val="TableDataEntries"/>
              <w:rPr>
                <w:color w:val="000000"/>
              </w:rPr>
            </w:pPr>
            <w:r w:rsidRPr="000F45A0">
              <w:rPr>
                <w:color w:val="000000"/>
              </w:rPr>
              <w:t>25.22</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42.96</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39.74</w:t>
            </w:r>
          </w:p>
        </w:tc>
      </w:tr>
      <w:tr w:rsidR="007C6A5F" w:rsidRPr="000F45A0" w:rsidTr="00A53AF7">
        <w:trPr>
          <w:trHeight w:val="260"/>
        </w:trPr>
        <w:tc>
          <w:tcPr>
            <w:tcW w:w="4461" w:type="dxa"/>
            <w:tcBorders>
              <w:top w:val="single" w:sz="8" w:space="0" w:color="FFFFFF" w:themeColor="background1"/>
              <w:bottom w:val="single" w:sz="8" w:space="0" w:color="FFFFFF" w:themeColor="background1"/>
            </w:tcBorders>
            <w:shd w:val="clear" w:color="auto" w:fill="E9E8E5" w:themeFill="background2"/>
            <w:hideMark/>
          </w:tcPr>
          <w:p w:rsidR="007C6A5F" w:rsidRPr="00DF7B3F" w:rsidRDefault="007C6A5F" w:rsidP="00C36DA4">
            <w:pPr>
              <w:pStyle w:val="TableDataEntries"/>
              <w:jc w:val="left"/>
              <w:rPr>
                <w:color w:val="000000"/>
              </w:rPr>
            </w:pPr>
            <w:r w:rsidRPr="000F45A0">
              <w:t>Getting in and out: 'Several steps' to 'Step-free'</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pPr>
            <w:r w:rsidRPr="000F45A0">
              <w:t>49.02</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rsidR="007C6A5F" w:rsidRPr="00DF7B3F" w:rsidRDefault="007C6A5F" w:rsidP="00C36DA4">
            <w:pPr>
              <w:pStyle w:val="TableDataEntries"/>
              <w:rPr>
                <w:color w:val="000000"/>
              </w:rPr>
            </w:pPr>
            <w:r w:rsidRPr="000F45A0">
              <w:rPr>
                <w:color w:val="000000"/>
              </w:rPr>
              <w:t>37.96</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65.65</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60.99</w:t>
            </w:r>
          </w:p>
        </w:tc>
      </w:tr>
      <w:tr w:rsidR="007C6A5F" w:rsidRPr="000F45A0" w:rsidTr="00A53AF7">
        <w:trPr>
          <w:trHeight w:val="260"/>
        </w:trPr>
        <w:tc>
          <w:tcPr>
            <w:tcW w:w="4461" w:type="dxa"/>
            <w:tcBorders>
              <w:top w:val="single" w:sz="8" w:space="0" w:color="FFFFFF" w:themeColor="background1"/>
              <w:bottom w:val="single" w:sz="8" w:space="0" w:color="FFFFFF" w:themeColor="background1"/>
            </w:tcBorders>
            <w:shd w:val="clear" w:color="auto" w:fill="E9E8E5" w:themeFill="background2"/>
            <w:hideMark/>
          </w:tcPr>
          <w:p w:rsidR="007C6A5F" w:rsidRPr="00DF7B3F" w:rsidRDefault="007C6A5F" w:rsidP="00C36DA4">
            <w:pPr>
              <w:pStyle w:val="TableDataEntries"/>
              <w:jc w:val="left"/>
              <w:rPr>
                <w:color w:val="000000"/>
              </w:rPr>
            </w:pPr>
            <w:r w:rsidRPr="000F45A0">
              <w:t>Moving around indoors: 'Regular space' to 'Wide spaces'</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pPr>
            <w:r w:rsidRPr="000F45A0">
              <w:t>15.94</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rsidR="007C6A5F" w:rsidRPr="00DF7B3F" w:rsidRDefault="007C6A5F" w:rsidP="00C36DA4">
            <w:pPr>
              <w:pStyle w:val="TableDataEntries"/>
              <w:rPr>
                <w:color w:val="000000"/>
              </w:rPr>
            </w:pPr>
            <w:r w:rsidRPr="000F45A0">
              <w:rPr>
                <w:color w:val="000000"/>
              </w:rPr>
              <w:t>12.21</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19.39</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17.57</w:t>
            </w:r>
          </w:p>
        </w:tc>
      </w:tr>
      <w:tr w:rsidR="007C6A5F" w:rsidRPr="000F45A0" w:rsidTr="00A53AF7">
        <w:trPr>
          <w:trHeight w:val="260"/>
        </w:trPr>
        <w:tc>
          <w:tcPr>
            <w:tcW w:w="4461" w:type="dxa"/>
            <w:tcBorders>
              <w:top w:val="single" w:sz="8" w:space="0" w:color="FFFFFF" w:themeColor="background1"/>
              <w:bottom w:val="single" w:sz="8" w:space="0" w:color="FFFFFF" w:themeColor="background1"/>
            </w:tcBorders>
            <w:shd w:val="clear" w:color="auto" w:fill="E9E8E5" w:themeFill="background2"/>
            <w:hideMark/>
          </w:tcPr>
          <w:p w:rsidR="007C6A5F" w:rsidRPr="00DF7B3F" w:rsidRDefault="007C6A5F" w:rsidP="00C36DA4">
            <w:pPr>
              <w:pStyle w:val="TableDataEntries"/>
              <w:jc w:val="left"/>
              <w:rPr>
                <w:color w:val="000000"/>
              </w:rPr>
            </w:pPr>
            <w:r w:rsidRPr="000F45A0">
              <w:t>Moving around indoors: 'Regular space' to 'Extra-wide spaces'</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pPr>
            <w:r w:rsidRPr="000F45A0">
              <w:t>21.51</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rsidR="007C6A5F" w:rsidRPr="00DF7B3F" w:rsidRDefault="007C6A5F" w:rsidP="00C36DA4">
            <w:pPr>
              <w:pStyle w:val="TableDataEntries"/>
              <w:rPr>
                <w:color w:val="000000"/>
              </w:rPr>
            </w:pPr>
            <w:r w:rsidRPr="000F45A0">
              <w:rPr>
                <w:color w:val="000000"/>
              </w:rPr>
              <w:t>16.66</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28.78</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26.73</w:t>
            </w:r>
          </w:p>
        </w:tc>
      </w:tr>
      <w:tr w:rsidR="007C6A5F" w:rsidRPr="000F45A0" w:rsidTr="00A53AF7">
        <w:trPr>
          <w:trHeight w:val="260"/>
        </w:trPr>
        <w:tc>
          <w:tcPr>
            <w:tcW w:w="4461" w:type="dxa"/>
            <w:tcBorders>
              <w:top w:val="single" w:sz="8" w:space="0" w:color="FFFFFF" w:themeColor="background1"/>
              <w:bottom w:val="single" w:sz="8" w:space="0" w:color="FFFFFF" w:themeColor="background1"/>
            </w:tcBorders>
            <w:shd w:val="clear" w:color="auto" w:fill="E9E8E5" w:themeFill="background2"/>
            <w:hideMark/>
          </w:tcPr>
          <w:p w:rsidR="007C6A5F" w:rsidRPr="00DF7B3F" w:rsidRDefault="007C6A5F" w:rsidP="00C36DA4">
            <w:pPr>
              <w:pStyle w:val="TableDataEntries"/>
              <w:jc w:val="left"/>
              <w:rPr>
                <w:color w:val="000000"/>
              </w:rPr>
            </w:pPr>
            <w:r w:rsidRPr="000F45A0">
              <w:t>Living on same level as entrance: 'Unsuitable' to 'Suitable for short visits'</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pPr>
            <w:r w:rsidRPr="000F45A0">
              <w:t>42.45</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rsidR="007C6A5F" w:rsidRPr="00DF7B3F" w:rsidRDefault="007C6A5F" w:rsidP="00C36DA4">
            <w:pPr>
              <w:pStyle w:val="TableDataEntries"/>
              <w:rPr>
                <w:color w:val="000000"/>
              </w:rPr>
            </w:pPr>
            <w:r w:rsidRPr="000F45A0">
              <w:rPr>
                <w:color w:val="000000"/>
              </w:rPr>
              <w:t>32.97</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58.18</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54.35</w:t>
            </w:r>
          </w:p>
        </w:tc>
      </w:tr>
      <w:tr w:rsidR="007C6A5F" w:rsidRPr="000F45A0" w:rsidTr="00A53AF7">
        <w:trPr>
          <w:trHeight w:val="450"/>
        </w:trPr>
        <w:tc>
          <w:tcPr>
            <w:tcW w:w="4461" w:type="dxa"/>
            <w:tcBorders>
              <w:top w:val="single" w:sz="8" w:space="0" w:color="FFFFFF" w:themeColor="background1"/>
              <w:bottom w:val="single" w:sz="8" w:space="0" w:color="FFFFFF" w:themeColor="background1"/>
            </w:tcBorders>
            <w:shd w:val="clear" w:color="auto" w:fill="E9E8E5" w:themeFill="background2"/>
            <w:hideMark/>
          </w:tcPr>
          <w:p w:rsidR="007C6A5F" w:rsidRPr="00DF7B3F" w:rsidRDefault="007C6A5F" w:rsidP="00C36DA4">
            <w:pPr>
              <w:pStyle w:val="TableDataEntries"/>
              <w:jc w:val="left"/>
              <w:rPr>
                <w:color w:val="000000"/>
              </w:rPr>
            </w:pPr>
            <w:r w:rsidRPr="000F45A0">
              <w:t>Living on same level as entrance: 'Unsuitable' to 'Suitable for living or overnight visits'</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pPr>
            <w:r w:rsidRPr="000F45A0">
              <w:t>62.01</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rsidR="007C6A5F" w:rsidRPr="00DF7B3F" w:rsidRDefault="007C6A5F" w:rsidP="00C36DA4">
            <w:pPr>
              <w:pStyle w:val="TableDataEntries"/>
              <w:rPr>
                <w:color w:val="000000"/>
              </w:rPr>
            </w:pPr>
            <w:r w:rsidRPr="000F45A0">
              <w:rPr>
                <w:color w:val="000000"/>
              </w:rPr>
              <w:t>48.42</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88.72</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83.72</w:t>
            </w:r>
          </w:p>
        </w:tc>
      </w:tr>
      <w:tr w:rsidR="007C6A5F" w:rsidRPr="000F45A0" w:rsidTr="00A53AF7">
        <w:trPr>
          <w:trHeight w:val="260"/>
        </w:trPr>
        <w:tc>
          <w:tcPr>
            <w:tcW w:w="4461" w:type="dxa"/>
            <w:tcBorders>
              <w:top w:val="single" w:sz="8" w:space="0" w:color="FFFFFF" w:themeColor="background1"/>
              <w:bottom w:val="single" w:sz="8" w:space="0" w:color="FFFFFF" w:themeColor="background1"/>
            </w:tcBorders>
            <w:shd w:val="clear" w:color="auto" w:fill="E9E8E5" w:themeFill="background2"/>
            <w:hideMark/>
          </w:tcPr>
          <w:p w:rsidR="007C6A5F" w:rsidRPr="00DF7B3F" w:rsidRDefault="007C6A5F" w:rsidP="00C36DA4">
            <w:pPr>
              <w:pStyle w:val="TableDataEntries"/>
              <w:jc w:val="left"/>
              <w:rPr>
                <w:color w:val="000000"/>
              </w:rPr>
            </w:pPr>
            <w:r w:rsidRPr="000F45A0">
              <w:t>Modification that would be needed: 'Significant' to 'Minimal'</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pPr>
            <w:r w:rsidRPr="000F45A0">
              <w:t>18.59</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rsidR="007C6A5F" w:rsidRPr="00DF7B3F" w:rsidRDefault="007C6A5F" w:rsidP="00C36DA4">
            <w:pPr>
              <w:pStyle w:val="TableDataEntries"/>
              <w:rPr>
                <w:color w:val="000000"/>
              </w:rPr>
            </w:pPr>
            <w:r w:rsidRPr="000F45A0">
              <w:rPr>
                <w:color w:val="000000"/>
              </w:rPr>
              <w:t>14.08</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20.39</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17.90</w:t>
            </w:r>
          </w:p>
        </w:tc>
      </w:tr>
      <w:tr w:rsidR="007C6A5F" w:rsidRPr="000F45A0" w:rsidTr="00A53AF7">
        <w:trPr>
          <w:trHeight w:val="260"/>
        </w:trPr>
        <w:tc>
          <w:tcPr>
            <w:tcW w:w="446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jc w:val="left"/>
              <w:rPr>
                <w:color w:val="000000"/>
              </w:rPr>
            </w:pPr>
            <w:r w:rsidRPr="000F45A0">
              <w:t>Total size of home compared to similar homes: 'Same' to '5% larger'</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pPr>
            <w:r w:rsidRPr="000F45A0">
              <w:t>7.23</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5.54</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8.82</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8.00</w:t>
            </w:r>
          </w:p>
        </w:tc>
      </w:tr>
      <w:tr w:rsidR="007C6A5F" w:rsidRPr="000F45A0" w:rsidTr="00A53AF7">
        <w:trPr>
          <w:trHeight w:val="260"/>
        </w:trPr>
        <w:tc>
          <w:tcPr>
            <w:tcW w:w="446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jc w:val="left"/>
              <w:rPr>
                <w:color w:val="000000"/>
              </w:rPr>
            </w:pPr>
            <w:r w:rsidRPr="000F45A0">
              <w:t>Space used for corridors, bathroom, kitchen, laundry: 40% to 45%</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pPr>
            <w:r w:rsidRPr="000F45A0">
              <w:t>-3.30</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-2.48</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-3.33</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-2.85</w:t>
            </w:r>
          </w:p>
        </w:tc>
      </w:tr>
      <w:tr w:rsidR="007C6A5F" w:rsidRPr="000F45A0" w:rsidTr="00A53AF7">
        <w:trPr>
          <w:trHeight w:val="260"/>
        </w:trPr>
        <w:tc>
          <w:tcPr>
            <w:tcW w:w="4461" w:type="dxa"/>
            <w:tcBorders>
              <w:top w:val="single" w:sz="8" w:space="0" w:color="FFFFFF" w:themeColor="background1"/>
              <w:bottom w:val="single" w:sz="4" w:space="0" w:color="6F6652" w:themeColor="accent5"/>
            </w:tcBorders>
            <w:shd w:val="clear" w:color="auto" w:fill="E9E8E5" w:themeFill="background2"/>
            <w:hideMark/>
          </w:tcPr>
          <w:p w:rsidR="007C6A5F" w:rsidRPr="000F45A0" w:rsidRDefault="007C6A5F" w:rsidP="00C36DA4">
            <w:pPr>
              <w:pStyle w:val="TableDataEntries"/>
              <w:jc w:val="left"/>
              <w:rPr>
                <w:color w:val="000000"/>
              </w:rPr>
            </w:pPr>
            <w:r w:rsidRPr="000F45A0">
              <w:t>Space used for corridors, bathroom, kitchen, laundry: 40% to 50%</w:t>
            </w:r>
          </w:p>
        </w:tc>
        <w:tc>
          <w:tcPr>
            <w:tcW w:w="881" w:type="dxa"/>
            <w:tcBorders>
              <w:top w:val="single" w:sz="8" w:space="0" w:color="FFFFFF" w:themeColor="background1"/>
              <w:bottom w:val="single" w:sz="4" w:space="0" w:color="6F6652" w:themeColor="accent5"/>
            </w:tcBorders>
            <w:shd w:val="clear" w:color="auto" w:fill="E9E8E5" w:themeFill="background2"/>
            <w:hideMark/>
          </w:tcPr>
          <w:p w:rsidR="007C6A5F" w:rsidRPr="000F45A0" w:rsidRDefault="007C6A5F" w:rsidP="00C36DA4">
            <w:pPr>
              <w:pStyle w:val="TableDataEntries"/>
            </w:pPr>
            <w:r w:rsidRPr="000F45A0">
              <w:t>-7.49</w:t>
            </w:r>
          </w:p>
        </w:tc>
        <w:tc>
          <w:tcPr>
            <w:tcW w:w="814" w:type="dxa"/>
            <w:tcBorders>
              <w:top w:val="single" w:sz="8" w:space="0" w:color="FFFFFF" w:themeColor="background1"/>
              <w:bottom w:val="single" w:sz="4" w:space="0" w:color="6F6652" w:themeColor="accent5"/>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-5.68</w:t>
            </w:r>
          </w:p>
        </w:tc>
        <w:tc>
          <w:tcPr>
            <w:tcW w:w="891" w:type="dxa"/>
            <w:tcBorders>
              <w:top w:val="single" w:sz="8" w:space="0" w:color="FFFFFF" w:themeColor="background1"/>
              <w:bottom w:val="single" w:sz="4" w:space="0" w:color="6F6652" w:themeColor="accent5"/>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-8.36</w:t>
            </w:r>
          </w:p>
        </w:tc>
        <w:tc>
          <w:tcPr>
            <w:tcW w:w="891" w:type="dxa"/>
            <w:tcBorders>
              <w:top w:val="single" w:sz="8" w:space="0" w:color="FFFFFF" w:themeColor="background1"/>
              <w:bottom w:val="single" w:sz="4" w:space="0" w:color="6F6652" w:themeColor="accent5"/>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-7.39</w:t>
            </w:r>
          </w:p>
        </w:tc>
      </w:tr>
    </w:tbl>
    <w:p w:rsidR="007C6A5F" w:rsidRDefault="007C6A5F" w:rsidP="007C6A5F">
      <w:pPr>
        <w:pStyle w:val="Source"/>
      </w:pPr>
      <w:r>
        <w:rPr>
          <w:i/>
        </w:rPr>
        <w:t>Source</w:t>
      </w:r>
      <w:r w:rsidRPr="00E4232C">
        <w:rPr>
          <w:i/>
        </w:rPr>
        <w:t>:</w:t>
      </w:r>
      <w:r>
        <w:t xml:space="preserve"> CIE.</w:t>
      </w:r>
    </w:p>
    <w:p w:rsidR="007C6A5F" w:rsidRDefault="007C6A5F" w:rsidP="007C6A5F">
      <w:pPr>
        <w:pStyle w:val="BodyText"/>
      </w:pPr>
      <w:r>
        <w:t xml:space="preserve">The appropriate WTP figure to apply to features in new homes depends on assumptions about how closely accessibility features have been and will be matched to consumers </w:t>
      </w:r>
      <w:r>
        <w:lastRenderedPageBreak/>
        <w:t xml:space="preserve">with the highest demand (WTP) for those features. While more accessible homes will tend to be purchased by consumers with higher WTP for accessibility features, the costs of moving home and correlation between accessibility and other housing attributes, such as location, may mean that is not the case. Analysis of the accessibility features in the existing homes of survey respondents suggests accessibility features are not well matched to households containing someone with limited mobility, though it seems people with limited mobility are less likely to live in a home with several steps to the entrance and more likely to live in a home with wider doors (table </w:t>
      </w:r>
      <w:r>
        <w:rPr>
          <w:noProof/>
        </w:rPr>
        <w:fldChar w:fldCharType="begin"/>
      </w:r>
      <w:r>
        <w:rPr>
          <w:noProof/>
        </w:rPr>
        <w:instrText xml:space="preserve"> REF _Caption8141 </w:instrText>
      </w:r>
      <w:r>
        <w:rPr>
          <w:noProof/>
        </w:rPr>
        <w:fldChar w:fldCharType="separate"/>
      </w:r>
      <w:r>
        <w:rPr>
          <w:noProof/>
        </w:rPr>
        <w:t>6</w:t>
      </w:r>
      <w:r w:rsidRPr="00695C93">
        <w:rPr>
          <w:noProof/>
        </w:rPr>
        <w:t>.</w:t>
      </w:r>
      <w:r>
        <w:rPr>
          <w:noProof/>
        </w:rPr>
        <w:t>9</w:t>
      </w:r>
      <w:r>
        <w:rPr>
          <w:noProof/>
        </w:rPr>
        <w:fldChar w:fldCharType="end"/>
      </w:r>
      <w:r>
        <w:t>).</w:t>
      </w:r>
    </w:p>
    <w:bookmarkStart w:id="5834" w:name="_Hlk45610777"/>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w:instrText>
      </w:r>
      <w:r w:rsidRPr="00695C93">
        <w:fldChar w:fldCharType="separate"/>
      </w:r>
      <w:r>
        <w:rPr>
          <w:noProof/>
        </w:rPr>
        <w:instrText>6</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w:instrText>
      </w:r>
      <w:r w:rsidR="00F56BFF">
        <w:instrText xml:space="preserve">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6</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9</w:instrText>
      </w:r>
      <w:r w:rsidRPr="00695C93">
        <w:fldChar w:fldCharType="end"/>
      </w:r>
      <w:r w:rsidRPr="00695C93">
        <w:instrText xml:space="preserve">" "" </w:instrText>
      </w:r>
      <w:r w:rsidRPr="00695C93">
        <w:fldChar w:fldCharType="separate"/>
      </w:r>
      <w:bookmarkStart w:id="5835" w:name="_Caption1708"/>
      <w:bookmarkStart w:id="5836" w:name="_Caption7627"/>
      <w:bookmarkStart w:id="5837" w:name="_Caption9392"/>
      <w:bookmarkStart w:id="5838" w:name="_Caption2752"/>
      <w:bookmarkStart w:id="5839" w:name="_Caption7195"/>
      <w:bookmarkStart w:id="5840" w:name="_Caption1524"/>
      <w:bookmarkStart w:id="5841" w:name="_Caption0128"/>
      <w:bookmarkStart w:id="5842" w:name="_Caption5935"/>
      <w:bookmarkStart w:id="5843" w:name="_Caption7579"/>
      <w:bookmarkStart w:id="5844" w:name="_Caption4631"/>
      <w:bookmarkStart w:id="5845" w:name="_Caption7002"/>
      <w:bookmarkStart w:id="5846" w:name="_Caption0512"/>
      <w:bookmarkStart w:id="5847" w:name="_Caption5260"/>
      <w:bookmarkStart w:id="5848" w:name="_Caption3344"/>
      <w:bookmarkStart w:id="5849" w:name="_Caption6024"/>
      <w:bookmarkStart w:id="5850" w:name="_Caption7058"/>
      <w:bookmarkStart w:id="5851" w:name="_Caption2891"/>
      <w:bookmarkStart w:id="5852" w:name="_Caption3048"/>
      <w:bookmarkStart w:id="5853" w:name="_Caption9830"/>
      <w:bookmarkStart w:id="5854" w:name="_Caption5426"/>
      <w:bookmarkStart w:id="5855" w:name="_Caption5156"/>
      <w:bookmarkStart w:id="5856" w:name="_Caption8141"/>
      <w:bookmarkStart w:id="5857" w:name="_Caption7235"/>
      <w:bookmarkStart w:id="5858" w:name="_Caption2836"/>
      <w:bookmarkStart w:id="5859" w:name="_Caption9428"/>
      <w:bookmarkStart w:id="5860" w:name="_Caption9252"/>
      <w:bookmarkStart w:id="5861" w:name="_Caption8824"/>
      <w:bookmarkStart w:id="5862" w:name="_Caption3135"/>
      <w:bookmarkStart w:id="5863" w:name="_Caption1796"/>
      <w:bookmarkStart w:id="5864" w:name="_Caption1999"/>
      <w:bookmarkStart w:id="5865" w:name="_Caption7668"/>
      <w:bookmarkStart w:id="5866" w:name="_Caption3403"/>
      <w:bookmarkStart w:id="5867" w:name="_Caption9750"/>
      <w:bookmarkStart w:id="5868" w:name="_Caption7576"/>
      <w:bookmarkStart w:id="5869" w:name="_Caption8675"/>
      <w:bookmarkStart w:id="5870" w:name="_Caption5350"/>
      <w:bookmarkStart w:id="5871" w:name="_Caption4425"/>
      <w:bookmarkStart w:id="5872" w:name="_Caption3601"/>
      <w:bookmarkStart w:id="5873" w:name="_Caption3372"/>
      <w:bookmarkStart w:id="5874" w:name="_Caption7083"/>
      <w:bookmarkStart w:id="5875" w:name="_Caption6263"/>
      <w:bookmarkStart w:id="5876" w:name="_Caption2255"/>
      <w:bookmarkStart w:id="5877" w:name="_Toc32321850"/>
      <w:bookmarkStart w:id="5878" w:name="_Toc44598548"/>
      <w:bookmarkStart w:id="5879" w:name="_Toc45654179"/>
      <w:r w:rsidR="00272AF3">
        <w:rPr>
          <w:noProof/>
        </w:rPr>
        <w:t>6</w:t>
      </w:r>
      <w:r w:rsidR="00272AF3" w:rsidRPr="00695C93">
        <w:rPr>
          <w:noProof/>
        </w:rPr>
        <w:t>.</w:t>
      </w:r>
      <w:r w:rsidR="00272AF3">
        <w:rPr>
          <w:noProof/>
        </w:rPr>
        <w:t>9</w:t>
      </w:r>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r w:rsidRPr="00695C93">
        <w:fldChar w:fldCharType="end"/>
      </w:r>
      <w:r w:rsidRPr="00695C93">
        <w:tab/>
      </w:r>
      <w:r>
        <w:t>Characteristics of housing for households with and without limited mobility</w:t>
      </w:r>
      <w:bookmarkEnd w:id="5877"/>
      <w:bookmarkEnd w:id="5878"/>
      <w:bookmarkEnd w:id="5879"/>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6.9"/>
        <w:tblDescription w:val="Charateristics of housing for households with and without limited mobility"/>
      </w:tblPr>
      <w:tblGrid>
        <w:gridCol w:w="851"/>
        <w:gridCol w:w="4334"/>
        <w:gridCol w:w="1376"/>
        <w:gridCol w:w="1376"/>
      </w:tblGrid>
      <w:tr w:rsidR="00A869C3" w:rsidRPr="005072DE" w:rsidTr="00E46041">
        <w:trPr>
          <w:trHeight w:val="68"/>
          <w:tblHeader/>
        </w:trPr>
        <w:tc>
          <w:tcPr>
            <w:tcW w:w="851" w:type="dxa"/>
            <w:tcBorders>
              <w:bottom w:val="single" w:sz="8" w:space="0" w:color="FFFFFF" w:themeColor="background1"/>
            </w:tcBorders>
            <w:shd w:val="clear" w:color="auto" w:fill="6F6652" w:themeFill="accent5"/>
            <w:hideMark/>
          </w:tcPr>
          <w:p w:rsidR="00A869C3" w:rsidRPr="005072DE" w:rsidRDefault="00A869C3" w:rsidP="00A869C3">
            <w:pPr>
              <w:pStyle w:val="TableDataColumnHeading"/>
              <w:jc w:val="left"/>
            </w:pPr>
            <w:r>
              <w:t>Question</w:t>
            </w:r>
          </w:p>
        </w:tc>
        <w:tc>
          <w:tcPr>
            <w:tcW w:w="4334" w:type="dxa"/>
            <w:tcBorders>
              <w:bottom w:val="single" w:sz="8" w:space="0" w:color="FFFFFF" w:themeColor="background1"/>
            </w:tcBorders>
            <w:shd w:val="clear" w:color="auto" w:fill="6F6652" w:themeFill="accent5"/>
          </w:tcPr>
          <w:p w:rsidR="00A869C3" w:rsidRPr="005072DE" w:rsidRDefault="00A869C3" w:rsidP="00A869C3">
            <w:pPr>
              <w:pStyle w:val="TableDataColumnHeading"/>
              <w:jc w:val="left"/>
            </w:pPr>
            <w:r>
              <w:t>Answer</w:t>
            </w:r>
          </w:p>
        </w:tc>
        <w:tc>
          <w:tcPr>
            <w:tcW w:w="1376" w:type="dxa"/>
            <w:tcBorders>
              <w:bottom w:val="single" w:sz="8" w:space="0" w:color="FFFFFF" w:themeColor="background1"/>
            </w:tcBorders>
            <w:shd w:val="clear" w:color="auto" w:fill="6F6652" w:themeFill="accent5"/>
            <w:hideMark/>
          </w:tcPr>
          <w:p w:rsidR="00A869C3" w:rsidRPr="005072DE" w:rsidRDefault="00A869C3" w:rsidP="00C36DA4">
            <w:pPr>
              <w:pStyle w:val="TableDataColumnHeading"/>
            </w:pPr>
            <w:r w:rsidRPr="005072DE">
              <w:t>Households without mobility limitation</w:t>
            </w:r>
          </w:p>
        </w:tc>
        <w:tc>
          <w:tcPr>
            <w:tcW w:w="1376" w:type="dxa"/>
            <w:tcBorders>
              <w:bottom w:val="single" w:sz="8" w:space="0" w:color="FFFFFF" w:themeColor="background1"/>
            </w:tcBorders>
            <w:shd w:val="clear" w:color="auto" w:fill="6F6652" w:themeFill="accent5"/>
            <w:hideMark/>
          </w:tcPr>
          <w:p w:rsidR="00A869C3" w:rsidRPr="005072DE" w:rsidRDefault="00A869C3" w:rsidP="00C36DA4">
            <w:pPr>
              <w:pStyle w:val="TableDataColumnHeading"/>
            </w:pPr>
            <w:r w:rsidRPr="005072DE">
              <w:t>Households with mobility limitation</w:t>
            </w:r>
          </w:p>
        </w:tc>
      </w:tr>
      <w:tr w:rsidR="00A869C3" w:rsidRPr="005072DE" w:rsidTr="00E46041">
        <w:trPr>
          <w:trHeight w:val="300"/>
        </w:trPr>
        <w:tc>
          <w:tcPr>
            <w:tcW w:w="851"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jc w:val="left"/>
            </w:pPr>
            <w:r>
              <w:t>Q1</w:t>
            </w:r>
          </w:p>
        </w:tc>
        <w:tc>
          <w:tcPr>
            <w:tcW w:w="4334" w:type="dxa"/>
            <w:tcBorders>
              <w:top w:val="single" w:sz="8" w:space="0" w:color="FFFFFF" w:themeColor="background1"/>
              <w:bottom w:val="single" w:sz="8" w:space="0" w:color="FFFFFF" w:themeColor="background1"/>
            </w:tcBorders>
            <w:shd w:val="clear" w:color="auto" w:fill="E9E8E5" w:themeFill="background2"/>
          </w:tcPr>
          <w:p w:rsidR="00A869C3" w:rsidRPr="005072DE" w:rsidRDefault="00A869C3" w:rsidP="00A869C3">
            <w:pPr>
              <w:pStyle w:val="TableDataEntries"/>
              <w:jc w:val="left"/>
            </w:pPr>
            <w:r w:rsidRPr="005072DE">
              <w:t>no steps between street/parking and the entrance</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32.0%</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35.3%</w:t>
            </w:r>
          </w:p>
        </w:tc>
      </w:tr>
      <w:tr w:rsidR="00A869C3" w:rsidRPr="005072DE" w:rsidTr="00E46041">
        <w:trPr>
          <w:trHeight w:val="300"/>
        </w:trPr>
        <w:tc>
          <w:tcPr>
            <w:tcW w:w="851"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jc w:val="left"/>
            </w:pPr>
            <w:r w:rsidRPr="001D5D12">
              <w:t>Q1</w:t>
            </w:r>
          </w:p>
        </w:tc>
        <w:tc>
          <w:tcPr>
            <w:tcW w:w="4334" w:type="dxa"/>
            <w:tcBorders>
              <w:top w:val="single" w:sz="8" w:space="0" w:color="FFFFFF" w:themeColor="background1"/>
              <w:bottom w:val="single" w:sz="8" w:space="0" w:color="FFFFFF" w:themeColor="background1"/>
            </w:tcBorders>
            <w:shd w:val="clear" w:color="auto" w:fill="E9E8E5" w:themeFill="background2"/>
          </w:tcPr>
          <w:p w:rsidR="00A869C3" w:rsidRPr="005072DE" w:rsidRDefault="00A869C3" w:rsidP="00A869C3">
            <w:pPr>
              <w:pStyle w:val="TableDataEntries"/>
              <w:jc w:val="left"/>
            </w:pPr>
            <w:r w:rsidRPr="005072DE">
              <w:t>a single step between street/parking and the entrance</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27.9%</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44.5%</w:t>
            </w:r>
          </w:p>
        </w:tc>
      </w:tr>
      <w:tr w:rsidR="00A869C3" w:rsidRPr="005072DE" w:rsidTr="00E46041">
        <w:trPr>
          <w:trHeight w:val="300"/>
        </w:trPr>
        <w:tc>
          <w:tcPr>
            <w:tcW w:w="851"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jc w:val="left"/>
            </w:pPr>
            <w:r w:rsidRPr="001D5D12">
              <w:t>Q1</w:t>
            </w:r>
          </w:p>
        </w:tc>
        <w:tc>
          <w:tcPr>
            <w:tcW w:w="4334" w:type="dxa"/>
            <w:tcBorders>
              <w:top w:val="single" w:sz="8" w:space="0" w:color="FFFFFF" w:themeColor="background1"/>
              <w:bottom w:val="single" w:sz="8" w:space="0" w:color="FFFFFF" w:themeColor="background1"/>
            </w:tcBorders>
            <w:shd w:val="clear" w:color="auto" w:fill="E9E8E5" w:themeFill="background2"/>
          </w:tcPr>
          <w:p w:rsidR="00A869C3" w:rsidRPr="005072DE" w:rsidRDefault="00A869C3" w:rsidP="00A869C3">
            <w:pPr>
              <w:pStyle w:val="TableDataEntries"/>
              <w:jc w:val="left"/>
            </w:pPr>
            <w:r w:rsidRPr="005072DE">
              <w:t>several steps between street/parking and the entrance</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40.1%</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20.2%</w:t>
            </w:r>
          </w:p>
        </w:tc>
      </w:tr>
      <w:tr w:rsidR="00A869C3" w:rsidRPr="005072DE" w:rsidTr="00E46041">
        <w:trPr>
          <w:trHeight w:val="300"/>
        </w:trPr>
        <w:tc>
          <w:tcPr>
            <w:tcW w:w="851"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jc w:val="left"/>
            </w:pPr>
            <w:r>
              <w:t>Q2</w:t>
            </w:r>
          </w:p>
        </w:tc>
        <w:tc>
          <w:tcPr>
            <w:tcW w:w="4334" w:type="dxa"/>
            <w:tcBorders>
              <w:top w:val="single" w:sz="8" w:space="0" w:color="FFFFFF" w:themeColor="background1"/>
              <w:bottom w:val="single" w:sz="8" w:space="0" w:color="FFFFFF" w:themeColor="background1"/>
            </w:tcBorders>
            <w:shd w:val="clear" w:color="auto" w:fill="E9E8E5" w:themeFill="background2"/>
          </w:tcPr>
          <w:p w:rsidR="00A869C3" w:rsidRPr="005072DE" w:rsidRDefault="00A869C3" w:rsidP="00A869C3">
            <w:pPr>
              <w:pStyle w:val="TableDataEntries"/>
              <w:jc w:val="left"/>
            </w:pPr>
            <w:r w:rsidRPr="005072DE">
              <w:t>door openings similar to other homes</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85.7%</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67.2%</w:t>
            </w:r>
          </w:p>
        </w:tc>
      </w:tr>
      <w:tr w:rsidR="00A869C3" w:rsidRPr="005072DE" w:rsidTr="00E46041">
        <w:trPr>
          <w:trHeight w:val="300"/>
        </w:trPr>
        <w:tc>
          <w:tcPr>
            <w:tcW w:w="851"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jc w:val="left"/>
            </w:pPr>
            <w:r w:rsidRPr="005424A3">
              <w:t>Q2</w:t>
            </w:r>
          </w:p>
        </w:tc>
        <w:tc>
          <w:tcPr>
            <w:tcW w:w="4334" w:type="dxa"/>
            <w:tcBorders>
              <w:top w:val="single" w:sz="8" w:space="0" w:color="FFFFFF" w:themeColor="background1"/>
              <w:bottom w:val="single" w:sz="8" w:space="0" w:color="FFFFFF" w:themeColor="background1"/>
            </w:tcBorders>
            <w:shd w:val="clear" w:color="auto" w:fill="E9E8E5" w:themeFill="background2"/>
          </w:tcPr>
          <w:p w:rsidR="00A869C3" w:rsidRPr="005072DE" w:rsidRDefault="00A869C3" w:rsidP="00A869C3">
            <w:pPr>
              <w:pStyle w:val="TableDataEntries"/>
              <w:jc w:val="left"/>
            </w:pPr>
            <w:r w:rsidRPr="005072DE">
              <w:t>door openings wider than most other homes</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8.1%</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27.7%</w:t>
            </w:r>
          </w:p>
        </w:tc>
      </w:tr>
      <w:tr w:rsidR="00A869C3" w:rsidRPr="005072DE" w:rsidTr="00E46041">
        <w:trPr>
          <w:trHeight w:val="300"/>
        </w:trPr>
        <w:tc>
          <w:tcPr>
            <w:tcW w:w="851"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jc w:val="left"/>
            </w:pPr>
            <w:r w:rsidRPr="005424A3">
              <w:t>Q2</w:t>
            </w:r>
          </w:p>
        </w:tc>
        <w:tc>
          <w:tcPr>
            <w:tcW w:w="4334" w:type="dxa"/>
            <w:tcBorders>
              <w:top w:val="single" w:sz="8" w:space="0" w:color="FFFFFF" w:themeColor="background1"/>
              <w:bottom w:val="single" w:sz="8" w:space="0" w:color="FFFFFF" w:themeColor="background1"/>
            </w:tcBorders>
            <w:shd w:val="clear" w:color="auto" w:fill="E9E8E5" w:themeFill="background2"/>
          </w:tcPr>
          <w:p w:rsidR="00A869C3" w:rsidRPr="005072DE" w:rsidRDefault="00A869C3" w:rsidP="00A869C3">
            <w:pPr>
              <w:pStyle w:val="TableDataEntries"/>
              <w:jc w:val="left"/>
            </w:pPr>
            <w:r w:rsidRPr="005072DE">
              <w:t>Don’t know</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6.3%</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5.0%</w:t>
            </w:r>
          </w:p>
        </w:tc>
      </w:tr>
      <w:tr w:rsidR="00A869C3" w:rsidRPr="005072DE" w:rsidTr="00E46041">
        <w:trPr>
          <w:trHeight w:val="300"/>
        </w:trPr>
        <w:tc>
          <w:tcPr>
            <w:tcW w:w="851"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jc w:val="left"/>
            </w:pPr>
            <w:r>
              <w:t>Q3</w:t>
            </w:r>
          </w:p>
        </w:tc>
        <w:tc>
          <w:tcPr>
            <w:tcW w:w="4334" w:type="dxa"/>
            <w:tcBorders>
              <w:top w:val="single" w:sz="8" w:space="0" w:color="FFFFFF" w:themeColor="background1"/>
              <w:bottom w:val="single" w:sz="8" w:space="0" w:color="FFFFFF" w:themeColor="background1"/>
            </w:tcBorders>
            <w:shd w:val="clear" w:color="auto" w:fill="E9E8E5" w:themeFill="background2"/>
          </w:tcPr>
          <w:p w:rsidR="00A869C3" w:rsidRPr="005072DE" w:rsidRDefault="00A869C3" w:rsidP="00A869C3">
            <w:pPr>
              <w:pStyle w:val="TableDataEntries"/>
              <w:jc w:val="left"/>
            </w:pPr>
            <w:r w:rsidRPr="005072DE">
              <w:t>All of these spaces are large enough</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18.6%</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12.6%</w:t>
            </w:r>
          </w:p>
        </w:tc>
      </w:tr>
      <w:tr w:rsidR="00A869C3" w:rsidRPr="005072DE" w:rsidTr="00E46041">
        <w:trPr>
          <w:trHeight w:val="300"/>
        </w:trPr>
        <w:tc>
          <w:tcPr>
            <w:tcW w:w="851"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jc w:val="left"/>
            </w:pPr>
            <w:r w:rsidRPr="00B57C14">
              <w:t>Q3</w:t>
            </w:r>
          </w:p>
        </w:tc>
        <w:tc>
          <w:tcPr>
            <w:tcW w:w="4334" w:type="dxa"/>
            <w:tcBorders>
              <w:top w:val="single" w:sz="8" w:space="0" w:color="FFFFFF" w:themeColor="background1"/>
              <w:bottom w:val="single" w:sz="8" w:space="0" w:color="FFFFFF" w:themeColor="background1"/>
            </w:tcBorders>
            <w:shd w:val="clear" w:color="auto" w:fill="E9E8E5" w:themeFill="background2"/>
          </w:tcPr>
          <w:p w:rsidR="00A869C3" w:rsidRPr="005072DE" w:rsidRDefault="00A869C3" w:rsidP="00A869C3">
            <w:pPr>
              <w:pStyle w:val="TableDataEntries"/>
              <w:jc w:val="left"/>
            </w:pPr>
            <w:r w:rsidRPr="005072DE">
              <w:t>Some of these spaces are large enough</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49.0%</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53.8%</w:t>
            </w:r>
          </w:p>
        </w:tc>
      </w:tr>
      <w:tr w:rsidR="00A869C3" w:rsidRPr="005072DE" w:rsidTr="00E46041">
        <w:trPr>
          <w:trHeight w:val="300"/>
        </w:trPr>
        <w:tc>
          <w:tcPr>
            <w:tcW w:w="851"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jc w:val="left"/>
            </w:pPr>
            <w:r w:rsidRPr="00B57C14">
              <w:t>Q3</w:t>
            </w:r>
          </w:p>
        </w:tc>
        <w:tc>
          <w:tcPr>
            <w:tcW w:w="4334" w:type="dxa"/>
            <w:tcBorders>
              <w:top w:val="single" w:sz="8" w:space="0" w:color="FFFFFF" w:themeColor="background1"/>
              <w:bottom w:val="single" w:sz="8" w:space="0" w:color="FFFFFF" w:themeColor="background1"/>
            </w:tcBorders>
            <w:shd w:val="clear" w:color="auto" w:fill="E9E8E5" w:themeFill="background2"/>
          </w:tcPr>
          <w:p w:rsidR="00A869C3" w:rsidRPr="005072DE" w:rsidRDefault="00A869C3" w:rsidP="00A869C3">
            <w:pPr>
              <w:pStyle w:val="TableDataEntries"/>
              <w:jc w:val="left"/>
            </w:pPr>
            <w:r w:rsidRPr="005072DE">
              <w:t>None of these spaces are large enough</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25.8%</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29.4%</w:t>
            </w:r>
          </w:p>
        </w:tc>
      </w:tr>
      <w:tr w:rsidR="00A869C3" w:rsidRPr="005072DE" w:rsidTr="00E46041">
        <w:trPr>
          <w:trHeight w:val="300"/>
        </w:trPr>
        <w:tc>
          <w:tcPr>
            <w:tcW w:w="851"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jc w:val="left"/>
            </w:pPr>
            <w:r w:rsidRPr="00B57C14">
              <w:t>Q3</w:t>
            </w:r>
          </w:p>
        </w:tc>
        <w:tc>
          <w:tcPr>
            <w:tcW w:w="4334" w:type="dxa"/>
            <w:tcBorders>
              <w:top w:val="single" w:sz="8" w:space="0" w:color="FFFFFF" w:themeColor="background1"/>
              <w:bottom w:val="single" w:sz="8" w:space="0" w:color="FFFFFF" w:themeColor="background1"/>
            </w:tcBorders>
            <w:shd w:val="clear" w:color="auto" w:fill="E9E8E5" w:themeFill="background2"/>
          </w:tcPr>
          <w:p w:rsidR="00A869C3" w:rsidRPr="005072DE" w:rsidRDefault="00A869C3" w:rsidP="00A869C3">
            <w:pPr>
              <w:pStyle w:val="TableDataEntries"/>
              <w:jc w:val="left"/>
            </w:pPr>
            <w:r w:rsidRPr="005072DE">
              <w:t>I can't make an educated guess</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6.6%</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4.2%</w:t>
            </w:r>
          </w:p>
        </w:tc>
      </w:tr>
      <w:tr w:rsidR="00A869C3" w:rsidRPr="005072DE" w:rsidTr="00E46041">
        <w:trPr>
          <w:trHeight w:val="253"/>
        </w:trPr>
        <w:tc>
          <w:tcPr>
            <w:tcW w:w="851"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jc w:val="left"/>
            </w:pPr>
            <w:r>
              <w:t>Q4</w:t>
            </w:r>
          </w:p>
        </w:tc>
        <w:tc>
          <w:tcPr>
            <w:tcW w:w="4334" w:type="dxa"/>
            <w:tcBorders>
              <w:top w:val="single" w:sz="8" w:space="0" w:color="FFFFFF" w:themeColor="background1"/>
              <w:bottom w:val="single" w:sz="8" w:space="0" w:color="FFFFFF" w:themeColor="background1"/>
            </w:tcBorders>
            <w:shd w:val="clear" w:color="auto" w:fill="E9E8E5" w:themeFill="background2"/>
          </w:tcPr>
          <w:p w:rsidR="00A869C3" w:rsidRPr="005072DE" w:rsidRDefault="00A869C3" w:rsidP="00A869C3">
            <w:pPr>
              <w:pStyle w:val="TableDataEntries"/>
              <w:jc w:val="left"/>
            </w:pPr>
            <w:r w:rsidRPr="005072DE">
              <w:t>Step-free shower entry</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21.3%</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23.3%</w:t>
            </w:r>
          </w:p>
        </w:tc>
      </w:tr>
      <w:tr w:rsidR="00A869C3" w:rsidRPr="005072DE" w:rsidTr="00E46041">
        <w:trPr>
          <w:trHeight w:val="300"/>
        </w:trPr>
        <w:tc>
          <w:tcPr>
            <w:tcW w:w="851"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jc w:val="left"/>
            </w:pPr>
            <w:r w:rsidRPr="008564AD">
              <w:t>Q4</w:t>
            </w:r>
          </w:p>
        </w:tc>
        <w:tc>
          <w:tcPr>
            <w:tcW w:w="4334" w:type="dxa"/>
            <w:tcBorders>
              <w:top w:val="single" w:sz="8" w:space="0" w:color="FFFFFF" w:themeColor="background1"/>
              <w:bottom w:val="single" w:sz="8" w:space="0" w:color="FFFFFF" w:themeColor="background1"/>
            </w:tcBorders>
            <w:shd w:val="clear" w:color="auto" w:fill="E9E8E5" w:themeFill="background2"/>
          </w:tcPr>
          <w:p w:rsidR="00A869C3" w:rsidRPr="005072DE" w:rsidRDefault="00A869C3" w:rsidP="00A869C3">
            <w:pPr>
              <w:pStyle w:val="TableDataEntries"/>
              <w:jc w:val="left"/>
            </w:pPr>
            <w:r w:rsidRPr="005072DE">
              <w:t>Hob/kerb shower entry</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33.9%</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38.8%</w:t>
            </w:r>
          </w:p>
        </w:tc>
      </w:tr>
      <w:tr w:rsidR="00A869C3" w:rsidRPr="005072DE" w:rsidTr="00E46041">
        <w:trPr>
          <w:trHeight w:val="300"/>
        </w:trPr>
        <w:tc>
          <w:tcPr>
            <w:tcW w:w="851"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jc w:val="left"/>
            </w:pPr>
            <w:r w:rsidRPr="008564AD">
              <w:t>Q4</w:t>
            </w:r>
          </w:p>
        </w:tc>
        <w:tc>
          <w:tcPr>
            <w:tcW w:w="4334" w:type="dxa"/>
            <w:tcBorders>
              <w:top w:val="single" w:sz="8" w:space="0" w:color="FFFFFF" w:themeColor="background1"/>
              <w:bottom w:val="single" w:sz="8" w:space="0" w:color="FFFFFF" w:themeColor="background1"/>
            </w:tcBorders>
            <w:shd w:val="clear" w:color="auto" w:fill="E9E8E5" w:themeFill="background2"/>
          </w:tcPr>
          <w:p w:rsidR="00A869C3" w:rsidRPr="005072DE" w:rsidRDefault="00A869C3" w:rsidP="00A869C3">
            <w:pPr>
              <w:pStyle w:val="TableDataEntries"/>
              <w:jc w:val="left"/>
            </w:pPr>
            <w:r w:rsidRPr="005072DE">
              <w:t>Stepped shower entry</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22.0%</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27.1%</w:t>
            </w:r>
          </w:p>
        </w:tc>
      </w:tr>
      <w:tr w:rsidR="00A869C3" w:rsidRPr="005072DE" w:rsidTr="00E46041">
        <w:trPr>
          <w:trHeight w:val="300"/>
        </w:trPr>
        <w:tc>
          <w:tcPr>
            <w:tcW w:w="851"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jc w:val="left"/>
            </w:pPr>
            <w:r w:rsidRPr="008564AD">
              <w:t>Q4</w:t>
            </w:r>
          </w:p>
        </w:tc>
        <w:tc>
          <w:tcPr>
            <w:tcW w:w="4334" w:type="dxa"/>
            <w:tcBorders>
              <w:top w:val="single" w:sz="8" w:space="0" w:color="FFFFFF" w:themeColor="background1"/>
              <w:bottom w:val="single" w:sz="8" w:space="0" w:color="FFFFFF" w:themeColor="background1"/>
            </w:tcBorders>
            <w:shd w:val="clear" w:color="auto" w:fill="E9E8E5" w:themeFill="background2"/>
          </w:tcPr>
          <w:p w:rsidR="00A869C3" w:rsidRPr="005072DE" w:rsidRDefault="00A869C3" w:rsidP="00A869C3">
            <w:pPr>
              <w:pStyle w:val="TableDataEntries"/>
              <w:jc w:val="left"/>
            </w:pPr>
            <w:r w:rsidRPr="005072DE">
              <w:t>Shower over bath</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20.8%</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10.1%</w:t>
            </w:r>
          </w:p>
        </w:tc>
      </w:tr>
      <w:tr w:rsidR="00A869C3" w:rsidRPr="005072DE" w:rsidTr="00E46041">
        <w:trPr>
          <w:trHeight w:val="300"/>
        </w:trPr>
        <w:tc>
          <w:tcPr>
            <w:tcW w:w="851"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jc w:val="left"/>
            </w:pPr>
            <w:r w:rsidRPr="008564AD">
              <w:t>Q4</w:t>
            </w:r>
          </w:p>
        </w:tc>
        <w:tc>
          <w:tcPr>
            <w:tcW w:w="4334" w:type="dxa"/>
            <w:tcBorders>
              <w:top w:val="single" w:sz="8" w:space="0" w:color="FFFFFF" w:themeColor="background1"/>
              <w:bottom w:val="single" w:sz="8" w:space="0" w:color="FFFFFF" w:themeColor="background1"/>
            </w:tcBorders>
            <w:shd w:val="clear" w:color="auto" w:fill="E9E8E5" w:themeFill="background2"/>
          </w:tcPr>
          <w:p w:rsidR="00A869C3" w:rsidRPr="005072DE" w:rsidRDefault="00A869C3" w:rsidP="00A869C3">
            <w:pPr>
              <w:pStyle w:val="TableDataEntries"/>
              <w:jc w:val="left"/>
            </w:pPr>
            <w:r w:rsidRPr="005072DE">
              <w:t>Don’t know</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2.1%</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0.8%</w:t>
            </w:r>
          </w:p>
        </w:tc>
      </w:tr>
      <w:tr w:rsidR="00A869C3" w:rsidRPr="005072DE" w:rsidTr="00E46041">
        <w:trPr>
          <w:trHeight w:val="300"/>
        </w:trPr>
        <w:tc>
          <w:tcPr>
            <w:tcW w:w="851"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jc w:val="left"/>
            </w:pPr>
            <w:r>
              <w:t>Q5</w:t>
            </w:r>
          </w:p>
        </w:tc>
        <w:tc>
          <w:tcPr>
            <w:tcW w:w="4334" w:type="dxa"/>
            <w:tcBorders>
              <w:top w:val="single" w:sz="8" w:space="0" w:color="FFFFFF" w:themeColor="background1"/>
              <w:bottom w:val="single" w:sz="8" w:space="0" w:color="FFFFFF" w:themeColor="background1"/>
            </w:tcBorders>
            <w:shd w:val="clear" w:color="auto" w:fill="E9E8E5" w:themeFill="background2"/>
          </w:tcPr>
          <w:p w:rsidR="00A869C3" w:rsidRPr="005072DE" w:rsidRDefault="00A869C3" w:rsidP="00A869C3">
            <w:pPr>
              <w:pStyle w:val="TableDataEntries"/>
              <w:jc w:val="left"/>
            </w:pPr>
            <w:r w:rsidRPr="005072DE">
              <w:t>Yes</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82.8%</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74.8%</w:t>
            </w:r>
          </w:p>
        </w:tc>
      </w:tr>
      <w:tr w:rsidR="00A869C3" w:rsidRPr="005072DE" w:rsidTr="00E46041">
        <w:trPr>
          <w:trHeight w:val="300"/>
        </w:trPr>
        <w:tc>
          <w:tcPr>
            <w:tcW w:w="851"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jc w:val="left"/>
            </w:pPr>
            <w:r w:rsidRPr="005E3354">
              <w:t>Q5</w:t>
            </w:r>
          </w:p>
        </w:tc>
        <w:tc>
          <w:tcPr>
            <w:tcW w:w="4334" w:type="dxa"/>
            <w:tcBorders>
              <w:top w:val="single" w:sz="8" w:space="0" w:color="FFFFFF" w:themeColor="background1"/>
              <w:bottom w:val="single" w:sz="8" w:space="0" w:color="FFFFFF" w:themeColor="background1"/>
            </w:tcBorders>
            <w:shd w:val="clear" w:color="auto" w:fill="E9E8E5" w:themeFill="background2"/>
          </w:tcPr>
          <w:p w:rsidR="00A869C3" w:rsidRPr="005072DE" w:rsidRDefault="00A869C3" w:rsidP="00A869C3">
            <w:pPr>
              <w:pStyle w:val="TableDataEntries"/>
              <w:jc w:val="left"/>
            </w:pPr>
            <w:r w:rsidRPr="005072DE">
              <w:t>No</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15.0%</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23.5%</w:t>
            </w:r>
          </w:p>
        </w:tc>
      </w:tr>
      <w:tr w:rsidR="00A869C3" w:rsidRPr="005072DE" w:rsidTr="00E46041">
        <w:trPr>
          <w:trHeight w:val="300"/>
        </w:trPr>
        <w:tc>
          <w:tcPr>
            <w:tcW w:w="851"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jc w:val="left"/>
            </w:pPr>
            <w:r w:rsidRPr="005E3354">
              <w:t>Q5</w:t>
            </w:r>
          </w:p>
        </w:tc>
        <w:tc>
          <w:tcPr>
            <w:tcW w:w="4334" w:type="dxa"/>
            <w:tcBorders>
              <w:top w:val="single" w:sz="8" w:space="0" w:color="FFFFFF" w:themeColor="background1"/>
              <w:bottom w:val="single" w:sz="8" w:space="0" w:color="FFFFFF" w:themeColor="background1"/>
            </w:tcBorders>
            <w:shd w:val="clear" w:color="auto" w:fill="E9E8E5" w:themeFill="background2"/>
          </w:tcPr>
          <w:p w:rsidR="00A869C3" w:rsidRPr="005072DE" w:rsidRDefault="00A869C3" w:rsidP="00A869C3">
            <w:pPr>
              <w:pStyle w:val="TableDataEntries"/>
              <w:jc w:val="left"/>
            </w:pPr>
            <w:r w:rsidRPr="005072DE">
              <w:t>Don’t know</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2.1%</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1.7%</w:t>
            </w:r>
          </w:p>
        </w:tc>
      </w:tr>
      <w:tr w:rsidR="00A869C3" w:rsidRPr="005072DE" w:rsidTr="00E46041">
        <w:trPr>
          <w:trHeight w:val="300"/>
        </w:trPr>
        <w:tc>
          <w:tcPr>
            <w:tcW w:w="851"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jc w:val="left"/>
            </w:pPr>
            <w:r>
              <w:t>Q6</w:t>
            </w:r>
          </w:p>
        </w:tc>
        <w:tc>
          <w:tcPr>
            <w:tcW w:w="4334" w:type="dxa"/>
            <w:tcBorders>
              <w:top w:val="single" w:sz="8" w:space="0" w:color="FFFFFF" w:themeColor="background1"/>
              <w:bottom w:val="single" w:sz="8" w:space="0" w:color="FFFFFF" w:themeColor="background1"/>
            </w:tcBorders>
            <w:shd w:val="clear" w:color="auto" w:fill="E9E8E5" w:themeFill="background2"/>
          </w:tcPr>
          <w:p w:rsidR="00A869C3" w:rsidRPr="005072DE" w:rsidRDefault="00A869C3" w:rsidP="00A869C3">
            <w:pPr>
              <w:pStyle w:val="TableDataEntries"/>
              <w:jc w:val="left"/>
            </w:pPr>
            <w:r w:rsidRPr="005072DE">
              <w:t>Yes</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71.0%</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65.5%</w:t>
            </w:r>
          </w:p>
        </w:tc>
      </w:tr>
      <w:tr w:rsidR="00A869C3" w:rsidRPr="005072DE" w:rsidTr="00E46041">
        <w:trPr>
          <w:trHeight w:val="300"/>
        </w:trPr>
        <w:tc>
          <w:tcPr>
            <w:tcW w:w="851"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jc w:val="left"/>
            </w:pPr>
            <w:r>
              <w:t>Q6</w:t>
            </w:r>
          </w:p>
        </w:tc>
        <w:tc>
          <w:tcPr>
            <w:tcW w:w="4334" w:type="dxa"/>
            <w:tcBorders>
              <w:top w:val="single" w:sz="8" w:space="0" w:color="FFFFFF" w:themeColor="background1"/>
              <w:bottom w:val="single" w:sz="8" w:space="0" w:color="FFFFFF" w:themeColor="background1"/>
            </w:tcBorders>
            <w:shd w:val="clear" w:color="auto" w:fill="E9E8E5" w:themeFill="background2"/>
          </w:tcPr>
          <w:p w:rsidR="00A869C3" w:rsidRPr="005072DE" w:rsidRDefault="00A869C3" w:rsidP="00A869C3">
            <w:pPr>
              <w:pStyle w:val="TableDataEntries"/>
              <w:jc w:val="left"/>
            </w:pPr>
            <w:r w:rsidRPr="005072DE">
              <w:t>No</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25.6%</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29.4%</w:t>
            </w:r>
          </w:p>
        </w:tc>
      </w:tr>
      <w:tr w:rsidR="00A869C3" w:rsidRPr="005072DE" w:rsidTr="00E46041">
        <w:trPr>
          <w:trHeight w:val="300"/>
        </w:trPr>
        <w:tc>
          <w:tcPr>
            <w:tcW w:w="851"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jc w:val="left"/>
            </w:pPr>
            <w:r>
              <w:t>Q6</w:t>
            </w:r>
          </w:p>
        </w:tc>
        <w:tc>
          <w:tcPr>
            <w:tcW w:w="4334" w:type="dxa"/>
            <w:tcBorders>
              <w:top w:val="single" w:sz="8" w:space="0" w:color="FFFFFF" w:themeColor="background1"/>
              <w:bottom w:val="single" w:sz="8" w:space="0" w:color="FFFFFF" w:themeColor="background1"/>
            </w:tcBorders>
            <w:shd w:val="clear" w:color="auto" w:fill="E9E8E5" w:themeFill="background2"/>
          </w:tcPr>
          <w:p w:rsidR="00A869C3" w:rsidRPr="005072DE" w:rsidRDefault="00A869C3" w:rsidP="00A869C3">
            <w:pPr>
              <w:pStyle w:val="TableDataEntries"/>
              <w:jc w:val="left"/>
            </w:pPr>
            <w:r w:rsidRPr="005072DE">
              <w:t>Don’t know</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3.4%</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5.0%</w:t>
            </w:r>
          </w:p>
        </w:tc>
      </w:tr>
      <w:tr w:rsidR="00A869C3" w:rsidRPr="005072DE" w:rsidTr="00E46041">
        <w:trPr>
          <w:trHeight w:val="300"/>
        </w:trPr>
        <w:tc>
          <w:tcPr>
            <w:tcW w:w="851"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jc w:val="left"/>
            </w:pPr>
            <w:r>
              <w:t>Q7</w:t>
            </w:r>
          </w:p>
        </w:tc>
        <w:tc>
          <w:tcPr>
            <w:tcW w:w="4334" w:type="dxa"/>
            <w:tcBorders>
              <w:top w:val="single" w:sz="8" w:space="0" w:color="FFFFFF" w:themeColor="background1"/>
              <w:bottom w:val="single" w:sz="8" w:space="0" w:color="FFFFFF" w:themeColor="background1"/>
            </w:tcBorders>
            <w:shd w:val="clear" w:color="auto" w:fill="E9E8E5" w:themeFill="background2"/>
          </w:tcPr>
          <w:p w:rsidR="00A869C3" w:rsidRPr="005072DE" w:rsidRDefault="00A869C3" w:rsidP="00A869C3">
            <w:pPr>
              <w:pStyle w:val="TableDataEntries"/>
              <w:jc w:val="left"/>
            </w:pPr>
            <w:r w:rsidRPr="005072DE">
              <w:t>Straight stairs</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10.6%</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13.5%</w:t>
            </w:r>
          </w:p>
        </w:tc>
      </w:tr>
      <w:tr w:rsidR="00A869C3" w:rsidRPr="005072DE" w:rsidTr="00E46041">
        <w:trPr>
          <w:trHeight w:val="300"/>
        </w:trPr>
        <w:tc>
          <w:tcPr>
            <w:tcW w:w="851"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jc w:val="left"/>
            </w:pPr>
            <w:r w:rsidRPr="00BB6117">
              <w:t>Q7</w:t>
            </w:r>
          </w:p>
        </w:tc>
        <w:tc>
          <w:tcPr>
            <w:tcW w:w="4334" w:type="dxa"/>
            <w:tcBorders>
              <w:top w:val="single" w:sz="8" w:space="0" w:color="FFFFFF" w:themeColor="background1"/>
              <w:bottom w:val="single" w:sz="8" w:space="0" w:color="FFFFFF" w:themeColor="background1"/>
            </w:tcBorders>
            <w:shd w:val="clear" w:color="auto" w:fill="E9E8E5" w:themeFill="background2"/>
          </w:tcPr>
          <w:p w:rsidR="00A869C3" w:rsidRPr="005072DE" w:rsidRDefault="00A869C3" w:rsidP="00A869C3">
            <w:pPr>
              <w:pStyle w:val="TableDataEntries"/>
              <w:jc w:val="left"/>
            </w:pPr>
            <w:r w:rsidRPr="005072DE">
              <w:t>Stairs with a half/quarter turn</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12.8%</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21.4%</w:t>
            </w:r>
          </w:p>
        </w:tc>
      </w:tr>
      <w:tr w:rsidR="00A869C3" w:rsidRPr="005072DE" w:rsidTr="00E46041">
        <w:trPr>
          <w:trHeight w:val="300"/>
        </w:trPr>
        <w:tc>
          <w:tcPr>
            <w:tcW w:w="851"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jc w:val="left"/>
            </w:pPr>
            <w:r w:rsidRPr="00BB6117">
              <w:t>Q7</w:t>
            </w:r>
          </w:p>
        </w:tc>
        <w:tc>
          <w:tcPr>
            <w:tcW w:w="4334" w:type="dxa"/>
            <w:tcBorders>
              <w:top w:val="single" w:sz="8" w:space="0" w:color="FFFFFF" w:themeColor="background1"/>
              <w:bottom w:val="single" w:sz="8" w:space="0" w:color="FFFFFF" w:themeColor="background1"/>
            </w:tcBorders>
            <w:shd w:val="clear" w:color="auto" w:fill="E9E8E5" w:themeFill="background2"/>
          </w:tcPr>
          <w:p w:rsidR="00A869C3" w:rsidRPr="005072DE" w:rsidRDefault="00A869C3" w:rsidP="00A869C3">
            <w:pPr>
              <w:pStyle w:val="TableDataEntries"/>
              <w:jc w:val="left"/>
            </w:pPr>
            <w:r w:rsidRPr="005072DE">
              <w:t>Curved/spiral stairs</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2.1%</w:t>
            </w:r>
          </w:p>
        </w:tc>
        <w:tc>
          <w:tcPr>
            <w:tcW w:w="1376" w:type="dxa"/>
            <w:tcBorders>
              <w:top w:val="single" w:sz="8" w:space="0" w:color="FFFFFF" w:themeColor="background1"/>
              <w:bottom w:val="single" w:sz="8" w:space="0" w:color="FFFFFF" w:themeColor="background1"/>
            </w:tcBorders>
            <w:shd w:val="clear" w:color="auto" w:fill="E9E8E5" w:themeFill="background2"/>
            <w:hideMark/>
          </w:tcPr>
          <w:p w:rsidR="00A869C3" w:rsidRPr="005072DE" w:rsidRDefault="00A869C3" w:rsidP="00A869C3">
            <w:pPr>
              <w:pStyle w:val="TableDataEntries"/>
            </w:pPr>
            <w:r w:rsidRPr="005072DE">
              <w:t>7.9%</w:t>
            </w:r>
          </w:p>
        </w:tc>
      </w:tr>
      <w:tr w:rsidR="00A869C3" w:rsidRPr="005072DE" w:rsidTr="00E46041">
        <w:trPr>
          <w:trHeight w:val="300"/>
        </w:trPr>
        <w:tc>
          <w:tcPr>
            <w:tcW w:w="851" w:type="dxa"/>
            <w:tcBorders>
              <w:top w:val="single" w:sz="8" w:space="0" w:color="FFFFFF" w:themeColor="background1"/>
              <w:bottom w:val="single" w:sz="4" w:space="0" w:color="6F6652" w:themeColor="accent5"/>
            </w:tcBorders>
            <w:shd w:val="clear" w:color="auto" w:fill="E9E8E5" w:themeFill="background2"/>
            <w:hideMark/>
          </w:tcPr>
          <w:p w:rsidR="00A869C3" w:rsidRPr="005072DE" w:rsidRDefault="00A869C3" w:rsidP="00A869C3">
            <w:pPr>
              <w:pStyle w:val="TableDataEntries"/>
              <w:jc w:val="left"/>
            </w:pPr>
            <w:r w:rsidRPr="00BB6117">
              <w:t>Q7</w:t>
            </w:r>
          </w:p>
        </w:tc>
        <w:tc>
          <w:tcPr>
            <w:tcW w:w="4334" w:type="dxa"/>
            <w:tcBorders>
              <w:top w:val="single" w:sz="8" w:space="0" w:color="FFFFFF" w:themeColor="background1"/>
              <w:bottom w:val="single" w:sz="4" w:space="0" w:color="6F6652" w:themeColor="accent5"/>
            </w:tcBorders>
            <w:shd w:val="clear" w:color="auto" w:fill="E9E8E5" w:themeFill="background2"/>
          </w:tcPr>
          <w:p w:rsidR="00A869C3" w:rsidRPr="005072DE" w:rsidRDefault="00A869C3" w:rsidP="00A869C3">
            <w:pPr>
              <w:pStyle w:val="TableDataEntries"/>
              <w:jc w:val="left"/>
            </w:pPr>
            <w:r w:rsidRPr="005072DE">
              <w:t>No stairs</w:t>
            </w:r>
          </w:p>
        </w:tc>
        <w:tc>
          <w:tcPr>
            <w:tcW w:w="1376" w:type="dxa"/>
            <w:tcBorders>
              <w:top w:val="single" w:sz="8" w:space="0" w:color="FFFFFF" w:themeColor="background1"/>
              <w:bottom w:val="single" w:sz="4" w:space="0" w:color="6F6652" w:themeColor="accent5"/>
            </w:tcBorders>
            <w:shd w:val="clear" w:color="auto" w:fill="E9E8E5" w:themeFill="background2"/>
            <w:hideMark/>
          </w:tcPr>
          <w:p w:rsidR="00A869C3" w:rsidRPr="005072DE" w:rsidRDefault="00A869C3" w:rsidP="00A869C3">
            <w:pPr>
              <w:pStyle w:val="TableDataEntries"/>
            </w:pPr>
            <w:r w:rsidRPr="005072DE">
              <w:t>74.5%</w:t>
            </w:r>
          </w:p>
        </w:tc>
        <w:tc>
          <w:tcPr>
            <w:tcW w:w="1376" w:type="dxa"/>
            <w:tcBorders>
              <w:top w:val="single" w:sz="8" w:space="0" w:color="FFFFFF" w:themeColor="background1"/>
              <w:bottom w:val="single" w:sz="4" w:space="0" w:color="6F6652" w:themeColor="accent5"/>
            </w:tcBorders>
            <w:shd w:val="clear" w:color="auto" w:fill="E9E8E5" w:themeFill="background2"/>
            <w:hideMark/>
          </w:tcPr>
          <w:p w:rsidR="00A869C3" w:rsidRPr="005072DE" w:rsidRDefault="00A869C3" w:rsidP="00A869C3">
            <w:pPr>
              <w:pStyle w:val="TableDataEntries"/>
            </w:pPr>
            <w:r w:rsidRPr="005072DE">
              <w:t>57.1%</w:t>
            </w:r>
          </w:p>
        </w:tc>
      </w:tr>
    </w:tbl>
    <w:p w:rsidR="005C4E10" w:rsidRDefault="00A869C3" w:rsidP="00A869C3">
      <w:pPr>
        <w:pStyle w:val="Source"/>
      </w:pPr>
      <w:r w:rsidRPr="007D1B4F">
        <w:rPr>
          <w:i/>
        </w:rPr>
        <w:t>Note:</w:t>
      </w:r>
      <w:r w:rsidRPr="00E879B8">
        <w:t xml:space="preserve"> </w:t>
      </w:r>
    </w:p>
    <w:p w:rsidR="005C4E10" w:rsidRPr="005C4E10" w:rsidRDefault="00A869C3" w:rsidP="00DD13E8">
      <w:pPr>
        <w:pStyle w:val="TableListBullet"/>
      </w:pPr>
      <w:r w:rsidRPr="005C4E10">
        <w:t xml:space="preserve">Q1: There are several features that affect the accessibility of a home. My current home has …; </w:t>
      </w:r>
    </w:p>
    <w:p w:rsidR="005C4E10" w:rsidRPr="005C4E10" w:rsidRDefault="00A869C3" w:rsidP="00DD13E8">
      <w:pPr>
        <w:pStyle w:val="TableListBullet"/>
      </w:pPr>
      <w:r w:rsidRPr="005C4E10">
        <w:t xml:space="preserve">Q2: Moving around indoors. My current home has …; </w:t>
      </w:r>
    </w:p>
    <w:p w:rsidR="005C4E10" w:rsidRPr="005C4E10" w:rsidRDefault="00A869C3" w:rsidP="00DD13E8">
      <w:pPr>
        <w:pStyle w:val="TableListBullet"/>
        <w:rPr>
          <w:iCs/>
        </w:rPr>
      </w:pPr>
      <w:r w:rsidRPr="005C4E10">
        <w:t xml:space="preserve">Q3: </w:t>
      </w:r>
      <w:r w:rsidRPr="005C4E10">
        <w:rPr>
          <w:iCs/>
        </w:rPr>
        <w:t xml:space="preserve">Would you say your current home has enough space for turning a wheelchair in corridors, bathrooms, kitchen and laundry? (If unsure, please make an educated guess); </w:t>
      </w:r>
    </w:p>
    <w:p w:rsidR="005C4E10" w:rsidRPr="005C4E10" w:rsidRDefault="00A869C3" w:rsidP="00DD13E8">
      <w:pPr>
        <w:pStyle w:val="TableListBullet"/>
      </w:pPr>
      <w:r w:rsidRPr="005C4E10">
        <w:rPr>
          <w:iCs/>
        </w:rPr>
        <w:lastRenderedPageBreak/>
        <w:t xml:space="preserve">Q4: </w:t>
      </w:r>
      <w:r w:rsidRPr="005C4E10">
        <w:t xml:space="preserve">Moving around indoors. My current home has...; </w:t>
      </w:r>
    </w:p>
    <w:p w:rsidR="005C4E10" w:rsidRPr="005C4E10" w:rsidRDefault="00A869C3" w:rsidP="00DD13E8">
      <w:pPr>
        <w:pStyle w:val="TableListBullet"/>
      </w:pPr>
      <w:r w:rsidRPr="005C4E10">
        <w:t xml:space="preserve">Q5: Does your current home have a toilet on the same level as an entrance?; </w:t>
      </w:r>
    </w:p>
    <w:p w:rsidR="005C4E10" w:rsidRPr="005C4E10" w:rsidRDefault="00A869C3" w:rsidP="00DD13E8">
      <w:pPr>
        <w:pStyle w:val="TableListBullet"/>
      </w:pPr>
      <w:r w:rsidRPr="005C4E10">
        <w:t xml:space="preserve">Q6: Does your current home have a shower on the same level as an entrance?; </w:t>
      </w:r>
    </w:p>
    <w:p w:rsidR="00A869C3" w:rsidRDefault="00A869C3" w:rsidP="00DD13E8">
      <w:pPr>
        <w:pStyle w:val="TableListBullet"/>
        <w:rPr>
          <w:lang w:bidi="fa-IR"/>
        </w:rPr>
      </w:pPr>
      <w:r w:rsidRPr="005C4E10">
        <w:t>Q7: Which type of indoor stairs, if any, does your current home have?</w:t>
      </w:r>
    </w:p>
    <w:p w:rsidR="007C6A5F" w:rsidRDefault="007C6A5F" w:rsidP="007C6A5F">
      <w:pPr>
        <w:pStyle w:val="Source"/>
        <w:rPr>
          <w:lang w:bidi="fa-IR"/>
        </w:rPr>
      </w:pPr>
      <w:r w:rsidRPr="005072DE">
        <w:rPr>
          <w:i/>
          <w:lang w:bidi="fa-IR"/>
        </w:rPr>
        <w:t>Source:</w:t>
      </w:r>
      <w:r>
        <w:rPr>
          <w:lang w:bidi="fa-IR"/>
        </w:rPr>
        <w:t xml:space="preserve"> CIE survey.</w:t>
      </w:r>
    </w:p>
    <w:bookmarkEnd w:id="5834"/>
    <w:p w:rsidR="007C6A5F" w:rsidRDefault="007C6A5F" w:rsidP="007C6A5F">
      <w:pPr>
        <w:pStyle w:val="BodyText"/>
      </w:pPr>
      <w:r>
        <w:t>Given this relatively poor matching in the existing stock, in our central case we derive estimates using average WTP across households, on the assumption of a random matching of accessibility features to households.</w:t>
      </w:r>
    </w:p>
    <w:p w:rsidR="007C6A5F" w:rsidRDefault="007C6A5F" w:rsidP="007C6A5F">
      <w:pPr>
        <w:pStyle w:val="BodyText"/>
      </w:pPr>
      <w:r>
        <w:t>As a sensitivity test, we also use WTP of the marginal consumer of each accessibility feature, on the assumption that accessibility features have been and will be consumed by those who value them most highly.</w:t>
      </w:r>
    </w:p>
    <w:p w:rsidR="007C6A5F" w:rsidRDefault="007C6A5F" w:rsidP="007C6A5F">
      <w:pPr>
        <w:pStyle w:val="BodyText"/>
      </w:pPr>
      <w:r>
        <w:t xml:space="preserve">The two approaches are illustrated in figure </w:t>
      </w:r>
      <w:r>
        <w:rPr>
          <w:noProof/>
        </w:rPr>
        <w:fldChar w:fldCharType="begin"/>
      </w:r>
      <w:r>
        <w:rPr>
          <w:noProof/>
        </w:rPr>
        <w:instrText xml:space="preserve"> REF _Caption3984 </w:instrText>
      </w:r>
      <w:r>
        <w:rPr>
          <w:noProof/>
        </w:rPr>
        <w:fldChar w:fldCharType="separate"/>
      </w:r>
      <w:r>
        <w:rPr>
          <w:noProof/>
        </w:rPr>
        <w:t>6</w:t>
      </w:r>
      <w:r w:rsidRPr="00695C93">
        <w:rPr>
          <w:noProof/>
        </w:rPr>
        <w:t>.</w:t>
      </w:r>
      <w:r>
        <w:rPr>
          <w:noProof/>
        </w:rPr>
        <w:t>10</w:t>
      </w:r>
      <w:r>
        <w:rPr>
          <w:noProof/>
        </w:rPr>
        <w:fldChar w:fldCharType="end"/>
      </w:r>
      <w:r>
        <w:t>. Because the supply of homes with a toilet and shower at entrance level is relatively high in the existing stock, the WTP of the marginal consumer (on the assumption that the existing stock has been matched to consumers with the highest WTP) is below the average.</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w:instrText>
      </w:r>
      <w:r w:rsidRPr="00695C93">
        <w:fldChar w:fldCharType="separate"/>
      </w:r>
      <w:r>
        <w:rPr>
          <w:noProof/>
        </w:rPr>
        <w:instrText>6</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sidR="00272AF3">
        <w:rPr>
          <w:noProof/>
        </w:rPr>
        <w:instrText>6</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10</w:instrText>
      </w:r>
      <w:r w:rsidRPr="00695C93">
        <w:fldChar w:fldCharType="end"/>
      </w:r>
      <w:r w:rsidRPr="00695C93">
        <w:instrText xml:space="preserve">" "" </w:instrText>
      </w:r>
      <w:r w:rsidRPr="00695C93">
        <w:fldChar w:fldCharType="separate"/>
      </w:r>
      <w:bookmarkStart w:id="5880" w:name="_Caption7829"/>
      <w:bookmarkStart w:id="5881" w:name="_Caption5373"/>
      <w:bookmarkStart w:id="5882" w:name="_Caption6846"/>
      <w:bookmarkStart w:id="5883" w:name="_Caption0146"/>
      <w:bookmarkStart w:id="5884" w:name="_Caption9210"/>
      <w:bookmarkStart w:id="5885" w:name="_Caption9009"/>
      <w:bookmarkStart w:id="5886" w:name="_Caption2912"/>
      <w:bookmarkStart w:id="5887" w:name="_Caption3900"/>
      <w:bookmarkStart w:id="5888" w:name="_Caption0980"/>
      <w:bookmarkStart w:id="5889" w:name="_Caption8641"/>
      <w:bookmarkStart w:id="5890" w:name="_Caption7773"/>
      <w:bookmarkStart w:id="5891" w:name="_Caption8678"/>
      <w:bookmarkStart w:id="5892" w:name="_Caption9988"/>
      <w:bookmarkStart w:id="5893" w:name="_Caption5900"/>
      <w:bookmarkStart w:id="5894" w:name="_Caption0481"/>
      <w:bookmarkStart w:id="5895" w:name="_Caption1769"/>
      <w:bookmarkStart w:id="5896" w:name="_Caption0387"/>
      <w:bookmarkStart w:id="5897" w:name="_Caption7485"/>
      <w:bookmarkStart w:id="5898" w:name="_Caption4899"/>
      <w:bookmarkStart w:id="5899" w:name="_Caption8038"/>
      <w:bookmarkStart w:id="5900" w:name="_Caption7792"/>
      <w:bookmarkStart w:id="5901" w:name="_Caption0606"/>
      <w:bookmarkStart w:id="5902" w:name="_Caption3192"/>
      <w:bookmarkStart w:id="5903" w:name="_Caption6049"/>
      <w:bookmarkStart w:id="5904" w:name="_Caption1468"/>
      <w:bookmarkStart w:id="5905" w:name="_Caption7369"/>
      <w:bookmarkStart w:id="5906" w:name="_Caption6159"/>
      <w:bookmarkStart w:id="5907" w:name="_Caption3038"/>
      <w:bookmarkStart w:id="5908" w:name="_Caption2491"/>
      <w:bookmarkStart w:id="5909" w:name="_Caption9868"/>
      <w:bookmarkStart w:id="5910" w:name="_Caption3984"/>
      <w:bookmarkStart w:id="5911" w:name="_Caption9223"/>
      <w:bookmarkStart w:id="5912" w:name="_Caption8121"/>
      <w:bookmarkStart w:id="5913" w:name="_Caption8487"/>
      <w:bookmarkStart w:id="5914" w:name="_Caption9667"/>
      <w:bookmarkStart w:id="5915" w:name="_Caption5619"/>
      <w:bookmarkStart w:id="5916" w:name="_Caption3405"/>
      <w:bookmarkStart w:id="5917" w:name="_Caption5060"/>
      <w:bookmarkStart w:id="5918" w:name="_Caption0261"/>
      <w:bookmarkStart w:id="5919" w:name="_Caption9632"/>
      <w:bookmarkStart w:id="5920" w:name="_Caption9888"/>
      <w:bookmarkStart w:id="5921" w:name="_Caption1141"/>
      <w:bookmarkStart w:id="5922" w:name="_Caption0703"/>
      <w:bookmarkStart w:id="5923" w:name="_Caption5013"/>
      <w:bookmarkStart w:id="5924" w:name="_Caption5283"/>
      <w:bookmarkStart w:id="5925" w:name="_Caption2244"/>
      <w:bookmarkStart w:id="5926" w:name="_Caption1690"/>
      <w:bookmarkStart w:id="5927" w:name="_Caption9818"/>
      <w:bookmarkStart w:id="5928" w:name="_Caption5923"/>
      <w:bookmarkStart w:id="5929" w:name="_Caption7347"/>
      <w:bookmarkStart w:id="5930" w:name="_Caption7202"/>
      <w:bookmarkStart w:id="5931" w:name="_Caption4484"/>
      <w:bookmarkStart w:id="5932" w:name="_Caption5262"/>
      <w:bookmarkStart w:id="5933" w:name="_Caption6839"/>
      <w:bookmarkStart w:id="5934" w:name="_Caption4906"/>
      <w:bookmarkStart w:id="5935" w:name="_Caption0966"/>
      <w:bookmarkStart w:id="5936" w:name="_Caption4184"/>
      <w:bookmarkStart w:id="5937" w:name="_Caption7950"/>
      <w:bookmarkStart w:id="5938" w:name="_Caption2214"/>
      <w:bookmarkStart w:id="5939" w:name="_Caption7835"/>
      <w:bookmarkStart w:id="5940" w:name="_Caption3531"/>
      <w:bookmarkStart w:id="5941" w:name="_Caption4677"/>
      <w:bookmarkStart w:id="5942" w:name="_Caption1480"/>
      <w:bookmarkStart w:id="5943" w:name="_Caption8619"/>
      <w:bookmarkStart w:id="5944" w:name="_Caption9749"/>
      <w:bookmarkStart w:id="5945" w:name="_Toc32321851"/>
      <w:bookmarkStart w:id="5946" w:name="_Toc44598549"/>
      <w:bookmarkStart w:id="5947" w:name="_Toc45654180"/>
      <w:r w:rsidR="00272AF3">
        <w:rPr>
          <w:noProof/>
        </w:rPr>
        <w:t>6</w:t>
      </w:r>
      <w:r w:rsidR="00272AF3" w:rsidRPr="00695C93">
        <w:rPr>
          <w:noProof/>
        </w:rPr>
        <w:t>.</w:t>
      </w:r>
      <w:r w:rsidR="00272AF3">
        <w:rPr>
          <w:noProof/>
        </w:rPr>
        <w:t>10</w:t>
      </w:r>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r w:rsidRPr="00695C93">
        <w:fldChar w:fldCharType="end"/>
      </w:r>
      <w:r w:rsidRPr="00695C93">
        <w:tab/>
      </w:r>
      <w:r>
        <w:t>Distribution of renter willingness to pay for toilet and shower at entrance level</w:t>
      </w:r>
      <w:bookmarkEnd w:id="5945"/>
      <w:bookmarkEnd w:id="5946"/>
      <w:bookmarkEnd w:id="5947"/>
    </w:p>
    <w:p w:rsidR="007C6A5F" w:rsidRDefault="007C6A5F" w:rsidP="007C6A5F">
      <w:pPr>
        <w:pStyle w:val="Subtitlebox"/>
      </w:pPr>
      <w:r>
        <w:rPr>
          <w:noProof/>
        </w:rPr>
        <w:drawing>
          <wp:inline distT="0" distB="0" distL="0" distR="0" wp14:anchorId="47BC2006" wp14:editId="35142D7A">
            <wp:extent cx="5040000" cy="2529289"/>
            <wp:effectExtent l="57150" t="57150" r="65405" b="61595"/>
            <wp:docPr id="28" name="Picture 28" descr="Chart 6.10 - Distribution of renter willingness to pay for toilet and shower at entra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4285"/>
                    <a:stretch/>
                  </pic:blipFill>
                  <pic:spPr bwMode="auto">
                    <a:xfrm>
                      <a:off x="0" y="0"/>
                      <a:ext cx="5040000" cy="2529289"/>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rsidR="007C6A5F" w:rsidRDefault="007C6A5F" w:rsidP="007C6A5F">
      <w:pPr>
        <w:pStyle w:val="Source"/>
      </w:pPr>
      <w:r>
        <w:rPr>
          <w:i/>
        </w:rPr>
        <w:t>Data source</w:t>
      </w:r>
      <w:r w:rsidRPr="00A67576">
        <w:rPr>
          <w:i/>
        </w:rPr>
        <w:t>:</w:t>
      </w:r>
      <w:r>
        <w:t xml:space="preserve"> CIE survey analysis.</w:t>
      </w:r>
    </w:p>
    <w:p w:rsidR="007C6A5F" w:rsidRDefault="007C6A5F" w:rsidP="007C6A5F">
      <w:pPr>
        <w:pStyle w:val="BodyText"/>
      </w:pPr>
      <w:r>
        <w:t xml:space="preserve">Our model estimated the relationships of WTP to income, age and mobility status. We use these relationships to project changes in WTP over time as the real income, age and mobility status profile of the population is projected to change over time. The elasticities used in this calculation are set out in table </w:t>
      </w:r>
      <w:r>
        <w:rPr>
          <w:noProof/>
        </w:rPr>
        <w:fldChar w:fldCharType="begin"/>
      </w:r>
      <w:r>
        <w:rPr>
          <w:noProof/>
        </w:rPr>
        <w:instrText xml:space="preserve"> REF _Caption9191 </w:instrText>
      </w:r>
      <w:r>
        <w:rPr>
          <w:noProof/>
        </w:rPr>
        <w:fldChar w:fldCharType="separate"/>
      </w:r>
      <w:r>
        <w:rPr>
          <w:noProof/>
        </w:rPr>
        <w:t>6</w:t>
      </w:r>
      <w:r w:rsidRPr="00695C93">
        <w:rPr>
          <w:noProof/>
        </w:rPr>
        <w:t>.</w:t>
      </w:r>
      <w:r>
        <w:rPr>
          <w:noProof/>
        </w:rPr>
        <w:t>11</w:t>
      </w:r>
      <w:r>
        <w:rPr>
          <w:noProof/>
        </w:rPr>
        <w:fldChar w:fldCharType="end"/>
      </w:r>
      <w:r>
        <w:t>. WTP is projected to increase by 5 per cent in real terms over the first 10 years of the forecast period and by 9.5 per cent in real terms over the first 20 years of the forecast period.</w:t>
      </w:r>
      <w:r>
        <w:rPr>
          <w:rStyle w:val="FootnoteReference"/>
        </w:rPr>
        <w:footnoteReference w:id="64"/>
      </w:r>
      <w:r>
        <w:t xml:space="preserve"> </w:t>
      </w:r>
    </w:p>
    <w:p w:rsidR="007C6A5F" w:rsidRDefault="007C6A5F" w:rsidP="007C6A5F">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w:instrText>
      </w:r>
      <w:r w:rsidRPr="00695C93">
        <w:fldChar w:fldCharType="separate"/>
      </w:r>
      <w:r>
        <w:rPr>
          <w:noProof/>
        </w:rPr>
        <w:instrText>6</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6</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11</w:instrText>
      </w:r>
      <w:r w:rsidRPr="00695C93">
        <w:fldChar w:fldCharType="end"/>
      </w:r>
      <w:r w:rsidRPr="00695C93">
        <w:instrText xml:space="preserve">" "" </w:instrText>
      </w:r>
      <w:r w:rsidRPr="00695C93">
        <w:fldChar w:fldCharType="separate"/>
      </w:r>
      <w:bookmarkStart w:id="5948" w:name="_Caption6215"/>
      <w:bookmarkStart w:id="5949" w:name="_Caption9483"/>
      <w:bookmarkStart w:id="5950" w:name="_Caption8087"/>
      <w:bookmarkStart w:id="5951" w:name="_Caption3884"/>
      <w:bookmarkStart w:id="5952" w:name="_Caption5298"/>
      <w:bookmarkStart w:id="5953" w:name="_Caption4950"/>
      <w:bookmarkStart w:id="5954" w:name="_Caption8197"/>
      <w:bookmarkStart w:id="5955" w:name="_Caption6931"/>
      <w:bookmarkStart w:id="5956" w:name="_Caption0593"/>
      <w:bookmarkStart w:id="5957" w:name="_Caption9989"/>
      <w:bookmarkStart w:id="5958" w:name="_Caption7305"/>
      <w:bookmarkStart w:id="5959" w:name="_Caption7824"/>
      <w:bookmarkStart w:id="5960" w:name="_Caption6956"/>
      <w:bookmarkStart w:id="5961" w:name="_Caption8677"/>
      <w:bookmarkStart w:id="5962" w:name="_Caption6208"/>
      <w:bookmarkStart w:id="5963" w:name="_Caption4759"/>
      <w:bookmarkStart w:id="5964" w:name="_Caption2202"/>
      <w:bookmarkStart w:id="5965" w:name="_Caption8193"/>
      <w:bookmarkStart w:id="5966" w:name="_Caption0173"/>
      <w:bookmarkStart w:id="5967" w:name="_Caption7464"/>
      <w:bookmarkStart w:id="5968" w:name="_Caption8017"/>
      <w:bookmarkStart w:id="5969" w:name="_Caption2190"/>
      <w:bookmarkStart w:id="5970" w:name="_Caption2071"/>
      <w:bookmarkStart w:id="5971" w:name="_Caption2109"/>
      <w:bookmarkStart w:id="5972" w:name="_Caption5339"/>
      <w:bookmarkStart w:id="5973" w:name="_Caption3783"/>
      <w:bookmarkStart w:id="5974" w:name="_Caption3171"/>
      <w:bookmarkStart w:id="5975" w:name="_Caption2678"/>
      <w:bookmarkStart w:id="5976" w:name="_Caption1404"/>
      <w:bookmarkStart w:id="5977" w:name="_Caption9191"/>
      <w:bookmarkStart w:id="5978" w:name="_Caption2419"/>
      <w:bookmarkStart w:id="5979" w:name="_Caption3548"/>
      <w:bookmarkStart w:id="5980" w:name="_Caption7237"/>
      <w:bookmarkStart w:id="5981" w:name="_Caption5616"/>
      <w:bookmarkStart w:id="5982" w:name="_Caption6517"/>
      <w:bookmarkStart w:id="5983" w:name="_Caption6140"/>
      <w:bookmarkStart w:id="5984" w:name="_Caption6257"/>
      <w:bookmarkStart w:id="5985" w:name="_Caption8560"/>
      <w:bookmarkStart w:id="5986" w:name="_Caption9140"/>
      <w:bookmarkStart w:id="5987" w:name="_Caption7079"/>
      <w:bookmarkStart w:id="5988" w:name="_Caption6699"/>
      <w:bookmarkStart w:id="5989" w:name="_Caption4961"/>
      <w:bookmarkStart w:id="5990" w:name="_Caption0090"/>
      <w:bookmarkStart w:id="5991" w:name="_Caption4914"/>
      <w:bookmarkStart w:id="5992" w:name="_Caption4294"/>
      <w:bookmarkStart w:id="5993" w:name="_Caption6934"/>
      <w:bookmarkStart w:id="5994" w:name="_Caption3746"/>
      <w:bookmarkStart w:id="5995" w:name="_Caption5251"/>
      <w:bookmarkStart w:id="5996" w:name="_Caption7242"/>
      <w:bookmarkStart w:id="5997" w:name="_Caption4871"/>
      <w:bookmarkStart w:id="5998" w:name="_Caption2378"/>
      <w:bookmarkStart w:id="5999" w:name="_Caption4637"/>
      <w:bookmarkStart w:id="6000" w:name="_Caption7577"/>
      <w:bookmarkStart w:id="6001" w:name="_Caption4196"/>
      <w:bookmarkStart w:id="6002" w:name="_Caption2726"/>
      <w:bookmarkStart w:id="6003" w:name="_Caption3504"/>
      <w:bookmarkStart w:id="6004" w:name="_Caption6659"/>
      <w:bookmarkStart w:id="6005" w:name="_Caption9824"/>
      <w:bookmarkStart w:id="6006" w:name="_Caption0047"/>
      <w:bookmarkStart w:id="6007" w:name="_Caption7454"/>
      <w:bookmarkStart w:id="6008" w:name="_Caption2735"/>
      <w:bookmarkStart w:id="6009" w:name="_Caption4881"/>
      <w:bookmarkStart w:id="6010" w:name="_Caption4729"/>
      <w:bookmarkStart w:id="6011" w:name="_Toc32321852"/>
      <w:bookmarkStart w:id="6012" w:name="_Toc44598550"/>
      <w:bookmarkStart w:id="6013" w:name="_Toc45654181"/>
      <w:r w:rsidR="00272AF3">
        <w:rPr>
          <w:noProof/>
        </w:rPr>
        <w:t>6</w:t>
      </w:r>
      <w:r w:rsidR="00272AF3" w:rsidRPr="00695C93">
        <w:rPr>
          <w:noProof/>
        </w:rPr>
        <w:t>.</w:t>
      </w:r>
      <w:r w:rsidR="00272AF3">
        <w:rPr>
          <w:noProof/>
        </w:rPr>
        <w:t>11</w:t>
      </w:r>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r w:rsidRPr="00695C93">
        <w:fldChar w:fldCharType="end"/>
      </w:r>
      <w:r w:rsidRPr="00695C93">
        <w:tab/>
      </w:r>
      <w:r>
        <w:t>Assumptions for projections of willingness to pay</w:t>
      </w:r>
      <w:bookmarkEnd w:id="6011"/>
      <w:bookmarkEnd w:id="6012"/>
      <w:bookmarkEnd w:id="6013"/>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6.11"/>
        <w:tblDescription w:val="Assumptions for projections of willingness to pay"/>
      </w:tblPr>
      <w:tblGrid>
        <w:gridCol w:w="2268"/>
        <w:gridCol w:w="1134"/>
        <w:gridCol w:w="4535"/>
      </w:tblGrid>
      <w:tr w:rsidR="007C6A5F" w:rsidTr="00174977">
        <w:trPr>
          <w:tblHeader/>
        </w:trPr>
        <w:tc>
          <w:tcPr>
            <w:tcW w:w="2268" w:type="dxa"/>
            <w:tcBorders>
              <w:bottom w:val="single" w:sz="8" w:space="0" w:color="FFFFFF" w:themeColor="background1"/>
            </w:tcBorders>
            <w:shd w:val="clear" w:color="auto" w:fill="6F6652" w:themeFill="accent5"/>
          </w:tcPr>
          <w:p w:rsidR="007C6A5F" w:rsidRDefault="007C6A5F" w:rsidP="00C36DA4">
            <w:pPr>
              <w:pStyle w:val="TableDataColumnHeading"/>
              <w:jc w:val="left"/>
            </w:pPr>
            <w:r>
              <w:t>Parameter</w:t>
            </w:r>
          </w:p>
        </w:tc>
        <w:tc>
          <w:tcPr>
            <w:tcW w:w="1134" w:type="dxa"/>
            <w:tcBorders>
              <w:bottom w:val="single" w:sz="8" w:space="0" w:color="FFFFFF" w:themeColor="background1"/>
            </w:tcBorders>
            <w:shd w:val="clear" w:color="auto" w:fill="6F6652" w:themeFill="accent5"/>
          </w:tcPr>
          <w:p w:rsidR="007C6A5F" w:rsidRDefault="007C6A5F" w:rsidP="00C36DA4">
            <w:pPr>
              <w:pStyle w:val="TableDataColumnHeading"/>
            </w:pPr>
            <w:r>
              <w:t>Value</w:t>
            </w:r>
          </w:p>
        </w:tc>
        <w:tc>
          <w:tcPr>
            <w:tcW w:w="4535" w:type="dxa"/>
            <w:tcBorders>
              <w:bottom w:val="single" w:sz="8" w:space="0" w:color="FFFFFF" w:themeColor="background1"/>
            </w:tcBorders>
            <w:shd w:val="clear" w:color="auto" w:fill="6F6652" w:themeFill="accent5"/>
          </w:tcPr>
          <w:p w:rsidR="007C6A5F" w:rsidRDefault="007C6A5F" w:rsidP="00C36DA4">
            <w:pPr>
              <w:pStyle w:val="TableDataColumnHeading"/>
              <w:jc w:val="left"/>
            </w:pPr>
            <w:r>
              <w:t>Note</w:t>
            </w:r>
          </w:p>
        </w:tc>
      </w:tr>
      <w:tr w:rsidR="007C6A5F" w:rsidTr="0034455A">
        <w:tc>
          <w:tcPr>
            <w:tcW w:w="22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pPr>
            <w:r>
              <w:t>Forecast real wage growth</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t>0.25 per cent</w:t>
            </w:r>
          </w:p>
        </w:tc>
        <w:tc>
          <w:tcPr>
            <w:tcW w:w="45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pPr>
            <w:r>
              <w:t>Based on MYEFO 2019-20 Economic Outlook for 2020-21</w:t>
            </w:r>
          </w:p>
        </w:tc>
      </w:tr>
      <w:tr w:rsidR="007C6A5F" w:rsidTr="0034455A">
        <w:tc>
          <w:tcPr>
            <w:tcW w:w="22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pPr>
            <w:r w:rsidRPr="005937F6">
              <w:t>Real income elasticity of WTP</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rsidRPr="005937F6">
              <w:t>0.</w:t>
            </w:r>
            <w:r>
              <w:t>42</w:t>
            </w:r>
          </w:p>
        </w:tc>
        <w:tc>
          <w:tcPr>
            <w:tcW w:w="45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pPr>
            <w:r>
              <w:t>A 1 per cent increase in real income leads to a 0.42 per cent increase in WTP</w:t>
            </w:r>
          </w:p>
        </w:tc>
      </w:tr>
      <w:tr w:rsidR="007C6A5F" w:rsidTr="00B5160B">
        <w:tc>
          <w:tcPr>
            <w:tcW w:w="22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pPr>
            <w:r w:rsidRPr="005937F6">
              <w:t>Average age elasticity of WTP</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t>1.09</w:t>
            </w:r>
          </w:p>
        </w:tc>
        <w:tc>
          <w:tcPr>
            <w:tcW w:w="45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pPr>
            <w:r>
              <w:t>A 1 per cent increase in the average age of the adult population (e.g. from 47.00 to 47.47) leads to a 1.09 per cent increase in WTP</w:t>
            </w:r>
          </w:p>
        </w:tc>
      </w:tr>
      <w:tr w:rsidR="007C6A5F" w:rsidTr="00B5160B">
        <w:tc>
          <w:tcPr>
            <w:tcW w:w="2268"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jc w:val="left"/>
            </w:pPr>
            <w:r w:rsidRPr="005937F6">
              <w:t>Mobility limitation elasticity of WTP</w:t>
            </w:r>
          </w:p>
        </w:tc>
        <w:tc>
          <w:tcPr>
            <w:tcW w:w="1134"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pPr>
            <w:r w:rsidRPr="005937F6">
              <w:t>0.1</w:t>
            </w:r>
            <w:r>
              <w:t>0</w:t>
            </w:r>
          </w:p>
        </w:tc>
        <w:tc>
          <w:tcPr>
            <w:tcW w:w="4535"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jc w:val="left"/>
            </w:pPr>
            <w:r>
              <w:t>A 1 per cent proportional (not percentage point) increase in the proportion of the population with limited mobility leads to a 0.10 per cent increase in WTP</w:t>
            </w:r>
          </w:p>
        </w:tc>
      </w:tr>
    </w:tbl>
    <w:p w:rsidR="007C6A5F" w:rsidRDefault="007C6A5F" w:rsidP="007C6A5F">
      <w:pPr>
        <w:pStyle w:val="Source"/>
      </w:pPr>
      <w:r>
        <w:rPr>
          <w:i/>
        </w:rPr>
        <w:t>Source</w:t>
      </w:r>
      <w:r w:rsidRPr="00E4232C">
        <w:rPr>
          <w:i/>
        </w:rPr>
        <w:t>:</w:t>
      </w:r>
      <w:r>
        <w:t xml:space="preserve"> CIE.</w:t>
      </w:r>
    </w:p>
    <w:p w:rsidR="007C6A5F" w:rsidRDefault="007C6A5F" w:rsidP="007C6A5F">
      <w:pPr>
        <w:pStyle w:val="Heading4"/>
        <w:numPr>
          <w:ilvl w:val="3"/>
          <w:numId w:val="5"/>
        </w:numPr>
      </w:pPr>
      <w:r>
        <w:t>Projecting completions and second-owner purchases</w:t>
      </w:r>
    </w:p>
    <w:p w:rsidR="007C6A5F" w:rsidRDefault="007C6A5F" w:rsidP="007C6A5F">
      <w:pPr>
        <w:pStyle w:val="BodyText"/>
      </w:pPr>
      <w:r>
        <w:t>To estimate total WTP, we need to multiply changes in shares of accessibility features by the number of new homes that will be built. We assume the proportion of new homes that are rented is similar to the share in the existing stock of around 34.5 per cent. We assume that renters derive benefits immediately from any change in the supply of accessibility features relative to the baseline scenario. We assume that the benefits to owner-occupants are realised from the point the home is sold to its second owner. The first owner has control over the features of their home and our view is that benefits would be overestimated if we were to assume that these owner-occupants would derive net benefits from an externally-imposed change to the features of their home. The projected number of sales by first-owner occupants to second owners is based on an assumed turnover rate of 4 per cent (see figure 6.13).</w:t>
      </w:r>
      <w:r>
        <w:rPr>
          <w:rStyle w:val="FootnoteReference"/>
        </w:rPr>
        <w:footnoteReference w:id="65"/>
      </w:r>
    </w:p>
    <w:p w:rsidR="007C6A5F" w:rsidRDefault="007C6A5F" w:rsidP="007C6A5F">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w:instrText>
      </w:r>
      <w:r w:rsidRPr="00695C93">
        <w:fldChar w:fldCharType="separate"/>
      </w:r>
      <w:r>
        <w:rPr>
          <w:noProof/>
        </w:rPr>
        <w:instrText>6</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sidR="00272AF3">
        <w:rPr>
          <w:noProof/>
        </w:rPr>
        <w:instrText>6</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12</w:instrText>
      </w:r>
      <w:r w:rsidRPr="00695C93">
        <w:fldChar w:fldCharType="end"/>
      </w:r>
      <w:r w:rsidRPr="00695C93">
        <w:instrText xml:space="preserve">" "" </w:instrText>
      </w:r>
      <w:r w:rsidRPr="00695C93">
        <w:fldChar w:fldCharType="separate"/>
      </w:r>
      <w:bookmarkStart w:id="6014" w:name="_Caption9382"/>
      <w:bookmarkStart w:id="6015" w:name="_Caption3626"/>
      <w:bookmarkStart w:id="6016" w:name="_Caption6246"/>
      <w:bookmarkStart w:id="6017" w:name="_Caption5600"/>
      <w:bookmarkStart w:id="6018" w:name="_Caption5750"/>
      <w:bookmarkStart w:id="6019" w:name="_Caption3536"/>
      <w:bookmarkStart w:id="6020" w:name="_Toc320545098"/>
      <w:bookmarkStart w:id="6021" w:name="_Toc44598551"/>
      <w:bookmarkStart w:id="6022" w:name="_Toc45654182"/>
      <w:r w:rsidR="00272AF3">
        <w:rPr>
          <w:noProof/>
        </w:rPr>
        <w:t>6</w:t>
      </w:r>
      <w:r w:rsidR="00272AF3" w:rsidRPr="00695C93">
        <w:rPr>
          <w:noProof/>
        </w:rPr>
        <w:t>.</w:t>
      </w:r>
      <w:r w:rsidR="00272AF3">
        <w:rPr>
          <w:noProof/>
        </w:rPr>
        <w:t>12</w:t>
      </w:r>
      <w:bookmarkEnd w:id="6014"/>
      <w:bookmarkEnd w:id="6015"/>
      <w:bookmarkEnd w:id="6016"/>
      <w:bookmarkEnd w:id="6017"/>
      <w:bookmarkEnd w:id="6018"/>
      <w:bookmarkEnd w:id="6019"/>
      <w:r w:rsidRPr="00695C93">
        <w:fldChar w:fldCharType="end"/>
      </w:r>
      <w:r w:rsidRPr="00695C93">
        <w:tab/>
      </w:r>
      <w:bookmarkEnd w:id="6020"/>
      <w:r>
        <w:t>Forecast rental completions and sales of new homes by first owner-occupiers</w:t>
      </w:r>
      <w:bookmarkEnd w:id="6021"/>
      <w:bookmarkEnd w:id="6022"/>
    </w:p>
    <w:p w:rsidR="007C6A5F" w:rsidRDefault="007C6A5F" w:rsidP="007C6A5F">
      <w:pPr>
        <w:pStyle w:val="Subtitlebox"/>
      </w:pPr>
      <w:r>
        <w:rPr>
          <w:noProof/>
        </w:rPr>
        <w:drawing>
          <wp:inline distT="0" distB="0" distL="0" distR="0" wp14:anchorId="11F81970" wp14:editId="51313D45">
            <wp:extent cx="5040000" cy="2666867"/>
            <wp:effectExtent l="57150" t="57150" r="65405" b="57785"/>
            <wp:docPr id="52" name="Picture 52" descr="Chart 6.12 - Forecast rental completions and sales of new homes by first owner-occup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3781"/>
                    <a:stretch/>
                  </pic:blipFill>
                  <pic:spPr bwMode="auto">
                    <a:xfrm>
                      <a:off x="0" y="0"/>
                      <a:ext cx="5040000" cy="2666867"/>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rsidR="007C6A5F" w:rsidRDefault="007C6A5F" w:rsidP="007C6A5F">
      <w:pPr>
        <w:pStyle w:val="Source"/>
      </w:pPr>
      <w:r>
        <w:rPr>
          <w:i/>
        </w:rPr>
        <w:t>Data source</w:t>
      </w:r>
      <w:r w:rsidRPr="00A67576">
        <w:rPr>
          <w:i/>
        </w:rPr>
        <w:t>:</w:t>
      </w:r>
      <w:r>
        <w:t xml:space="preserve"> CIE.</w:t>
      </w:r>
    </w:p>
    <w:p w:rsidR="007C6A5F" w:rsidRDefault="007C6A5F" w:rsidP="007C6A5F">
      <w:pPr>
        <w:pStyle w:val="Heading4"/>
        <w:numPr>
          <w:ilvl w:val="3"/>
          <w:numId w:val="5"/>
        </w:numPr>
      </w:pPr>
      <w:r>
        <w:t>Deriving total willingness to pay</w:t>
      </w:r>
    </w:p>
    <w:p w:rsidR="007C6A5F" w:rsidRDefault="007C6A5F" w:rsidP="007C6A5F">
      <w:pPr>
        <w:pStyle w:val="BodyText"/>
      </w:pPr>
      <w:r>
        <w:t xml:space="preserve">Total rental WTP is derived by multiplying changes in the share of accessibility features in new rental homes by the number of rental home completions and by the present value of rental WTP (weekly WTP * 52 / discount rate). </w:t>
      </w:r>
    </w:p>
    <w:p w:rsidR="007C6A5F" w:rsidRDefault="007C6A5F" w:rsidP="007C6A5F">
      <w:pPr>
        <w:pStyle w:val="BodyText"/>
      </w:pPr>
      <w:r>
        <w:t>Total owner-occupant WTP is derived by multiplying changes in the share of accessibility features in new owner-occupied homes by the number of sales to second owners and by the present value of owner-occupier WTP.</w:t>
      </w:r>
      <w:r w:rsidRPr="003027F7">
        <w:t xml:space="preserve"> </w:t>
      </w:r>
    </w:p>
    <w:p w:rsidR="007C6A5F" w:rsidRDefault="007C6A5F" w:rsidP="007C6A5F">
      <w:pPr>
        <w:pStyle w:val="BodyText"/>
      </w:pPr>
      <w:r>
        <w:t>Benefits are higher under an assumption of closer matching of accessibility features to households who value them most highly. Within these options some features have marginal WTP below average WTP and for others marginal WTP is above average WTP.  In general marginal WTP declines over time as the stock of accessibility features increases. The benefits are higher under the marginal WTP approach due to the relatively low supply of, and therefore high marginal WTP for, homes with wider indoor spaces and minimal modification requirements for ageing in place.</w:t>
      </w:r>
    </w:p>
    <w:p w:rsidR="007C6A5F" w:rsidRDefault="007C6A5F" w:rsidP="007C6A5F">
      <w:pPr>
        <w:pStyle w:val="Caption"/>
        <w:ind w:left="568" w:hanging="568"/>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w:instrText>
      </w:r>
      <w:r w:rsidRPr="00695C93">
        <w:fldChar w:fldCharType="separate"/>
      </w:r>
      <w:r>
        <w:rPr>
          <w:noProof/>
        </w:rPr>
        <w:instrText>6</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6</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6</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13</w:instrText>
      </w:r>
      <w:r w:rsidRPr="00695C93">
        <w:fldChar w:fldCharType="end"/>
      </w:r>
      <w:r w:rsidRPr="00695C93">
        <w:instrText xml:space="preserve">" "" </w:instrText>
      </w:r>
      <w:r w:rsidRPr="00695C93">
        <w:fldChar w:fldCharType="separate"/>
      </w:r>
      <w:bookmarkStart w:id="6023" w:name="_Caption7353"/>
      <w:bookmarkStart w:id="6024" w:name="_Caption9741"/>
      <w:bookmarkStart w:id="6025" w:name="_Caption9660"/>
      <w:bookmarkStart w:id="6026" w:name="_Caption2972"/>
      <w:bookmarkStart w:id="6027" w:name="_Caption5907"/>
      <w:bookmarkStart w:id="6028" w:name="_Caption6601"/>
      <w:bookmarkStart w:id="6029" w:name="_Caption0375"/>
      <w:bookmarkStart w:id="6030" w:name="_Caption9054"/>
      <w:bookmarkStart w:id="6031" w:name="_Caption5536"/>
      <w:bookmarkStart w:id="6032" w:name="_Caption5913"/>
      <w:bookmarkStart w:id="6033" w:name="_Caption9251"/>
      <w:bookmarkStart w:id="6034" w:name="_Caption6296"/>
      <w:bookmarkStart w:id="6035" w:name="_Caption1936"/>
      <w:bookmarkStart w:id="6036" w:name="_Caption3501"/>
      <w:bookmarkStart w:id="6037" w:name="_Caption6890"/>
      <w:bookmarkStart w:id="6038" w:name="_Caption2880"/>
      <w:bookmarkStart w:id="6039" w:name="_Caption8464"/>
      <w:bookmarkStart w:id="6040" w:name="_Caption5296"/>
      <w:bookmarkStart w:id="6041" w:name="_Caption1250"/>
      <w:bookmarkStart w:id="6042" w:name="_Caption3165"/>
      <w:bookmarkStart w:id="6043" w:name="_Caption2622"/>
      <w:bookmarkStart w:id="6044" w:name="_Caption1818"/>
      <w:bookmarkStart w:id="6045" w:name="_Caption2152"/>
      <w:bookmarkStart w:id="6046" w:name="_Caption6610"/>
      <w:bookmarkStart w:id="6047" w:name="_Caption0614"/>
      <w:bookmarkStart w:id="6048" w:name="_Caption6872"/>
      <w:bookmarkStart w:id="6049" w:name="_Caption3119"/>
      <w:bookmarkStart w:id="6050" w:name="_Caption5620"/>
      <w:bookmarkStart w:id="6051" w:name="_Caption0697"/>
      <w:bookmarkStart w:id="6052" w:name="_Caption8060"/>
      <w:bookmarkStart w:id="6053" w:name="_Caption9425"/>
      <w:bookmarkStart w:id="6054" w:name="_Caption2949"/>
      <w:bookmarkStart w:id="6055" w:name="_Caption3744"/>
      <w:bookmarkStart w:id="6056" w:name="_Caption2549"/>
      <w:bookmarkStart w:id="6057" w:name="_Caption9540"/>
      <w:bookmarkStart w:id="6058" w:name="_Caption4370"/>
      <w:bookmarkStart w:id="6059" w:name="_Caption2931"/>
      <w:bookmarkStart w:id="6060" w:name="_Caption7828"/>
      <w:bookmarkStart w:id="6061" w:name="_Caption9238"/>
      <w:bookmarkStart w:id="6062" w:name="_Caption3930"/>
      <w:bookmarkStart w:id="6063" w:name="_Caption3784"/>
      <w:bookmarkStart w:id="6064" w:name="_Caption3102"/>
      <w:bookmarkStart w:id="6065" w:name="_Caption3491"/>
      <w:bookmarkStart w:id="6066" w:name="_Caption8268"/>
      <w:bookmarkStart w:id="6067" w:name="_Caption3555"/>
      <w:bookmarkStart w:id="6068" w:name="_Caption7811"/>
      <w:bookmarkStart w:id="6069" w:name="_Caption2881"/>
      <w:bookmarkStart w:id="6070" w:name="_Caption2605"/>
      <w:bookmarkStart w:id="6071" w:name="_Caption4407"/>
      <w:bookmarkStart w:id="6072" w:name="_Caption4406"/>
      <w:bookmarkStart w:id="6073" w:name="_Caption3665"/>
      <w:bookmarkStart w:id="6074" w:name="_Caption9300"/>
      <w:bookmarkStart w:id="6075" w:name="_Caption5047"/>
      <w:bookmarkStart w:id="6076" w:name="_Caption3710"/>
      <w:bookmarkStart w:id="6077" w:name="_Caption0314"/>
      <w:bookmarkStart w:id="6078" w:name="_Caption5116"/>
      <w:bookmarkStart w:id="6079" w:name="_Caption5528"/>
      <w:bookmarkStart w:id="6080" w:name="_Caption2814"/>
      <w:bookmarkStart w:id="6081" w:name="_Caption6838"/>
      <w:bookmarkStart w:id="6082" w:name="_Caption5562"/>
      <w:bookmarkStart w:id="6083" w:name="_Caption0586"/>
      <w:bookmarkStart w:id="6084" w:name="_Toc32321854"/>
      <w:bookmarkStart w:id="6085" w:name="_Toc44598552"/>
      <w:bookmarkStart w:id="6086" w:name="_Toc45654183"/>
      <w:r w:rsidR="00272AF3">
        <w:rPr>
          <w:noProof/>
        </w:rPr>
        <w:t>6</w:t>
      </w:r>
      <w:r w:rsidR="00272AF3" w:rsidRPr="00695C93">
        <w:rPr>
          <w:noProof/>
        </w:rPr>
        <w:t>.</w:t>
      </w:r>
      <w:r w:rsidR="00272AF3">
        <w:rPr>
          <w:noProof/>
        </w:rPr>
        <w:t>13</w:t>
      </w:r>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r w:rsidRPr="00695C93">
        <w:fldChar w:fldCharType="end"/>
      </w:r>
      <w:r w:rsidRPr="00695C93">
        <w:tab/>
      </w:r>
      <w:r>
        <w:t>Present value of total willingness to pay for incremental supply of accessibility features</w:t>
      </w:r>
      <w:bookmarkEnd w:id="6084"/>
      <w:bookmarkEnd w:id="6085"/>
      <w:bookmarkEnd w:id="6086"/>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6.13"/>
        <w:tblDescription w:val="Present value of total willingness to pay for incremental supply of accessibility features"/>
      </w:tblPr>
      <w:tblGrid>
        <w:gridCol w:w="2268"/>
        <w:gridCol w:w="1134"/>
        <w:gridCol w:w="1134"/>
        <w:gridCol w:w="1134"/>
        <w:gridCol w:w="1134"/>
        <w:gridCol w:w="1134"/>
      </w:tblGrid>
      <w:tr w:rsidR="007C6A5F" w:rsidTr="00174977">
        <w:trPr>
          <w:tblHeader/>
        </w:trPr>
        <w:tc>
          <w:tcPr>
            <w:tcW w:w="2268" w:type="dxa"/>
            <w:shd w:val="clear" w:color="auto" w:fill="6F6652" w:themeFill="accent5"/>
          </w:tcPr>
          <w:p w:rsidR="007C6A5F" w:rsidRDefault="007C6A5F" w:rsidP="00C36DA4">
            <w:pPr>
              <w:pStyle w:val="TableDataColumnHeading"/>
              <w:jc w:val="left"/>
            </w:pPr>
            <w:r>
              <w:t>Matching assumption</w:t>
            </w:r>
          </w:p>
        </w:tc>
        <w:tc>
          <w:tcPr>
            <w:tcW w:w="1134" w:type="dxa"/>
            <w:shd w:val="clear" w:color="auto" w:fill="6F6652" w:themeFill="accent5"/>
          </w:tcPr>
          <w:p w:rsidR="007C6A5F" w:rsidRDefault="007C6A5F" w:rsidP="00C36DA4">
            <w:pPr>
              <w:pStyle w:val="TableDataColumnHeading"/>
            </w:pPr>
            <w:r>
              <w:t>Option 1</w:t>
            </w:r>
            <w:r w:rsidR="00174977">
              <w:br/>
              <w:t>($m)</w:t>
            </w:r>
          </w:p>
        </w:tc>
        <w:tc>
          <w:tcPr>
            <w:tcW w:w="1134" w:type="dxa"/>
            <w:shd w:val="clear" w:color="auto" w:fill="6F6652" w:themeFill="accent5"/>
          </w:tcPr>
          <w:p w:rsidR="007C6A5F" w:rsidRDefault="007C6A5F" w:rsidP="00C36DA4">
            <w:pPr>
              <w:pStyle w:val="TableDataColumnHeading"/>
            </w:pPr>
            <w:r>
              <w:t>Option 2</w:t>
            </w:r>
            <w:r w:rsidR="00174977">
              <w:br/>
              <w:t>($m)</w:t>
            </w:r>
          </w:p>
        </w:tc>
        <w:tc>
          <w:tcPr>
            <w:tcW w:w="1134" w:type="dxa"/>
            <w:shd w:val="clear" w:color="auto" w:fill="6F6652" w:themeFill="accent5"/>
          </w:tcPr>
          <w:p w:rsidR="007C6A5F" w:rsidRDefault="007C6A5F" w:rsidP="00C36DA4">
            <w:pPr>
              <w:pStyle w:val="TableDataColumnHeading"/>
            </w:pPr>
            <w:r>
              <w:t>Option 3</w:t>
            </w:r>
            <w:r w:rsidR="00174977">
              <w:br/>
              <w:t>($m)</w:t>
            </w:r>
          </w:p>
        </w:tc>
        <w:tc>
          <w:tcPr>
            <w:tcW w:w="1134" w:type="dxa"/>
            <w:shd w:val="clear" w:color="auto" w:fill="6F6652" w:themeFill="accent5"/>
          </w:tcPr>
          <w:p w:rsidR="007C6A5F" w:rsidRDefault="007C6A5F" w:rsidP="00C36DA4">
            <w:pPr>
              <w:pStyle w:val="TableDataColumnHeading"/>
            </w:pPr>
            <w:r>
              <w:t>Option 4</w:t>
            </w:r>
            <w:r w:rsidR="00174977">
              <w:br/>
              <w:t>($m)</w:t>
            </w:r>
          </w:p>
        </w:tc>
        <w:tc>
          <w:tcPr>
            <w:tcW w:w="1134" w:type="dxa"/>
            <w:shd w:val="clear" w:color="auto" w:fill="6F6652" w:themeFill="accent5"/>
          </w:tcPr>
          <w:p w:rsidR="007C6A5F" w:rsidRDefault="007C6A5F" w:rsidP="00C36DA4">
            <w:pPr>
              <w:pStyle w:val="TableDataColumnHeading"/>
            </w:pPr>
            <w:r>
              <w:t>Option 5</w:t>
            </w:r>
            <w:r w:rsidR="00174977">
              <w:br/>
              <w:t>($m)</w:t>
            </w:r>
          </w:p>
        </w:tc>
      </w:tr>
      <w:tr w:rsidR="007C6A5F" w:rsidTr="00B5160B">
        <w:tc>
          <w:tcPr>
            <w:tcW w:w="22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pPr>
            <w:r>
              <w:t>Random matching (average WTP)</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rsidRPr="00396456">
              <w:t>13 737.66</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rsidRPr="00396456">
              <w:t>37 010.04</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rsidRPr="00396456">
              <w:t>37 010.04</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rsidRPr="00396456">
              <w:t>10 065.39</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rsidRPr="00396456">
              <w:t>8 308.75</w:t>
            </w:r>
          </w:p>
        </w:tc>
      </w:tr>
      <w:tr w:rsidR="007C6A5F" w:rsidTr="00B5160B">
        <w:tc>
          <w:tcPr>
            <w:tcW w:w="2268"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jc w:val="left"/>
            </w:pPr>
            <w:r>
              <w:t>Perfect matching (marginal WTP)</w:t>
            </w:r>
          </w:p>
        </w:tc>
        <w:tc>
          <w:tcPr>
            <w:tcW w:w="1134"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pPr>
            <w:r w:rsidRPr="001E09FA">
              <w:t>18 802.02</w:t>
            </w:r>
          </w:p>
        </w:tc>
        <w:tc>
          <w:tcPr>
            <w:tcW w:w="1134"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pPr>
            <w:r w:rsidRPr="001E09FA">
              <w:t>63 810.61</w:t>
            </w:r>
          </w:p>
        </w:tc>
        <w:tc>
          <w:tcPr>
            <w:tcW w:w="1134"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pPr>
            <w:r w:rsidRPr="001E09FA">
              <w:t>63 810.61</w:t>
            </w:r>
          </w:p>
        </w:tc>
        <w:tc>
          <w:tcPr>
            <w:tcW w:w="1134"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pPr>
            <w:r w:rsidRPr="001E09FA">
              <w:t>23 111.89</w:t>
            </w:r>
          </w:p>
        </w:tc>
        <w:tc>
          <w:tcPr>
            <w:tcW w:w="1134"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pPr>
            <w:r w:rsidRPr="001E09FA">
              <w:t>22 336.73</w:t>
            </w:r>
          </w:p>
        </w:tc>
      </w:tr>
    </w:tbl>
    <w:p w:rsidR="007C6A5F" w:rsidRDefault="007C6A5F" w:rsidP="007C6A5F">
      <w:pPr>
        <w:pStyle w:val="Source"/>
      </w:pPr>
      <w:r>
        <w:rPr>
          <w:i/>
        </w:rPr>
        <w:t>Source</w:t>
      </w:r>
      <w:r w:rsidRPr="00E4232C">
        <w:rPr>
          <w:i/>
        </w:rPr>
        <w:t>:</w:t>
      </w:r>
      <w:r>
        <w:t xml:space="preserve"> CIE.</w:t>
      </w:r>
    </w:p>
    <w:p w:rsidR="007C6A5F" w:rsidRDefault="007C6A5F" w:rsidP="007C6A5F">
      <w:pPr>
        <w:pStyle w:val="BodyText"/>
      </w:pPr>
    </w:p>
    <w:p w:rsidR="007C6A5F" w:rsidRDefault="007C6A5F" w:rsidP="007C6A5F">
      <w:pPr>
        <w:pStyle w:val="Invisiblepara"/>
      </w:pPr>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Box 6.14"/>
        <w:tblDescription w:val="Questions for stakeholders"/>
      </w:tblPr>
      <w:tblGrid>
        <w:gridCol w:w="7938"/>
      </w:tblGrid>
      <w:tr w:rsidR="007C6A5F" w:rsidRPr="00E05C8C" w:rsidTr="00CD62FC">
        <w:trPr>
          <w:tblHeader/>
        </w:trPr>
        <w:tc>
          <w:tcPr>
            <w:tcW w:w="7938" w:type="dxa"/>
            <w:shd w:val="clear" w:color="auto" w:fill="C6BFAB" w:themeFill="accent3"/>
          </w:tcPr>
          <w:bookmarkStart w:id="6087" w:name="_Toc32321855"/>
          <w:bookmarkStart w:id="6088" w:name="_Caption2135"/>
          <w:bookmarkStart w:id="6089" w:name="_Caption4518"/>
          <w:p w:rsidR="007C6A5F" w:rsidRPr="009F3909" w:rsidRDefault="007C6A5F" w:rsidP="005A6F87">
            <w:pPr>
              <w:pStyle w:val="Caption"/>
              <w:numPr>
                <w:ilvl w:val="0"/>
                <w:numId w:val="13"/>
              </w:numPr>
              <w:spacing w:before="120" w:after="100"/>
            </w:pPr>
            <w:r w:rsidRPr="00D035C6">
              <w:fldChar w:fldCharType="begin"/>
            </w:r>
            <w:bookmarkEnd w:id="6087"/>
            <w:bookmarkEnd w:id="6088"/>
            <w:bookmarkEnd w:id="6089"/>
            <w:r w:rsidRPr="009F3909">
              <w:instrText xml:space="preserve"> IF 1 = 1 "</w:instrText>
            </w:r>
            <w:r w:rsidRPr="00A204F6">
              <w:fldChar w:fldCharType="begin"/>
            </w:r>
            <w:r w:rsidRPr="009F3909">
              <w:instrText xml:space="preserve"> IF </w:instrText>
            </w:r>
            <w:r w:rsidRPr="00A204F6">
              <w:rPr>
                <w:noProof/>
              </w:rPr>
              <w:fldChar w:fldCharType="begin"/>
            </w:r>
            <w:r w:rsidRPr="009F3909">
              <w:rPr>
                <w:noProof/>
              </w:rPr>
              <w:instrText xml:space="preserve"> STYLEREF "Heading 6" \l \n </w:instrText>
            </w:r>
            <w:r w:rsidRPr="00A204F6">
              <w:rPr>
                <w:noProof/>
              </w:rPr>
              <w:fldChar w:fldCharType="separate"/>
            </w:r>
            <w:r>
              <w:rPr>
                <w:noProof/>
              </w:rPr>
              <w:instrText>0</w:instrText>
            </w:r>
            <w:r w:rsidRPr="00A204F6">
              <w:rPr>
                <w:noProof/>
              </w:rPr>
              <w:fldChar w:fldCharType="end"/>
            </w:r>
            <w:r w:rsidRPr="009F3909">
              <w:instrText xml:space="preserve"> = 0 "</w:instrText>
            </w:r>
            <w:r w:rsidRPr="00A204F6">
              <w:fldChar w:fldCharType="begin"/>
            </w:r>
            <w:r w:rsidRPr="009F3909">
              <w:instrText xml:space="preserve"> IF </w:instrText>
            </w:r>
            <w:r w:rsidRPr="00A204F6">
              <w:rPr>
                <w:noProof/>
              </w:rPr>
              <w:fldChar w:fldCharType="begin"/>
            </w:r>
            <w:r w:rsidRPr="009F3909">
              <w:rPr>
                <w:noProof/>
              </w:rPr>
              <w:instrText xml:space="preserve"> STYLEREF "Heading 1" \l \n </w:instrText>
            </w:r>
            <w:r w:rsidRPr="00A204F6">
              <w:rPr>
                <w:noProof/>
              </w:rPr>
              <w:fldChar w:fldCharType="separate"/>
            </w:r>
            <w:r>
              <w:rPr>
                <w:noProof/>
              </w:rPr>
              <w:instrText>6</w:instrText>
            </w:r>
            <w:r w:rsidRPr="00A204F6">
              <w:rPr>
                <w:noProof/>
              </w:rPr>
              <w:fldChar w:fldCharType="end"/>
            </w:r>
            <w:r w:rsidRPr="009F3909">
              <w:instrText xml:space="preserve"> = 0 "" "</w:instrText>
            </w:r>
            <w:r w:rsidRPr="00A204F6">
              <w:rPr>
                <w:noProof/>
              </w:rPr>
              <w:fldChar w:fldCharType="begin"/>
            </w:r>
            <w:r w:rsidRPr="009F3909">
              <w:rPr>
                <w:noProof/>
              </w:rPr>
              <w:instrText xml:space="preserve"> STYLEREF "Heading 1" \l \n </w:instrText>
            </w:r>
            <w:r w:rsidRPr="00A204F6">
              <w:rPr>
                <w:noProof/>
              </w:rPr>
              <w:fldChar w:fldCharType="separate"/>
            </w:r>
            <w:r>
              <w:rPr>
                <w:noProof/>
              </w:rPr>
              <w:instrText>6</w:instrText>
            </w:r>
            <w:r w:rsidRPr="00A204F6">
              <w:rPr>
                <w:noProof/>
              </w:rPr>
              <w:fldChar w:fldCharType="end"/>
            </w:r>
            <w:r w:rsidRPr="009F3909">
              <w:instrText xml:space="preserve">." </w:instrText>
            </w:r>
            <w:r w:rsidRPr="00A204F6">
              <w:fldChar w:fldCharType="separate"/>
            </w:r>
            <w:r>
              <w:rPr>
                <w:noProof/>
              </w:rPr>
              <w:instrText>6</w:instrText>
            </w:r>
            <w:r w:rsidRPr="009F3909">
              <w:rPr>
                <w:noProof/>
              </w:rPr>
              <w:instrText>.</w:instrText>
            </w:r>
            <w:r w:rsidRPr="00A204F6">
              <w:fldChar w:fldCharType="end"/>
            </w:r>
            <w:r w:rsidRPr="009F3909">
              <w:instrText>" "</w:instrText>
            </w:r>
            <w:r w:rsidRPr="00A204F6">
              <w:fldChar w:fldCharType="begin"/>
            </w:r>
            <w:r w:rsidRPr="009F3909">
              <w:instrText xml:space="preserve"> STYLEREF "Heading 6" \l \n </w:instrText>
            </w:r>
            <w:r w:rsidRPr="00A204F6">
              <w:fldChar w:fldCharType="separate"/>
            </w:r>
            <w:r w:rsidRPr="009F3909">
              <w:instrText>B</w:instrText>
            </w:r>
            <w:r w:rsidRPr="00A204F6">
              <w:fldChar w:fldCharType="end"/>
            </w:r>
            <w:r w:rsidRPr="009F3909">
              <w:instrText xml:space="preserve">." </w:instrText>
            </w:r>
            <w:r w:rsidRPr="00A204F6">
              <w:fldChar w:fldCharType="separate"/>
            </w:r>
            <w:r w:rsidR="00272AF3">
              <w:rPr>
                <w:noProof/>
              </w:rPr>
              <w:instrText>6</w:instrText>
            </w:r>
            <w:r w:rsidR="00272AF3" w:rsidRPr="009F3909">
              <w:rPr>
                <w:noProof/>
              </w:rPr>
              <w:instrText>.</w:instrText>
            </w:r>
            <w:r w:rsidRPr="00A204F6">
              <w:fldChar w:fldCharType="end"/>
            </w:r>
            <w:r w:rsidRPr="00A204F6">
              <w:fldChar w:fldCharType="begin"/>
            </w:r>
            <w:r w:rsidRPr="009F3909">
              <w:instrText xml:space="preserve"> SEQ Item \* ARABIC \s </w:instrText>
            </w:r>
            <w:r w:rsidRPr="00A204F6">
              <w:fldChar w:fldCharType="begin"/>
            </w:r>
            <w:r w:rsidRPr="009F3909">
              <w:instrText xml:space="preserve"> IF </w:instrText>
            </w:r>
            <w:r w:rsidRPr="00A204F6">
              <w:rPr>
                <w:noProof/>
              </w:rPr>
              <w:fldChar w:fldCharType="begin"/>
            </w:r>
            <w:r w:rsidRPr="009F3909">
              <w:rPr>
                <w:noProof/>
              </w:rPr>
              <w:instrText xml:space="preserve"> STYLEREF "Heading 6" \l \n </w:instrText>
            </w:r>
            <w:r w:rsidRPr="00A204F6">
              <w:rPr>
                <w:noProof/>
              </w:rPr>
              <w:fldChar w:fldCharType="separate"/>
            </w:r>
            <w:r>
              <w:rPr>
                <w:noProof/>
              </w:rPr>
              <w:instrText>0</w:instrText>
            </w:r>
            <w:r w:rsidRPr="00A204F6">
              <w:rPr>
                <w:noProof/>
              </w:rPr>
              <w:fldChar w:fldCharType="end"/>
            </w:r>
            <w:r w:rsidRPr="009F3909">
              <w:instrText xml:space="preserve"> = 0 "</w:instrText>
            </w:r>
            <w:r w:rsidRPr="00A204F6">
              <w:fldChar w:fldCharType="begin"/>
            </w:r>
            <w:r w:rsidRPr="009F3909">
              <w:instrText xml:space="preserve"> IF </w:instrText>
            </w:r>
            <w:r w:rsidRPr="00A204F6">
              <w:rPr>
                <w:noProof/>
              </w:rPr>
              <w:fldChar w:fldCharType="begin"/>
            </w:r>
            <w:r w:rsidRPr="009F3909">
              <w:rPr>
                <w:noProof/>
              </w:rPr>
              <w:instrText xml:space="preserve"> STYLEREF "Heading 1" \l \n </w:instrText>
            </w:r>
            <w:r w:rsidRPr="00A204F6">
              <w:rPr>
                <w:noProof/>
              </w:rPr>
              <w:fldChar w:fldCharType="separate"/>
            </w:r>
            <w:r>
              <w:rPr>
                <w:noProof/>
              </w:rPr>
              <w:instrText>6</w:instrText>
            </w:r>
            <w:r w:rsidRPr="00A204F6">
              <w:rPr>
                <w:noProof/>
              </w:rPr>
              <w:fldChar w:fldCharType="end"/>
            </w:r>
            <w:r w:rsidRPr="009F3909">
              <w:instrText xml:space="preserve"> = 0 "" "1" </w:instrText>
            </w:r>
            <w:r w:rsidRPr="00A204F6">
              <w:fldChar w:fldCharType="separate"/>
            </w:r>
            <w:r w:rsidR="00272AF3" w:rsidRPr="009F3909">
              <w:rPr>
                <w:noProof/>
              </w:rPr>
              <w:instrText>1</w:instrText>
            </w:r>
            <w:r w:rsidRPr="00A204F6">
              <w:fldChar w:fldCharType="end"/>
            </w:r>
            <w:r w:rsidRPr="009F3909">
              <w:instrText xml:space="preserve">" "6" </w:instrText>
            </w:r>
            <w:r w:rsidRPr="00A204F6">
              <w:fldChar w:fldCharType="separate"/>
            </w:r>
            <w:r w:rsidR="00272AF3" w:rsidRPr="009F3909">
              <w:rPr>
                <w:noProof/>
              </w:rPr>
              <w:instrText>1</w:instrText>
            </w:r>
            <w:r w:rsidRPr="00A204F6">
              <w:fldChar w:fldCharType="end"/>
            </w:r>
            <w:r w:rsidRPr="009F3909">
              <w:instrText xml:space="preserve"> </w:instrText>
            </w:r>
            <w:r w:rsidRPr="00A204F6">
              <w:fldChar w:fldCharType="separate"/>
            </w:r>
            <w:r>
              <w:rPr>
                <w:noProof/>
              </w:rPr>
              <w:instrText>14</w:instrText>
            </w:r>
            <w:r w:rsidRPr="00A204F6">
              <w:fldChar w:fldCharType="end"/>
            </w:r>
            <w:r w:rsidRPr="009F3909">
              <w:instrText xml:space="preserve">" "" </w:instrText>
            </w:r>
            <w:r w:rsidRPr="00D035C6">
              <w:fldChar w:fldCharType="separate"/>
            </w:r>
            <w:bookmarkStart w:id="6090" w:name="_Caption4885"/>
            <w:bookmarkStart w:id="6091" w:name="_Caption7310"/>
            <w:bookmarkStart w:id="6092" w:name="_Caption5068"/>
            <w:bookmarkStart w:id="6093" w:name="_Caption7738"/>
            <w:bookmarkStart w:id="6094" w:name="_Caption9339"/>
            <w:bookmarkStart w:id="6095" w:name="_Caption6000"/>
            <w:bookmarkStart w:id="6096" w:name="_Caption3080"/>
            <w:bookmarkStart w:id="6097" w:name="_Caption1375"/>
            <w:bookmarkStart w:id="6098" w:name="_Caption2917"/>
            <w:bookmarkStart w:id="6099" w:name="_Caption0157"/>
            <w:bookmarkStart w:id="6100" w:name="_Caption6440"/>
            <w:bookmarkStart w:id="6101" w:name="_Caption6091"/>
            <w:bookmarkStart w:id="6102" w:name="_Caption6547"/>
            <w:bookmarkStart w:id="6103" w:name="_Caption7514"/>
            <w:bookmarkStart w:id="6104" w:name="_Caption8438"/>
            <w:bookmarkStart w:id="6105" w:name="_Caption2198"/>
            <w:bookmarkStart w:id="6106" w:name="_Caption0583"/>
            <w:bookmarkStart w:id="6107" w:name="_Caption3840"/>
            <w:bookmarkStart w:id="6108" w:name="_Caption9438"/>
            <w:bookmarkStart w:id="6109" w:name="_Caption2359"/>
            <w:bookmarkStart w:id="6110" w:name="_Caption8561"/>
            <w:bookmarkStart w:id="6111" w:name="_Caption6038"/>
            <w:bookmarkStart w:id="6112" w:name="_Caption2138"/>
            <w:bookmarkStart w:id="6113" w:name="_Caption6338"/>
            <w:bookmarkStart w:id="6114" w:name="_Caption5498"/>
            <w:bookmarkStart w:id="6115" w:name="_Caption7793"/>
            <w:bookmarkStart w:id="6116" w:name="_Caption5193"/>
            <w:bookmarkStart w:id="6117" w:name="_Caption8491"/>
            <w:bookmarkStart w:id="6118" w:name="_Caption8927"/>
            <w:bookmarkStart w:id="6119" w:name="_Caption1668"/>
            <w:bookmarkStart w:id="6120" w:name="_Caption4741"/>
            <w:bookmarkStart w:id="6121" w:name="_Caption0354"/>
            <w:bookmarkStart w:id="6122" w:name="_Caption7781"/>
            <w:bookmarkStart w:id="6123" w:name="_Caption1514"/>
            <w:bookmarkStart w:id="6124" w:name="_Caption7869"/>
            <w:bookmarkStart w:id="6125" w:name="_Caption7307"/>
            <w:bookmarkStart w:id="6126" w:name="_Caption0937"/>
            <w:bookmarkStart w:id="6127" w:name="_Caption8741"/>
            <w:bookmarkStart w:id="6128" w:name="_Caption8042"/>
            <w:bookmarkStart w:id="6129" w:name="_Caption8508"/>
            <w:bookmarkStart w:id="6130" w:name="_Caption1017"/>
            <w:bookmarkStart w:id="6131" w:name="_Caption9259"/>
            <w:bookmarkStart w:id="6132" w:name="_Caption5745"/>
            <w:bookmarkStart w:id="6133" w:name="_Caption8001"/>
            <w:bookmarkStart w:id="6134" w:name="_Caption3899"/>
            <w:bookmarkStart w:id="6135" w:name="_Caption4951"/>
            <w:bookmarkStart w:id="6136" w:name="_Caption4355"/>
            <w:bookmarkStart w:id="6137" w:name="_Caption8145"/>
            <w:bookmarkStart w:id="6138" w:name="_Caption1308"/>
            <w:bookmarkStart w:id="6139" w:name="_Caption5316"/>
            <w:bookmarkStart w:id="6140" w:name="_Caption5135"/>
            <w:bookmarkStart w:id="6141" w:name="_Caption3846"/>
            <w:bookmarkStart w:id="6142" w:name="_Caption4844"/>
            <w:bookmarkStart w:id="6143" w:name="_Caption3031"/>
            <w:bookmarkStart w:id="6144" w:name="_Caption2431"/>
            <w:bookmarkStart w:id="6145" w:name="_Caption2898"/>
            <w:bookmarkStart w:id="6146" w:name="_Caption5860"/>
            <w:bookmarkStart w:id="6147" w:name="_Caption2012"/>
            <w:bookmarkStart w:id="6148" w:name="_Caption4318"/>
            <w:bookmarkStart w:id="6149" w:name="_Caption7875"/>
            <w:bookmarkStart w:id="6150" w:name="_Toc44598553"/>
            <w:bookmarkStart w:id="6151" w:name="_Toc45654184"/>
            <w:r w:rsidR="00272AF3">
              <w:rPr>
                <w:noProof/>
              </w:rPr>
              <w:t>6</w:t>
            </w:r>
            <w:r w:rsidR="00272AF3" w:rsidRPr="009F3909">
              <w:rPr>
                <w:noProof/>
              </w:rPr>
              <w:t>.</w:t>
            </w:r>
            <w:r w:rsidR="00272AF3">
              <w:rPr>
                <w:noProof/>
              </w:rPr>
              <w:t>14</w:t>
            </w:r>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r w:rsidRPr="00D035C6">
              <w:fldChar w:fldCharType="end"/>
            </w:r>
            <w:r w:rsidRPr="009F3909">
              <w:tab/>
              <w:t>Questions for stakeholders</w:t>
            </w:r>
            <w:bookmarkEnd w:id="6150"/>
            <w:bookmarkEnd w:id="6151"/>
          </w:p>
        </w:tc>
      </w:tr>
      <w:tr w:rsidR="007C6A5F" w:rsidTr="00B5160B">
        <w:tc>
          <w:tcPr>
            <w:tcW w:w="7938" w:type="dxa"/>
            <w:tcBorders>
              <w:bottom w:val="single" w:sz="4" w:space="0" w:color="9B917E" w:themeColor="accent4"/>
            </w:tcBorders>
            <w:shd w:val="clear" w:color="auto" w:fill="E9E8E5" w:themeFill="background2"/>
          </w:tcPr>
          <w:p w:rsidR="007C6A5F" w:rsidRPr="009F3909" w:rsidRDefault="005600BF" w:rsidP="0034455A">
            <w:pPr>
              <w:pStyle w:val="ListBullet"/>
              <w:numPr>
                <w:ilvl w:val="0"/>
                <w:numId w:val="17"/>
              </w:numPr>
              <w:spacing w:after="120"/>
            </w:pPr>
            <w:r w:rsidRPr="009F3909">
              <w:t xml:space="preserve">There is a mismatch between the amount of accessible housing being built and the apparent willingness of many survey respondents (including households without any members with limited mobility), to pay above cost for the </w:t>
            </w:r>
            <w:r>
              <w:t>Option 1</w:t>
            </w:r>
            <w:r w:rsidRPr="009F3909">
              <w:t xml:space="preserve">. </w:t>
            </w:r>
            <w:r>
              <w:t xml:space="preserve">What explanations are </w:t>
            </w:r>
            <w:r w:rsidRPr="009F3909">
              <w:t xml:space="preserve">there that could </w:t>
            </w:r>
            <w:r>
              <w:t>explain</w:t>
            </w:r>
            <w:r w:rsidRPr="009F3909">
              <w:t xml:space="preserve"> this mismatch? Is </w:t>
            </w:r>
            <w:r>
              <w:t>this a reflection of the market failure?</w:t>
            </w:r>
          </w:p>
        </w:tc>
      </w:tr>
    </w:tbl>
    <w:p w:rsidR="007C6A5F" w:rsidRDefault="007C6A5F" w:rsidP="007C6A5F">
      <w:pPr>
        <w:pStyle w:val="BodyText"/>
        <w:rPr>
          <w:lang w:bidi="fa-IR"/>
        </w:rPr>
      </w:pPr>
    </w:p>
    <w:p w:rsidR="007C6A5F" w:rsidRPr="00F51AF6" w:rsidRDefault="007C6A5F" w:rsidP="007C6A5F">
      <w:pPr>
        <w:pStyle w:val="Heading1"/>
        <w:numPr>
          <w:ilvl w:val="0"/>
          <w:numId w:val="5"/>
        </w:numPr>
      </w:pPr>
      <w:bookmarkStart w:id="6152" w:name="_Toc32321768"/>
      <w:bookmarkStart w:id="6153" w:name="_Toc44598457"/>
      <w:bookmarkStart w:id="6154" w:name="_Toc45654088"/>
      <w:r>
        <w:lastRenderedPageBreak/>
        <w:t>Cost-benefit analysis</w:t>
      </w:r>
      <w:bookmarkEnd w:id="6152"/>
      <w:bookmarkEnd w:id="6153"/>
      <w:bookmarkEnd w:id="6154"/>
    </w:p>
    <w:p w:rsidR="007C6A5F" w:rsidRDefault="007C6A5F" w:rsidP="007C6A5F">
      <w:pPr>
        <w:pStyle w:val="BodyText"/>
      </w:pPr>
      <w:r>
        <w:t>In this chapter we bring together the cost and benefit estimates in the previous chapter together in a cost</w:t>
      </w:r>
      <w:r>
        <w:noBreakHyphen/>
        <w:t xml:space="preserve">benefit analysis </w:t>
      </w:r>
      <w:r w:rsidR="00F64A98">
        <w:t xml:space="preserve">(CBA) </w:t>
      </w:r>
      <w:r>
        <w:t xml:space="preserve">framework. We find that the CBA results depend critically on the </w:t>
      </w:r>
      <w:r w:rsidRPr="006C3FC1">
        <w:t>approach to measuring benefits, though we favour the cost reduction approach methodology.</w:t>
      </w:r>
    </w:p>
    <w:p w:rsidR="007C6A5F" w:rsidRDefault="007C6A5F" w:rsidP="007C6A5F">
      <w:pPr>
        <w:pStyle w:val="Heading2"/>
        <w:numPr>
          <w:ilvl w:val="1"/>
          <w:numId w:val="5"/>
        </w:numPr>
        <w:spacing w:before="480"/>
        <w:rPr>
          <w:lang w:bidi="fa-IR"/>
        </w:rPr>
      </w:pPr>
      <w:bookmarkStart w:id="6155" w:name="_Toc32321769"/>
      <w:bookmarkStart w:id="6156" w:name="_Toc44598458"/>
      <w:bookmarkStart w:id="6157" w:name="_Toc45654089"/>
      <w:r>
        <w:rPr>
          <w:lang w:bidi="fa-IR"/>
        </w:rPr>
        <w:t>Cost-benefit analysis</w:t>
      </w:r>
      <w:bookmarkEnd w:id="6155"/>
      <w:bookmarkEnd w:id="6156"/>
      <w:bookmarkEnd w:id="6157"/>
    </w:p>
    <w:p w:rsidR="007C6A5F" w:rsidRDefault="007C6A5F" w:rsidP="007C6A5F">
      <w:pPr>
        <w:pStyle w:val="BodyText"/>
        <w:rPr>
          <w:lang w:bidi="fa-IR"/>
        </w:rPr>
      </w:pPr>
      <w:r>
        <w:rPr>
          <w:lang w:bidi="fa-IR"/>
        </w:rPr>
        <w:t>As discussed previously, we have estimated the benefits of the proposed changes to the NCC (and other options) using 2 different approaches.</w:t>
      </w:r>
    </w:p>
    <w:p w:rsidR="007C6A5F" w:rsidRDefault="007C6A5F" w:rsidP="005A6F87">
      <w:pPr>
        <w:pStyle w:val="ListBullet"/>
        <w:numPr>
          <w:ilvl w:val="0"/>
          <w:numId w:val="17"/>
        </w:numPr>
        <w:rPr>
          <w:lang w:bidi="fa-IR"/>
        </w:rPr>
      </w:pPr>
      <w:r>
        <w:rPr>
          <w:lang w:bidi="fa-IR"/>
        </w:rPr>
        <w:t>One approach was based on our estimate of the extent to which we would expect the proposed changes to the NCC (and other options) will address the extent of the various ‘problems’ that arise as a result of a lack of accessible housing.</w:t>
      </w:r>
    </w:p>
    <w:p w:rsidR="007C6A5F" w:rsidRDefault="007C6A5F" w:rsidP="005A6F87">
      <w:pPr>
        <w:pStyle w:val="ListBullet"/>
        <w:numPr>
          <w:ilvl w:val="0"/>
          <w:numId w:val="17"/>
        </w:numPr>
        <w:rPr>
          <w:lang w:bidi="fa-IR"/>
        </w:rPr>
      </w:pPr>
      <w:r>
        <w:rPr>
          <w:lang w:bidi="fa-IR"/>
        </w:rPr>
        <w:t>The other approach was based on the evidence of a stated preference survey on the community’s willingness to pay for various accessibility features.</w:t>
      </w:r>
    </w:p>
    <w:p w:rsidR="007C6A5F" w:rsidRDefault="007C6A5F" w:rsidP="007C6A5F">
      <w:pPr>
        <w:pStyle w:val="BodyText"/>
        <w:rPr>
          <w:lang w:bidi="fa-IR"/>
        </w:rPr>
      </w:pPr>
      <w:r>
        <w:rPr>
          <w:lang w:bidi="fa-IR"/>
        </w:rPr>
        <w:t>The CBA results under each of these approaches (including the WTP approach where only the benefits to mobility limited household are included) are summarised in chart 7.1, with further details below.</w:t>
      </w:r>
    </w:p>
    <w:p w:rsidR="007C6A5F" w:rsidRDefault="007C6A5F" w:rsidP="007C6A5F">
      <w:pPr>
        <w:pStyle w:val="Caption"/>
        <w:spacing w:before="240"/>
        <w:ind w:left="568" w:hanging="568"/>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rsidRPr="00695C93">
        <w:instrText xml:space="preserve">." </w:instrText>
      </w:r>
      <w:r w:rsidRPr="00695C93">
        <w:fldChar w:fldCharType="separate"/>
      </w:r>
      <w:r>
        <w:rPr>
          <w:noProof/>
        </w:rPr>
        <w:instrText>7</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sidR="00272AF3">
        <w:rPr>
          <w:noProof/>
        </w:rPr>
        <w:instrText>7</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1</w:instrText>
      </w:r>
      <w:r w:rsidRPr="00695C93">
        <w:fldChar w:fldCharType="end"/>
      </w:r>
      <w:r w:rsidRPr="00695C93">
        <w:instrText xml:space="preserve">" "" </w:instrText>
      </w:r>
      <w:r w:rsidRPr="00695C93">
        <w:fldChar w:fldCharType="separate"/>
      </w:r>
      <w:bookmarkStart w:id="6158" w:name="_Caption8266"/>
      <w:bookmarkStart w:id="6159" w:name="_Caption8698"/>
      <w:bookmarkStart w:id="6160" w:name="_Caption0175"/>
      <w:bookmarkStart w:id="6161" w:name="_Caption3054"/>
      <w:bookmarkStart w:id="6162" w:name="_Caption6414"/>
      <w:bookmarkStart w:id="6163" w:name="_Caption7808"/>
      <w:bookmarkStart w:id="6164" w:name="_Toc44598554"/>
      <w:bookmarkStart w:id="6165" w:name="_Toc45654185"/>
      <w:r w:rsidR="00272AF3">
        <w:rPr>
          <w:noProof/>
        </w:rPr>
        <w:t>7</w:t>
      </w:r>
      <w:r w:rsidR="00272AF3" w:rsidRPr="00695C93">
        <w:rPr>
          <w:noProof/>
        </w:rPr>
        <w:t>.</w:t>
      </w:r>
      <w:r w:rsidR="00272AF3">
        <w:rPr>
          <w:noProof/>
        </w:rPr>
        <w:t>1</w:t>
      </w:r>
      <w:bookmarkEnd w:id="6158"/>
      <w:bookmarkEnd w:id="6159"/>
      <w:bookmarkEnd w:id="6160"/>
      <w:bookmarkEnd w:id="6161"/>
      <w:bookmarkEnd w:id="6162"/>
      <w:bookmarkEnd w:id="6163"/>
      <w:r w:rsidRPr="00695C93">
        <w:fldChar w:fldCharType="end"/>
      </w:r>
      <w:r w:rsidRPr="00695C93">
        <w:tab/>
      </w:r>
      <w:r>
        <w:t>Estimated net benefits/costs under various approaches to measuring the benefits</w:t>
      </w:r>
      <w:bookmarkEnd w:id="6164"/>
      <w:bookmarkEnd w:id="6165"/>
    </w:p>
    <w:p w:rsidR="007C6A5F" w:rsidRDefault="007C6A5F" w:rsidP="007C6A5F">
      <w:pPr>
        <w:pStyle w:val="Subtitlebox"/>
      </w:pPr>
      <w:r>
        <w:rPr>
          <w:noProof/>
        </w:rPr>
        <w:drawing>
          <wp:inline distT="0" distB="0" distL="0" distR="0" wp14:anchorId="427D496A" wp14:editId="3A5A7E85">
            <wp:extent cx="4986655" cy="2529840"/>
            <wp:effectExtent l="57150" t="57150" r="61595" b="60960"/>
            <wp:docPr id="20" name="Picture 20" descr="Chart 7.1 - Estimated net benefits/costs under various approaches to measuring the benefi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6655" cy="2529840"/>
                    </a:xfrm>
                    <a:prstGeom prst="rect">
                      <a:avLst/>
                    </a:prstGeom>
                    <a:noFill/>
                    <a:ln w="57150">
                      <a:solidFill>
                        <a:schemeClr val="bg2"/>
                      </a:solidFill>
                    </a:ln>
                  </pic:spPr>
                </pic:pic>
              </a:graphicData>
            </a:graphic>
          </wp:inline>
        </w:drawing>
      </w:r>
    </w:p>
    <w:p w:rsidR="007C6A5F" w:rsidRPr="00A97BEC" w:rsidRDefault="007C6A5F" w:rsidP="007C6A5F">
      <w:pPr>
        <w:pStyle w:val="Note"/>
      </w:pPr>
      <w:r w:rsidRPr="00A97BEC">
        <w:rPr>
          <w:i/>
        </w:rPr>
        <w:t xml:space="preserve">Note: </w:t>
      </w:r>
      <w:r>
        <w:t>Costs and benefits are presented in net present value terms covering a 10</w:t>
      </w:r>
      <w:r>
        <w:noBreakHyphen/>
        <w:t>year regulatory period from 2022 to 2031, using a discount rate of 7 per cent. Benefits are extended out an additional 30 years, reflecting the flow of benefits over the life of dwellings constructed during the regulatory period.</w:t>
      </w:r>
    </w:p>
    <w:p w:rsidR="007C6A5F" w:rsidRDefault="007C6A5F" w:rsidP="007C6A5F">
      <w:pPr>
        <w:pStyle w:val="Source"/>
      </w:pPr>
      <w:r>
        <w:rPr>
          <w:i/>
        </w:rPr>
        <w:t>Data source</w:t>
      </w:r>
      <w:r w:rsidRPr="00A67576">
        <w:rPr>
          <w:i/>
        </w:rPr>
        <w:t>:</w:t>
      </w:r>
      <w:r>
        <w:t xml:space="preserve"> CIE estimates (see below).</w:t>
      </w:r>
    </w:p>
    <w:p w:rsidR="007C6A5F" w:rsidRDefault="007C6A5F" w:rsidP="007C6A5F">
      <w:pPr>
        <w:pStyle w:val="Heading3"/>
        <w:numPr>
          <w:ilvl w:val="2"/>
          <w:numId w:val="5"/>
        </w:numPr>
        <w:rPr>
          <w:lang w:bidi="fa-IR"/>
        </w:rPr>
      </w:pPr>
      <w:r>
        <w:rPr>
          <w:lang w:bidi="fa-IR"/>
        </w:rPr>
        <w:lastRenderedPageBreak/>
        <w:t>Cost-benefit analysis measuring benefits using the problem reduction approach</w:t>
      </w:r>
    </w:p>
    <w:p w:rsidR="007C6A5F" w:rsidRDefault="007C6A5F" w:rsidP="00F80080">
      <w:pPr>
        <w:pStyle w:val="BodyText"/>
        <w:spacing w:before="100"/>
        <w:rPr>
          <w:lang w:bidi="fa-IR"/>
        </w:rPr>
      </w:pPr>
      <w:r>
        <w:rPr>
          <w:lang w:bidi="fa-IR"/>
        </w:rPr>
        <w:t>The CBA results, where the benefits are estimated based on the extent to which each option would address the issues that arise as a result of inaccessible housing are presented in table </w:t>
      </w:r>
      <w:r>
        <w:rPr>
          <w:lang w:bidi="fa-IR"/>
        </w:rPr>
        <w:fldChar w:fldCharType="begin"/>
      </w:r>
      <w:r>
        <w:rPr>
          <w:lang w:bidi="fa-IR"/>
        </w:rPr>
        <w:instrText xml:space="preserve"> REF _Caption2274 </w:instrText>
      </w:r>
      <w:r>
        <w:rPr>
          <w:lang w:bidi="fa-IR"/>
        </w:rPr>
        <w:fldChar w:fldCharType="separate"/>
      </w:r>
      <w:r>
        <w:rPr>
          <w:noProof/>
        </w:rPr>
        <w:t>7</w:t>
      </w:r>
      <w:r w:rsidRPr="00695C93">
        <w:rPr>
          <w:noProof/>
        </w:rPr>
        <w:t>.</w:t>
      </w:r>
      <w:r>
        <w:rPr>
          <w:noProof/>
        </w:rPr>
        <w:t>2</w:t>
      </w:r>
      <w:r>
        <w:rPr>
          <w:lang w:bidi="fa-IR"/>
        </w:rPr>
        <w:fldChar w:fldCharType="end"/>
      </w:r>
      <w:r>
        <w:rPr>
          <w:lang w:bidi="fa-IR"/>
        </w:rPr>
        <w:t xml:space="preserve">. Although we have sought to quantify the main benefits of increased accessible housing, </w:t>
      </w:r>
      <w:r w:rsidRPr="006C3FC1">
        <w:rPr>
          <w:lang w:bidi="fa-IR"/>
        </w:rPr>
        <w:t>some benefits such as the dignity associated with increased independence have not been quantified.</w:t>
      </w:r>
      <w:r>
        <w:rPr>
          <w:lang w:bidi="fa-IR"/>
        </w:rPr>
        <w:t xml:space="preserve"> The equity benefits associated with people with disabilities having more equal access to housing may be partly, but not necessarily fully captured through the societal benefits.</w:t>
      </w:r>
    </w:p>
    <w:p w:rsidR="007C6A5F" w:rsidRDefault="007C6A5F" w:rsidP="00F80080">
      <w:pPr>
        <w:pStyle w:val="BodyText"/>
        <w:spacing w:before="100"/>
        <w:rPr>
          <w:lang w:bidi="fa-IR"/>
        </w:rPr>
      </w:pPr>
      <w:r>
        <w:rPr>
          <w:lang w:bidi="fa-IR"/>
        </w:rPr>
        <w:t>Costs and benefits are estimated over the 10</w:t>
      </w:r>
      <w:r>
        <w:rPr>
          <w:lang w:bidi="fa-IR"/>
        </w:rPr>
        <w:noBreakHyphen/>
        <w:t xml:space="preserve">year regulatory period from 2022 to 2031, using a discount rate of 7 per cent. The benefits in the last year of the regulatory period are extended for a further 30 years to reflect the flow of benefits over the life of dwellings built during the regulatory period. </w:t>
      </w:r>
      <w:r w:rsidRPr="006C3FC1">
        <w:rPr>
          <w:lang w:bidi="fa-IR"/>
        </w:rPr>
        <w:t>For consistency, the space</w:t>
      </w:r>
      <w:r w:rsidRPr="006C3FC1">
        <w:rPr>
          <w:lang w:bidi="fa-IR"/>
        </w:rPr>
        <w:noBreakHyphen/>
        <w:t>related cost estimates are based on estimates of the marginal value of land (for Class 1a buildings) and the value of apartment space (for Class 2 buildings), rather than survey estimates.</w:t>
      </w:r>
    </w:p>
    <w:p w:rsidR="007C6A5F" w:rsidRDefault="007C6A5F" w:rsidP="00F80080">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rsidRPr="00695C93">
        <w:instrText xml:space="preserve">." </w:instrText>
      </w:r>
      <w:r w:rsidRPr="00695C93">
        <w:fldChar w:fldCharType="separate"/>
      </w:r>
      <w:r>
        <w:rPr>
          <w:noProof/>
        </w:rPr>
        <w:instrText>7</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7</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2</w:instrText>
      </w:r>
      <w:r w:rsidRPr="00695C93">
        <w:fldChar w:fldCharType="end"/>
      </w:r>
      <w:r w:rsidRPr="00695C93">
        <w:instrText xml:space="preserve">" "" </w:instrText>
      </w:r>
      <w:r w:rsidRPr="00695C93">
        <w:fldChar w:fldCharType="separate"/>
      </w:r>
      <w:bookmarkStart w:id="6166" w:name="_Caption4034"/>
      <w:bookmarkStart w:id="6167" w:name="_Caption2720"/>
      <w:bookmarkStart w:id="6168" w:name="_Caption2658"/>
      <w:bookmarkStart w:id="6169" w:name="_Caption9607"/>
      <w:bookmarkStart w:id="6170" w:name="_Caption8025"/>
      <w:bookmarkStart w:id="6171" w:name="_Caption4395"/>
      <w:bookmarkStart w:id="6172" w:name="_Caption4965"/>
      <w:bookmarkStart w:id="6173" w:name="_Caption3213"/>
      <w:bookmarkStart w:id="6174" w:name="_Caption2811"/>
      <w:bookmarkStart w:id="6175" w:name="_Caption7740"/>
      <w:bookmarkStart w:id="6176" w:name="_Caption6300"/>
      <w:bookmarkStart w:id="6177" w:name="_Caption5973"/>
      <w:bookmarkStart w:id="6178" w:name="_Caption5331"/>
      <w:bookmarkStart w:id="6179" w:name="_Caption2701"/>
      <w:bookmarkStart w:id="6180" w:name="_Caption8896"/>
      <w:bookmarkStart w:id="6181" w:name="_Caption0144"/>
      <w:bookmarkStart w:id="6182" w:name="_Caption1086"/>
      <w:bookmarkStart w:id="6183" w:name="_Caption8327"/>
      <w:bookmarkStart w:id="6184" w:name="_Caption9515"/>
      <w:bookmarkStart w:id="6185" w:name="_Caption8794"/>
      <w:bookmarkStart w:id="6186" w:name="_Caption1880"/>
      <w:bookmarkStart w:id="6187" w:name="_Caption7666"/>
      <w:bookmarkStart w:id="6188" w:name="_Caption6826"/>
      <w:bookmarkStart w:id="6189" w:name="_Caption5235"/>
      <w:bookmarkStart w:id="6190" w:name="_Caption2213"/>
      <w:bookmarkStart w:id="6191" w:name="_Caption9370"/>
      <w:bookmarkStart w:id="6192" w:name="_Caption2274"/>
      <w:bookmarkStart w:id="6193" w:name="_Caption0916"/>
      <w:bookmarkStart w:id="6194" w:name="_Caption8673"/>
      <w:bookmarkStart w:id="6195" w:name="_Caption3249"/>
      <w:bookmarkStart w:id="6196" w:name="_Caption6370"/>
      <w:bookmarkStart w:id="6197" w:name="_Caption9204"/>
      <w:bookmarkStart w:id="6198" w:name="_Caption6771"/>
      <w:bookmarkStart w:id="6199" w:name="_Caption3441"/>
      <w:bookmarkStart w:id="6200" w:name="_Caption5412"/>
      <w:bookmarkStart w:id="6201" w:name="_Caption6052"/>
      <w:bookmarkStart w:id="6202" w:name="_Caption5172"/>
      <w:bookmarkStart w:id="6203" w:name="_Caption0842"/>
      <w:bookmarkStart w:id="6204" w:name="_Caption5948"/>
      <w:bookmarkStart w:id="6205" w:name="_Caption4479"/>
      <w:bookmarkStart w:id="6206" w:name="_Caption2500"/>
      <w:bookmarkStart w:id="6207" w:name="_Caption5217"/>
      <w:bookmarkStart w:id="6208" w:name="_Caption1012"/>
      <w:bookmarkStart w:id="6209" w:name="_Caption3897"/>
      <w:bookmarkStart w:id="6210" w:name="_Caption6743"/>
      <w:bookmarkStart w:id="6211" w:name="_Caption3769"/>
      <w:bookmarkStart w:id="6212" w:name="_Caption1294"/>
      <w:bookmarkStart w:id="6213" w:name="_Caption1008"/>
      <w:bookmarkStart w:id="6214" w:name="_Caption5076"/>
      <w:bookmarkStart w:id="6215" w:name="_Caption8515"/>
      <w:bookmarkStart w:id="6216" w:name="_Caption9443"/>
      <w:bookmarkStart w:id="6217" w:name="_Caption9496"/>
      <w:bookmarkStart w:id="6218" w:name="_Caption1015"/>
      <w:bookmarkStart w:id="6219" w:name="_Caption5338"/>
      <w:bookmarkStart w:id="6220" w:name="_Caption6171"/>
      <w:bookmarkStart w:id="6221" w:name="_Caption5920"/>
      <w:bookmarkStart w:id="6222" w:name="_Caption4339"/>
      <w:bookmarkStart w:id="6223" w:name="_Caption5610"/>
      <w:bookmarkStart w:id="6224" w:name="_Caption0288"/>
      <w:bookmarkStart w:id="6225" w:name="_Caption1493"/>
      <w:bookmarkStart w:id="6226" w:name="_Caption5485"/>
      <w:bookmarkStart w:id="6227" w:name="_Caption8357"/>
      <w:bookmarkStart w:id="6228" w:name="_Caption4018"/>
      <w:bookmarkStart w:id="6229" w:name="_Caption5061"/>
      <w:bookmarkStart w:id="6230" w:name="_Caption6729"/>
      <w:bookmarkStart w:id="6231" w:name="_Caption9541"/>
      <w:bookmarkStart w:id="6232" w:name="_Caption0914"/>
      <w:bookmarkStart w:id="6233" w:name="_Caption5525"/>
      <w:bookmarkStart w:id="6234" w:name="_Toc32321856"/>
      <w:bookmarkStart w:id="6235" w:name="_Toc44598555"/>
      <w:bookmarkStart w:id="6236" w:name="_Toc45654186"/>
      <w:r w:rsidR="00272AF3">
        <w:rPr>
          <w:noProof/>
        </w:rPr>
        <w:t>7</w:t>
      </w:r>
      <w:r w:rsidR="00272AF3" w:rsidRPr="00695C93">
        <w:rPr>
          <w:noProof/>
        </w:rPr>
        <w:t>.</w:t>
      </w:r>
      <w:r w:rsidR="00272AF3">
        <w:rPr>
          <w:noProof/>
        </w:rPr>
        <w:t>2</w:t>
      </w:r>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r w:rsidRPr="00695C93">
        <w:fldChar w:fldCharType="end"/>
      </w:r>
      <w:r w:rsidRPr="00695C93">
        <w:tab/>
      </w:r>
      <w:r>
        <w:t>Estimated net benefit/cost — problem reduction approach</w:t>
      </w:r>
      <w:bookmarkEnd w:id="6234"/>
      <w:bookmarkEnd w:id="6235"/>
      <w:bookmarkEnd w:id="6236"/>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7.2"/>
        <w:tblDescription w:val="Estimated net benefit/cost — problem reduction approach"/>
      </w:tblPr>
      <w:tblGrid>
        <w:gridCol w:w="2694"/>
        <w:gridCol w:w="992"/>
        <w:gridCol w:w="1134"/>
        <w:gridCol w:w="1127"/>
        <w:gridCol w:w="999"/>
        <w:gridCol w:w="991"/>
      </w:tblGrid>
      <w:tr w:rsidR="007C6A5F" w:rsidTr="006F19F5">
        <w:trPr>
          <w:trHeight w:val="230"/>
          <w:tblHeader/>
        </w:trPr>
        <w:tc>
          <w:tcPr>
            <w:tcW w:w="2694" w:type="dxa"/>
            <w:shd w:val="clear" w:color="auto" w:fill="6F6652" w:themeFill="accent5"/>
          </w:tcPr>
          <w:p w:rsidR="007C6A5F" w:rsidRDefault="006F19F5" w:rsidP="00C36DA4">
            <w:pPr>
              <w:pStyle w:val="TableDataColumnHeading"/>
              <w:jc w:val="left"/>
              <w:rPr>
                <w:lang w:val="en-GB"/>
              </w:rPr>
            </w:pPr>
            <w:r>
              <w:rPr>
                <w:lang w:val="en-GB"/>
              </w:rPr>
              <w:t>Benefits</w:t>
            </w:r>
            <w:r w:rsidR="00F80080">
              <w:rPr>
                <w:lang w:val="en-GB"/>
              </w:rPr>
              <w:t>/</w:t>
            </w:r>
            <w:r w:rsidR="00E36B6D">
              <w:rPr>
                <w:lang w:val="en-GB"/>
              </w:rPr>
              <w:t>C</w:t>
            </w:r>
            <w:r>
              <w:rPr>
                <w:lang w:val="en-GB"/>
              </w:rPr>
              <w:t>osts/</w:t>
            </w:r>
            <w:r w:rsidR="00E36B6D">
              <w:rPr>
                <w:lang w:val="en-GB"/>
              </w:rPr>
              <w:t>N</w:t>
            </w:r>
            <w:r>
              <w:rPr>
                <w:lang w:val="en-GB"/>
              </w:rPr>
              <w:t xml:space="preserve">et </w:t>
            </w:r>
            <w:r w:rsidR="00F80080">
              <w:rPr>
                <w:lang w:val="en-GB"/>
              </w:rPr>
              <w:t>benefits</w:t>
            </w:r>
          </w:p>
        </w:tc>
        <w:tc>
          <w:tcPr>
            <w:tcW w:w="992" w:type="dxa"/>
            <w:shd w:val="clear" w:color="auto" w:fill="6F6652" w:themeFill="accent5"/>
          </w:tcPr>
          <w:p w:rsidR="007C6A5F" w:rsidRDefault="007C6A5F" w:rsidP="00C36DA4">
            <w:pPr>
              <w:pStyle w:val="TableDataColumnHeading"/>
              <w:rPr>
                <w:lang w:val="en-GB"/>
              </w:rPr>
            </w:pPr>
            <w:r>
              <w:rPr>
                <w:lang w:val="en-GB"/>
              </w:rPr>
              <w:t>Option 1</w:t>
            </w:r>
          </w:p>
          <w:p w:rsidR="0031383F" w:rsidRDefault="0031383F" w:rsidP="00C36DA4">
            <w:pPr>
              <w:pStyle w:val="TableDataColumnHeading"/>
              <w:rPr>
                <w:lang w:val="en-GB"/>
              </w:rPr>
            </w:pPr>
            <w:r>
              <w:rPr>
                <w:lang w:val="en-GB"/>
              </w:rPr>
              <w:t>($ million)</w:t>
            </w:r>
          </w:p>
        </w:tc>
        <w:tc>
          <w:tcPr>
            <w:tcW w:w="1134" w:type="dxa"/>
            <w:shd w:val="clear" w:color="auto" w:fill="6F6652" w:themeFill="accent5"/>
          </w:tcPr>
          <w:p w:rsidR="007C6A5F" w:rsidRDefault="007C6A5F" w:rsidP="00C36DA4">
            <w:pPr>
              <w:pStyle w:val="TableDataColumnHeading"/>
              <w:rPr>
                <w:lang w:val="en-GB"/>
              </w:rPr>
            </w:pPr>
            <w:r>
              <w:rPr>
                <w:lang w:val="en-GB"/>
              </w:rPr>
              <w:t>Option 2</w:t>
            </w:r>
          </w:p>
          <w:p w:rsidR="0031383F" w:rsidRDefault="0031383F" w:rsidP="00C36DA4">
            <w:pPr>
              <w:pStyle w:val="TableDataColumnHeading"/>
              <w:rPr>
                <w:lang w:val="en-GB"/>
              </w:rPr>
            </w:pPr>
            <w:r>
              <w:rPr>
                <w:lang w:val="en-GB"/>
              </w:rPr>
              <w:t>($ million)</w:t>
            </w:r>
          </w:p>
        </w:tc>
        <w:tc>
          <w:tcPr>
            <w:tcW w:w="1127" w:type="dxa"/>
            <w:shd w:val="clear" w:color="auto" w:fill="6F6652" w:themeFill="accent5"/>
          </w:tcPr>
          <w:p w:rsidR="007C6A5F" w:rsidRDefault="007C6A5F" w:rsidP="00C36DA4">
            <w:pPr>
              <w:pStyle w:val="TableDataColumnHeading"/>
              <w:rPr>
                <w:lang w:val="en-GB"/>
              </w:rPr>
            </w:pPr>
            <w:r>
              <w:rPr>
                <w:lang w:val="en-GB"/>
              </w:rPr>
              <w:t>Option 3</w:t>
            </w:r>
          </w:p>
          <w:p w:rsidR="0031383F" w:rsidRDefault="0031383F" w:rsidP="00C36DA4">
            <w:pPr>
              <w:pStyle w:val="TableDataColumnHeading"/>
              <w:rPr>
                <w:lang w:val="en-GB"/>
              </w:rPr>
            </w:pPr>
            <w:r>
              <w:rPr>
                <w:lang w:val="en-GB"/>
              </w:rPr>
              <w:t>($ million)</w:t>
            </w:r>
          </w:p>
        </w:tc>
        <w:tc>
          <w:tcPr>
            <w:tcW w:w="999" w:type="dxa"/>
            <w:shd w:val="clear" w:color="auto" w:fill="6F6652" w:themeFill="accent5"/>
          </w:tcPr>
          <w:p w:rsidR="007C6A5F" w:rsidRDefault="007C6A5F" w:rsidP="00C36DA4">
            <w:pPr>
              <w:pStyle w:val="TableDataColumnHeading"/>
              <w:rPr>
                <w:lang w:val="en-GB"/>
              </w:rPr>
            </w:pPr>
            <w:r>
              <w:rPr>
                <w:lang w:val="en-GB"/>
              </w:rPr>
              <w:t>Option 4</w:t>
            </w:r>
          </w:p>
          <w:p w:rsidR="0031383F" w:rsidRDefault="0031383F" w:rsidP="00C36DA4">
            <w:pPr>
              <w:pStyle w:val="TableDataColumnHeading"/>
              <w:rPr>
                <w:lang w:val="en-GB"/>
              </w:rPr>
            </w:pPr>
            <w:r>
              <w:rPr>
                <w:lang w:val="en-GB"/>
              </w:rPr>
              <w:t>($ million)</w:t>
            </w:r>
          </w:p>
        </w:tc>
        <w:tc>
          <w:tcPr>
            <w:tcW w:w="991" w:type="dxa"/>
            <w:shd w:val="clear" w:color="auto" w:fill="6F6652" w:themeFill="accent5"/>
          </w:tcPr>
          <w:p w:rsidR="007C6A5F" w:rsidRDefault="007C6A5F" w:rsidP="00C36DA4">
            <w:pPr>
              <w:pStyle w:val="TableDataColumnHeading"/>
              <w:rPr>
                <w:lang w:val="en-GB"/>
              </w:rPr>
            </w:pPr>
            <w:r>
              <w:rPr>
                <w:lang w:val="en-GB"/>
              </w:rPr>
              <w:t>Option 5</w:t>
            </w:r>
          </w:p>
          <w:p w:rsidR="0031383F" w:rsidRDefault="0031383F" w:rsidP="00C36DA4">
            <w:pPr>
              <w:pStyle w:val="TableDataColumnHeading"/>
              <w:rPr>
                <w:lang w:val="en-GB"/>
              </w:rPr>
            </w:pPr>
            <w:r>
              <w:rPr>
                <w:lang w:val="en-GB"/>
              </w:rPr>
              <w:t>($ million)</w:t>
            </w:r>
          </w:p>
        </w:tc>
      </w:tr>
      <w:tr w:rsidR="007C6A5F" w:rsidTr="009249A8">
        <w:trPr>
          <w:trHeight w:val="230"/>
        </w:trPr>
        <w:tc>
          <w:tcPr>
            <w:tcW w:w="269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Reduced falls</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szCs w:val="16"/>
              </w:rPr>
              <w:t xml:space="preserve"> 45.68</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szCs w:val="16"/>
              </w:rPr>
              <w:t xml:space="preserve"> 51.69</w:t>
            </w:r>
          </w:p>
        </w:tc>
        <w:tc>
          <w:tcPr>
            <w:tcW w:w="112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szCs w:val="16"/>
              </w:rPr>
              <w:t xml:space="preserve"> 54.52</w:t>
            </w:r>
          </w:p>
        </w:tc>
        <w:tc>
          <w:tcPr>
            <w:tcW w:w="999" w:type="dxa"/>
            <w:tcBorders>
              <w:top w:val="single" w:sz="8" w:space="0" w:color="FFFFFF" w:themeColor="background1"/>
              <w:bottom w:val="single" w:sz="8" w:space="0" w:color="FFFFFF" w:themeColor="background1"/>
            </w:tcBorders>
            <w:shd w:val="clear" w:color="auto" w:fill="E9E8E5" w:themeFill="background2"/>
          </w:tcPr>
          <w:p w:rsidR="007C6A5F" w:rsidRPr="003B39EA" w:rsidRDefault="007C6A5F" w:rsidP="00C36DA4">
            <w:pPr>
              <w:pStyle w:val="TableDataEntries"/>
            </w:pPr>
            <w:r>
              <w:rPr>
                <w:szCs w:val="16"/>
              </w:rPr>
              <w:t xml:space="preserve"> 15.13</w:t>
            </w:r>
          </w:p>
        </w:tc>
        <w:tc>
          <w:tcPr>
            <w:tcW w:w="991" w:type="dxa"/>
            <w:tcBorders>
              <w:top w:val="single" w:sz="8" w:space="0" w:color="FFFFFF" w:themeColor="background1"/>
              <w:bottom w:val="single" w:sz="8" w:space="0" w:color="FFFFFF" w:themeColor="background1"/>
            </w:tcBorders>
            <w:shd w:val="clear" w:color="auto" w:fill="E9E8E5" w:themeFill="background2"/>
          </w:tcPr>
          <w:p w:rsidR="007C6A5F" w:rsidRPr="008A4951" w:rsidRDefault="007C6A5F" w:rsidP="00C36DA4">
            <w:pPr>
              <w:pStyle w:val="TableDataEntries"/>
            </w:pPr>
            <w:r>
              <w:rPr>
                <w:sz w:val="18"/>
              </w:rPr>
              <w:t xml:space="preserve"> 154.27</w:t>
            </w:r>
          </w:p>
        </w:tc>
      </w:tr>
      <w:tr w:rsidR="007C6A5F" w:rsidTr="009249A8">
        <w:trPr>
          <w:trHeight w:val="230"/>
        </w:trPr>
        <w:tc>
          <w:tcPr>
            <w:tcW w:w="269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Reduced time in hospital/transition care</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szCs w:val="16"/>
              </w:rPr>
              <w:t xml:space="preserve"> 186.88</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szCs w:val="16"/>
              </w:rPr>
              <w:t xml:space="preserve"> 211.45</w:t>
            </w:r>
          </w:p>
        </w:tc>
        <w:tc>
          <w:tcPr>
            <w:tcW w:w="112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szCs w:val="16"/>
              </w:rPr>
              <w:t xml:space="preserve"> 223.04</w:t>
            </w:r>
          </w:p>
        </w:tc>
        <w:tc>
          <w:tcPr>
            <w:tcW w:w="999" w:type="dxa"/>
            <w:tcBorders>
              <w:top w:val="single" w:sz="8" w:space="0" w:color="FFFFFF" w:themeColor="background1"/>
              <w:bottom w:val="single" w:sz="8" w:space="0" w:color="FFFFFF" w:themeColor="background1"/>
            </w:tcBorders>
            <w:shd w:val="clear" w:color="auto" w:fill="E9E8E5" w:themeFill="background2"/>
          </w:tcPr>
          <w:p w:rsidR="007C6A5F" w:rsidRPr="003B39EA" w:rsidRDefault="007C6A5F" w:rsidP="00C36DA4">
            <w:pPr>
              <w:pStyle w:val="TableDataEntries"/>
            </w:pPr>
            <w:r>
              <w:rPr>
                <w:szCs w:val="16"/>
              </w:rPr>
              <w:t xml:space="preserve"> 61.89</w:t>
            </w:r>
          </w:p>
        </w:tc>
        <w:tc>
          <w:tcPr>
            <w:tcW w:w="991" w:type="dxa"/>
            <w:tcBorders>
              <w:top w:val="single" w:sz="8" w:space="0" w:color="FFFFFF" w:themeColor="background1"/>
              <w:bottom w:val="single" w:sz="8" w:space="0" w:color="FFFFFF" w:themeColor="background1"/>
            </w:tcBorders>
            <w:shd w:val="clear" w:color="auto" w:fill="E9E8E5" w:themeFill="background2"/>
          </w:tcPr>
          <w:p w:rsidR="007C6A5F" w:rsidRPr="008A4951" w:rsidRDefault="007C6A5F" w:rsidP="00C36DA4">
            <w:pPr>
              <w:pStyle w:val="TableDataEntries"/>
            </w:pPr>
            <w:r>
              <w:rPr>
                <w:sz w:val="18"/>
              </w:rPr>
              <w:t xml:space="preserve"> 631.05</w:t>
            </w:r>
          </w:p>
        </w:tc>
      </w:tr>
      <w:tr w:rsidR="007C6A5F" w:rsidTr="009249A8">
        <w:trPr>
          <w:trHeight w:val="230"/>
        </w:trPr>
        <w:tc>
          <w:tcPr>
            <w:tcW w:w="269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Reduced costs associated with loneliness</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szCs w:val="16"/>
              </w:rPr>
              <w:t xml:space="preserve"> 154.76</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szCs w:val="16"/>
              </w:rPr>
              <w:t xml:space="preserve"> 175.11</w:t>
            </w:r>
          </w:p>
        </w:tc>
        <w:tc>
          <w:tcPr>
            <w:tcW w:w="112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szCs w:val="16"/>
              </w:rPr>
              <w:t xml:space="preserve"> 184.71</w:t>
            </w:r>
          </w:p>
        </w:tc>
        <w:tc>
          <w:tcPr>
            <w:tcW w:w="999" w:type="dxa"/>
            <w:tcBorders>
              <w:top w:val="single" w:sz="8" w:space="0" w:color="FFFFFF" w:themeColor="background1"/>
              <w:bottom w:val="single" w:sz="8" w:space="0" w:color="FFFFFF" w:themeColor="background1"/>
            </w:tcBorders>
            <w:shd w:val="clear" w:color="auto" w:fill="E9E8E5" w:themeFill="background2"/>
          </w:tcPr>
          <w:p w:rsidR="007C6A5F" w:rsidRPr="003B39EA" w:rsidRDefault="007C6A5F" w:rsidP="00C36DA4">
            <w:pPr>
              <w:pStyle w:val="TableDataEntries"/>
            </w:pPr>
            <w:r>
              <w:rPr>
                <w:szCs w:val="16"/>
              </w:rPr>
              <w:t xml:space="preserve"> 51.26</w:t>
            </w:r>
          </w:p>
        </w:tc>
        <w:tc>
          <w:tcPr>
            <w:tcW w:w="991" w:type="dxa"/>
            <w:tcBorders>
              <w:top w:val="single" w:sz="8" w:space="0" w:color="FFFFFF" w:themeColor="background1"/>
              <w:bottom w:val="single" w:sz="8" w:space="0" w:color="FFFFFF" w:themeColor="background1"/>
            </w:tcBorders>
            <w:shd w:val="clear" w:color="auto" w:fill="E9E8E5" w:themeFill="background2"/>
          </w:tcPr>
          <w:p w:rsidR="007C6A5F" w:rsidRPr="008A4951" w:rsidRDefault="007C6A5F" w:rsidP="00C36DA4">
            <w:pPr>
              <w:pStyle w:val="TableDataEntries"/>
            </w:pPr>
            <w:r>
              <w:rPr>
                <w:sz w:val="18"/>
              </w:rPr>
              <w:t xml:space="preserve"> 522.59</w:t>
            </w:r>
          </w:p>
        </w:tc>
      </w:tr>
      <w:tr w:rsidR="007C6A5F" w:rsidTr="009249A8">
        <w:trPr>
          <w:trHeight w:val="230"/>
        </w:trPr>
        <w:tc>
          <w:tcPr>
            <w:tcW w:w="269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Reduced home modification costs</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477.67</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540.49</w:t>
            </w:r>
          </w:p>
        </w:tc>
        <w:tc>
          <w:tcPr>
            <w:tcW w:w="1127"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570.10</w:t>
            </w:r>
          </w:p>
        </w:tc>
        <w:tc>
          <w:tcPr>
            <w:tcW w:w="999" w:type="dxa"/>
            <w:tcBorders>
              <w:top w:val="single" w:sz="8" w:space="0" w:color="FFFFFF" w:themeColor="background1"/>
              <w:bottom w:val="single" w:sz="8" w:space="0" w:color="FFFFFF" w:themeColor="background1"/>
            </w:tcBorders>
            <w:shd w:val="clear" w:color="auto" w:fill="E9E8E5" w:themeFill="background2"/>
          </w:tcPr>
          <w:p w:rsidR="007C6A5F" w:rsidRPr="002F64BE" w:rsidRDefault="007C6A5F" w:rsidP="00C36DA4">
            <w:pPr>
              <w:pStyle w:val="TableDataEntries"/>
            </w:pPr>
            <w:r>
              <w:rPr>
                <w:szCs w:val="16"/>
              </w:rPr>
              <w:t xml:space="preserve"> 158.20</w:t>
            </w:r>
          </w:p>
        </w:tc>
        <w:tc>
          <w:tcPr>
            <w:tcW w:w="991" w:type="dxa"/>
            <w:tcBorders>
              <w:top w:val="single" w:sz="8" w:space="0" w:color="FFFFFF" w:themeColor="background1"/>
              <w:bottom w:val="single" w:sz="8" w:space="0" w:color="FFFFFF" w:themeColor="background1"/>
            </w:tcBorders>
            <w:shd w:val="clear" w:color="auto" w:fill="E9E8E5" w:themeFill="background2"/>
          </w:tcPr>
          <w:p w:rsidR="007C6A5F" w:rsidRPr="003D65F5" w:rsidRDefault="007C6A5F" w:rsidP="00C36DA4">
            <w:pPr>
              <w:pStyle w:val="TableDataEntries"/>
            </w:pPr>
            <w:r>
              <w:rPr>
                <w:sz w:val="18"/>
              </w:rPr>
              <w:t>1 613.01</w:t>
            </w:r>
          </w:p>
        </w:tc>
      </w:tr>
      <w:tr w:rsidR="007C6A5F" w:rsidTr="009249A8">
        <w:trPr>
          <w:trHeight w:val="230"/>
        </w:trPr>
        <w:tc>
          <w:tcPr>
            <w:tcW w:w="269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Reduced carer-related costs</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557.17</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630.43</w:t>
            </w:r>
          </w:p>
        </w:tc>
        <w:tc>
          <w:tcPr>
            <w:tcW w:w="1127"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664.98</w:t>
            </w:r>
          </w:p>
        </w:tc>
        <w:tc>
          <w:tcPr>
            <w:tcW w:w="999" w:type="dxa"/>
            <w:tcBorders>
              <w:top w:val="single" w:sz="8" w:space="0" w:color="FFFFFF" w:themeColor="background1"/>
              <w:bottom w:val="single" w:sz="8" w:space="0" w:color="FFFFFF" w:themeColor="background1"/>
            </w:tcBorders>
            <w:shd w:val="clear" w:color="auto" w:fill="E9E8E5" w:themeFill="background2"/>
          </w:tcPr>
          <w:p w:rsidR="007C6A5F" w:rsidRPr="002F64BE" w:rsidRDefault="007C6A5F" w:rsidP="00C36DA4">
            <w:pPr>
              <w:pStyle w:val="TableDataEntries"/>
            </w:pPr>
            <w:r>
              <w:rPr>
                <w:szCs w:val="16"/>
              </w:rPr>
              <w:t xml:space="preserve"> 184.53</w:t>
            </w:r>
          </w:p>
        </w:tc>
        <w:tc>
          <w:tcPr>
            <w:tcW w:w="991" w:type="dxa"/>
            <w:tcBorders>
              <w:top w:val="single" w:sz="8" w:space="0" w:color="FFFFFF" w:themeColor="background1"/>
              <w:bottom w:val="single" w:sz="8" w:space="0" w:color="FFFFFF" w:themeColor="background1"/>
            </w:tcBorders>
            <w:shd w:val="clear" w:color="auto" w:fill="E9E8E5" w:themeFill="background2"/>
          </w:tcPr>
          <w:p w:rsidR="007C6A5F" w:rsidRPr="003D65F5" w:rsidRDefault="007C6A5F" w:rsidP="00C36DA4">
            <w:pPr>
              <w:pStyle w:val="TableDataEntries"/>
            </w:pPr>
            <w:r>
              <w:rPr>
                <w:sz w:val="18"/>
              </w:rPr>
              <w:t>1 881.44</w:t>
            </w:r>
          </w:p>
        </w:tc>
      </w:tr>
      <w:tr w:rsidR="007C6A5F" w:rsidTr="009249A8">
        <w:trPr>
          <w:trHeight w:val="230"/>
        </w:trPr>
        <w:tc>
          <w:tcPr>
            <w:tcW w:w="269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Reduced incidence of moving</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22.88</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25.89</w:t>
            </w:r>
          </w:p>
        </w:tc>
        <w:tc>
          <w:tcPr>
            <w:tcW w:w="1127"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27.31</w:t>
            </w:r>
          </w:p>
        </w:tc>
        <w:tc>
          <w:tcPr>
            <w:tcW w:w="999" w:type="dxa"/>
            <w:tcBorders>
              <w:top w:val="single" w:sz="8" w:space="0" w:color="FFFFFF" w:themeColor="background1"/>
              <w:bottom w:val="single" w:sz="8" w:space="0" w:color="FFFFFF" w:themeColor="background1"/>
            </w:tcBorders>
            <w:shd w:val="clear" w:color="auto" w:fill="E9E8E5" w:themeFill="background2"/>
          </w:tcPr>
          <w:p w:rsidR="007C6A5F" w:rsidRPr="002F64BE" w:rsidRDefault="007C6A5F" w:rsidP="00C36DA4">
            <w:pPr>
              <w:pStyle w:val="TableDataEntries"/>
            </w:pPr>
            <w:r>
              <w:rPr>
                <w:szCs w:val="16"/>
              </w:rPr>
              <w:t xml:space="preserve"> 7.58</w:t>
            </w:r>
          </w:p>
        </w:tc>
        <w:tc>
          <w:tcPr>
            <w:tcW w:w="991" w:type="dxa"/>
            <w:tcBorders>
              <w:top w:val="single" w:sz="8" w:space="0" w:color="FFFFFF" w:themeColor="background1"/>
              <w:bottom w:val="single" w:sz="8" w:space="0" w:color="FFFFFF" w:themeColor="background1"/>
            </w:tcBorders>
            <w:shd w:val="clear" w:color="auto" w:fill="E9E8E5" w:themeFill="background2"/>
          </w:tcPr>
          <w:p w:rsidR="007C6A5F" w:rsidRPr="003D65F5" w:rsidRDefault="007C6A5F" w:rsidP="00C36DA4">
            <w:pPr>
              <w:pStyle w:val="TableDataEntries"/>
            </w:pPr>
            <w:r>
              <w:rPr>
                <w:sz w:val="18"/>
              </w:rPr>
              <w:t xml:space="preserve"> 77.27</w:t>
            </w:r>
          </w:p>
        </w:tc>
      </w:tr>
      <w:tr w:rsidR="007C6A5F" w:rsidTr="009249A8">
        <w:trPr>
          <w:trHeight w:val="230"/>
        </w:trPr>
        <w:tc>
          <w:tcPr>
            <w:tcW w:w="269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Reduced premature/inappropriate entry into aged care</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209.54</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237.09</w:t>
            </w:r>
          </w:p>
        </w:tc>
        <w:tc>
          <w:tcPr>
            <w:tcW w:w="1127"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 xml:space="preserve"> 250.09</w:t>
            </w:r>
          </w:p>
        </w:tc>
        <w:tc>
          <w:tcPr>
            <w:tcW w:w="999" w:type="dxa"/>
            <w:tcBorders>
              <w:top w:val="single" w:sz="8" w:space="0" w:color="FFFFFF" w:themeColor="background1"/>
              <w:bottom w:val="single" w:sz="8" w:space="0" w:color="FFFFFF" w:themeColor="background1"/>
            </w:tcBorders>
            <w:shd w:val="clear" w:color="auto" w:fill="E9E8E5" w:themeFill="background2"/>
          </w:tcPr>
          <w:p w:rsidR="007C6A5F" w:rsidRPr="002F64BE" w:rsidRDefault="007C6A5F" w:rsidP="00C36DA4">
            <w:pPr>
              <w:pStyle w:val="TableDataEntries"/>
            </w:pPr>
            <w:r>
              <w:rPr>
                <w:szCs w:val="16"/>
              </w:rPr>
              <w:t xml:space="preserve"> 69.40</w:t>
            </w:r>
          </w:p>
        </w:tc>
        <w:tc>
          <w:tcPr>
            <w:tcW w:w="991" w:type="dxa"/>
            <w:tcBorders>
              <w:top w:val="single" w:sz="8" w:space="0" w:color="FFFFFF" w:themeColor="background1"/>
              <w:bottom w:val="single" w:sz="8" w:space="0" w:color="FFFFFF" w:themeColor="background1"/>
            </w:tcBorders>
            <w:shd w:val="clear" w:color="auto" w:fill="E9E8E5" w:themeFill="background2"/>
          </w:tcPr>
          <w:p w:rsidR="007C6A5F" w:rsidRPr="003D65F5" w:rsidRDefault="007C6A5F" w:rsidP="00C36DA4">
            <w:pPr>
              <w:pStyle w:val="TableDataEntries"/>
            </w:pPr>
            <w:r>
              <w:rPr>
                <w:sz w:val="18"/>
              </w:rPr>
              <w:t xml:space="preserve"> 707.58</w:t>
            </w:r>
          </w:p>
        </w:tc>
      </w:tr>
      <w:tr w:rsidR="007C6A5F" w:rsidTr="009249A8">
        <w:trPr>
          <w:trHeight w:val="230"/>
        </w:trPr>
        <w:tc>
          <w:tcPr>
            <w:tcW w:w="269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Societal benefits</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1 031.33</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1 106.60</w:t>
            </w:r>
          </w:p>
        </w:tc>
        <w:tc>
          <w:tcPr>
            <w:tcW w:w="1127"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1 106.60</w:t>
            </w:r>
          </w:p>
        </w:tc>
        <w:tc>
          <w:tcPr>
            <w:tcW w:w="999" w:type="dxa"/>
            <w:tcBorders>
              <w:top w:val="single" w:sz="8" w:space="0" w:color="FFFFFF" w:themeColor="background1"/>
              <w:bottom w:val="single" w:sz="8" w:space="0" w:color="FFFFFF" w:themeColor="background1"/>
            </w:tcBorders>
            <w:shd w:val="clear" w:color="auto" w:fill="E9E8E5" w:themeFill="background2"/>
          </w:tcPr>
          <w:p w:rsidR="007C6A5F" w:rsidRPr="0086007C" w:rsidRDefault="007C6A5F" w:rsidP="00C36DA4">
            <w:pPr>
              <w:pStyle w:val="TableDataEntries"/>
            </w:pPr>
            <w:r>
              <w:rPr>
                <w:szCs w:val="16"/>
              </w:rPr>
              <w:t xml:space="preserve"> 326.25</w:t>
            </w:r>
          </w:p>
        </w:tc>
        <w:tc>
          <w:tcPr>
            <w:tcW w:w="991" w:type="dxa"/>
            <w:tcBorders>
              <w:top w:val="single" w:sz="8" w:space="0" w:color="FFFFFF" w:themeColor="background1"/>
              <w:bottom w:val="single" w:sz="8" w:space="0" w:color="FFFFFF" w:themeColor="background1"/>
            </w:tcBorders>
            <w:shd w:val="clear" w:color="auto" w:fill="E9E8E5" w:themeFill="background2"/>
          </w:tcPr>
          <w:p w:rsidR="007C6A5F" w:rsidRPr="003D65F5" w:rsidRDefault="007C6A5F" w:rsidP="00C36DA4">
            <w:pPr>
              <w:pStyle w:val="TableDataEntries"/>
            </w:pPr>
            <w:r>
              <w:rPr>
                <w:sz w:val="18"/>
              </w:rPr>
              <w:t>1 900.96</w:t>
            </w:r>
          </w:p>
        </w:tc>
      </w:tr>
      <w:tr w:rsidR="007C6A5F" w:rsidRPr="009249A8" w:rsidTr="009249A8">
        <w:trPr>
          <w:trHeight w:val="230"/>
        </w:trPr>
        <w:tc>
          <w:tcPr>
            <w:tcW w:w="2694" w:type="dxa"/>
            <w:tcBorders>
              <w:top w:val="single" w:sz="8" w:space="0" w:color="FFFFFF" w:themeColor="background1"/>
              <w:bottom w:val="single" w:sz="8" w:space="0" w:color="FFFFFF" w:themeColor="background1"/>
            </w:tcBorders>
            <w:shd w:val="clear" w:color="auto" w:fill="E9E8E5" w:themeFill="background2"/>
          </w:tcPr>
          <w:p w:rsidR="007C6A5F" w:rsidRPr="009249A8" w:rsidRDefault="007C6A5F" w:rsidP="00C36DA4">
            <w:pPr>
              <w:pStyle w:val="TableDataEntries"/>
              <w:jc w:val="left"/>
              <w:rPr>
                <w:rFonts w:ascii="Franklin Gothic Demi" w:hAnsi="Franklin Gothic Demi"/>
                <w:lang w:val="en-GB"/>
              </w:rPr>
            </w:pPr>
            <w:r w:rsidRPr="009249A8">
              <w:rPr>
                <w:rFonts w:ascii="Franklin Gothic Demi" w:hAnsi="Franklin Gothic Demi"/>
                <w:lang w:val="en-GB"/>
              </w:rPr>
              <w:t>Total benefits</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9249A8" w:rsidRDefault="007C6A5F" w:rsidP="00C36DA4">
            <w:pPr>
              <w:pStyle w:val="TableDataEntries"/>
              <w:rPr>
                <w:rFonts w:ascii="Franklin Gothic Demi" w:hAnsi="Franklin Gothic Demi"/>
              </w:rPr>
            </w:pPr>
            <w:r w:rsidRPr="009249A8">
              <w:rPr>
                <w:rFonts w:ascii="Franklin Gothic Demi" w:hAnsi="Franklin Gothic Demi"/>
                <w:bCs/>
                <w:szCs w:val="16"/>
              </w:rPr>
              <w:t>2 685.92</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Pr="009249A8" w:rsidRDefault="007C6A5F" w:rsidP="00C36DA4">
            <w:pPr>
              <w:pStyle w:val="TableDataEntries"/>
              <w:rPr>
                <w:rFonts w:ascii="Franklin Gothic Demi" w:hAnsi="Franklin Gothic Demi"/>
              </w:rPr>
            </w:pPr>
            <w:r w:rsidRPr="009249A8">
              <w:rPr>
                <w:rFonts w:ascii="Franklin Gothic Demi" w:hAnsi="Franklin Gothic Demi"/>
                <w:bCs/>
                <w:szCs w:val="16"/>
              </w:rPr>
              <w:t>2 978.76</w:t>
            </w:r>
          </w:p>
        </w:tc>
        <w:tc>
          <w:tcPr>
            <w:tcW w:w="1127" w:type="dxa"/>
            <w:tcBorders>
              <w:top w:val="single" w:sz="8" w:space="0" w:color="FFFFFF" w:themeColor="background1"/>
              <w:bottom w:val="single" w:sz="8" w:space="0" w:color="FFFFFF" w:themeColor="background1"/>
            </w:tcBorders>
            <w:shd w:val="clear" w:color="auto" w:fill="E9E8E5" w:themeFill="background2"/>
          </w:tcPr>
          <w:p w:rsidR="007C6A5F" w:rsidRPr="009249A8" w:rsidRDefault="007C6A5F" w:rsidP="00C36DA4">
            <w:pPr>
              <w:pStyle w:val="TableDataEntries"/>
              <w:rPr>
                <w:rFonts w:ascii="Franklin Gothic Demi" w:hAnsi="Franklin Gothic Demi"/>
              </w:rPr>
            </w:pPr>
            <w:r w:rsidRPr="009249A8">
              <w:rPr>
                <w:rFonts w:ascii="Franklin Gothic Demi" w:hAnsi="Franklin Gothic Demi"/>
                <w:bCs/>
                <w:szCs w:val="16"/>
              </w:rPr>
              <w:t>3 081.34</w:t>
            </w:r>
          </w:p>
        </w:tc>
        <w:tc>
          <w:tcPr>
            <w:tcW w:w="999" w:type="dxa"/>
            <w:tcBorders>
              <w:top w:val="single" w:sz="8" w:space="0" w:color="FFFFFF" w:themeColor="background1"/>
              <w:bottom w:val="single" w:sz="8" w:space="0" w:color="FFFFFF" w:themeColor="background1"/>
            </w:tcBorders>
            <w:shd w:val="clear" w:color="auto" w:fill="E9E8E5" w:themeFill="background2"/>
          </w:tcPr>
          <w:p w:rsidR="007C6A5F" w:rsidRPr="009249A8" w:rsidRDefault="007C6A5F" w:rsidP="00C36DA4">
            <w:pPr>
              <w:pStyle w:val="TableDataEntries"/>
              <w:rPr>
                <w:rFonts w:ascii="Franklin Gothic Demi" w:hAnsi="Franklin Gothic Demi"/>
              </w:rPr>
            </w:pPr>
            <w:r w:rsidRPr="009249A8">
              <w:rPr>
                <w:rFonts w:ascii="Franklin Gothic Demi" w:hAnsi="Franklin Gothic Demi"/>
                <w:bCs/>
                <w:szCs w:val="16"/>
              </w:rPr>
              <w:t xml:space="preserve"> 874.24</w:t>
            </w:r>
          </w:p>
        </w:tc>
        <w:tc>
          <w:tcPr>
            <w:tcW w:w="991" w:type="dxa"/>
            <w:tcBorders>
              <w:top w:val="single" w:sz="8" w:space="0" w:color="FFFFFF" w:themeColor="background1"/>
              <w:bottom w:val="single" w:sz="8" w:space="0" w:color="FFFFFF" w:themeColor="background1"/>
            </w:tcBorders>
            <w:shd w:val="clear" w:color="auto" w:fill="E9E8E5" w:themeFill="background2"/>
          </w:tcPr>
          <w:p w:rsidR="007C6A5F" w:rsidRPr="009249A8" w:rsidRDefault="007C6A5F" w:rsidP="00C36DA4">
            <w:pPr>
              <w:pStyle w:val="TableDataEntries"/>
              <w:rPr>
                <w:rFonts w:ascii="Franklin Gothic Demi" w:hAnsi="Franklin Gothic Demi"/>
              </w:rPr>
            </w:pPr>
            <w:r w:rsidRPr="009249A8">
              <w:rPr>
                <w:rFonts w:ascii="Franklin Gothic Demi" w:hAnsi="Franklin Gothic Demi"/>
              </w:rPr>
              <w:t>7 488.17</w:t>
            </w:r>
          </w:p>
        </w:tc>
      </w:tr>
      <w:tr w:rsidR="007C6A5F" w:rsidTr="009249A8">
        <w:trPr>
          <w:trHeight w:val="230"/>
        </w:trPr>
        <w:tc>
          <w:tcPr>
            <w:tcW w:w="269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Construction costs</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-1 866.72</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-12 384.81</w:t>
            </w:r>
          </w:p>
        </w:tc>
        <w:tc>
          <w:tcPr>
            <w:tcW w:w="1127"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Pr>
                <w:szCs w:val="16"/>
              </w:rPr>
              <w:t>-15 904.40</w:t>
            </w:r>
          </w:p>
        </w:tc>
        <w:tc>
          <w:tcPr>
            <w:tcW w:w="999" w:type="dxa"/>
            <w:tcBorders>
              <w:top w:val="single" w:sz="8" w:space="0" w:color="FFFFFF" w:themeColor="background1"/>
              <w:bottom w:val="single" w:sz="8" w:space="0" w:color="FFFFFF" w:themeColor="background1"/>
            </w:tcBorders>
            <w:shd w:val="clear" w:color="auto" w:fill="E9E8E5" w:themeFill="background2"/>
          </w:tcPr>
          <w:p w:rsidR="007C6A5F" w:rsidRPr="002F64BE" w:rsidRDefault="007C6A5F" w:rsidP="00C36DA4">
            <w:pPr>
              <w:pStyle w:val="TableDataEntries"/>
            </w:pPr>
            <w:r>
              <w:rPr>
                <w:szCs w:val="16"/>
              </w:rPr>
              <w:t>-3 602.32</w:t>
            </w:r>
          </w:p>
        </w:tc>
        <w:tc>
          <w:tcPr>
            <w:tcW w:w="991" w:type="dxa"/>
            <w:tcBorders>
              <w:top w:val="single" w:sz="8" w:space="0" w:color="FFFFFF" w:themeColor="background1"/>
              <w:bottom w:val="single" w:sz="8" w:space="0" w:color="FFFFFF" w:themeColor="background1"/>
            </w:tcBorders>
            <w:shd w:val="clear" w:color="auto" w:fill="E9E8E5" w:themeFill="background2"/>
          </w:tcPr>
          <w:p w:rsidR="007C6A5F" w:rsidRPr="003D65F5" w:rsidRDefault="007C6A5F" w:rsidP="00C36DA4">
            <w:pPr>
              <w:pStyle w:val="TableDataEntries"/>
            </w:pPr>
            <w:r w:rsidRPr="003D65F5">
              <w:t xml:space="preserve"> 0.00</w:t>
            </w:r>
          </w:p>
        </w:tc>
      </w:tr>
      <w:tr w:rsidR="007C6A5F" w:rsidTr="009249A8">
        <w:trPr>
          <w:trHeight w:val="230"/>
        </w:trPr>
        <w:tc>
          <w:tcPr>
            <w:tcW w:w="269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Opportunity cost of space</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C36DA4">
            <w:pPr>
              <w:pStyle w:val="TableDataEntries"/>
              <w:rPr>
                <w:szCs w:val="16"/>
              </w:rPr>
            </w:pPr>
            <w:r>
              <w:rPr>
                <w:szCs w:val="16"/>
              </w:rPr>
              <w:t>-1 571.81</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C36DA4">
            <w:pPr>
              <w:pStyle w:val="TableDataEntries"/>
              <w:rPr>
                <w:szCs w:val="16"/>
              </w:rPr>
            </w:pPr>
            <w:r>
              <w:rPr>
                <w:szCs w:val="16"/>
              </w:rPr>
              <w:t>-8 831.55</w:t>
            </w:r>
          </w:p>
        </w:tc>
        <w:tc>
          <w:tcPr>
            <w:tcW w:w="1127"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C36DA4">
            <w:pPr>
              <w:pStyle w:val="TableDataEntries"/>
              <w:rPr>
                <w:szCs w:val="16"/>
              </w:rPr>
            </w:pPr>
            <w:r>
              <w:rPr>
                <w:szCs w:val="16"/>
              </w:rPr>
              <w:t>-11 162.57</w:t>
            </w:r>
          </w:p>
        </w:tc>
        <w:tc>
          <w:tcPr>
            <w:tcW w:w="999" w:type="dxa"/>
            <w:tcBorders>
              <w:top w:val="single" w:sz="8" w:space="0" w:color="FFFFFF" w:themeColor="background1"/>
              <w:bottom w:val="single" w:sz="8" w:space="0" w:color="FFFFFF" w:themeColor="background1"/>
            </w:tcBorders>
            <w:shd w:val="clear" w:color="auto" w:fill="E9E8E5" w:themeFill="background2"/>
          </w:tcPr>
          <w:p w:rsidR="007C6A5F" w:rsidRPr="002F64BE" w:rsidRDefault="007C6A5F" w:rsidP="00C36DA4">
            <w:pPr>
              <w:pStyle w:val="TableDataEntries"/>
            </w:pPr>
            <w:r>
              <w:rPr>
                <w:szCs w:val="16"/>
              </w:rPr>
              <w:t>-6 541.11</w:t>
            </w:r>
          </w:p>
        </w:tc>
        <w:tc>
          <w:tcPr>
            <w:tcW w:w="991" w:type="dxa"/>
            <w:tcBorders>
              <w:top w:val="single" w:sz="8" w:space="0" w:color="FFFFFF" w:themeColor="background1"/>
              <w:bottom w:val="single" w:sz="8" w:space="0" w:color="FFFFFF" w:themeColor="background1"/>
            </w:tcBorders>
            <w:shd w:val="clear" w:color="auto" w:fill="E9E8E5" w:themeFill="background2"/>
          </w:tcPr>
          <w:p w:rsidR="007C6A5F" w:rsidRPr="003D65F5" w:rsidRDefault="007C6A5F" w:rsidP="00C36DA4">
            <w:pPr>
              <w:pStyle w:val="TableDataEntries"/>
            </w:pPr>
            <w:r w:rsidRPr="003D65F5">
              <w:t xml:space="preserve"> 0.00</w:t>
            </w:r>
          </w:p>
        </w:tc>
      </w:tr>
      <w:tr w:rsidR="007C6A5F" w:rsidTr="009249A8">
        <w:trPr>
          <w:trHeight w:val="230"/>
        </w:trPr>
        <w:tc>
          <w:tcPr>
            <w:tcW w:w="269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Industry re-training costs</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sidRPr="003D65F5">
              <w:t>- 28.47</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sidRPr="003D65F5">
              <w:t>- 28.47</w:t>
            </w:r>
          </w:p>
        </w:tc>
        <w:tc>
          <w:tcPr>
            <w:tcW w:w="1127"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sidRPr="003D65F5">
              <w:t>- 28.47</w:t>
            </w:r>
          </w:p>
        </w:tc>
        <w:tc>
          <w:tcPr>
            <w:tcW w:w="999" w:type="dxa"/>
            <w:tcBorders>
              <w:top w:val="single" w:sz="8" w:space="0" w:color="FFFFFF" w:themeColor="background1"/>
              <w:bottom w:val="single" w:sz="8" w:space="0" w:color="FFFFFF" w:themeColor="background1"/>
            </w:tcBorders>
            <w:shd w:val="clear" w:color="auto" w:fill="E9E8E5" w:themeFill="background2"/>
          </w:tcPr>
          <w:p w:rsidR="007C6A5F" w:rsidRPr="002F64BE" w:rsidRDefault="007C6A5F" w:rsidP="00C36DA4">
            <w:pPr>
              <w:pStyle w:val="TableDataEntries"/>
            </w:pPr>
            <w:r>
              <w:rPr>
                <w:szCs w:val="16"/>
              </w:rPr>
              <w:t>- 28.47</w:t>
            </w:r>
          </w:p>
        </w:tc>
        <w:tc>
          <w:tcPr>
            <w:tcW w:w="991" w:type="dxa"/>
            <w:tcBorders>
              <w:top w:val="single" w:sz="8" w:space="0" w:color="FFFFFF" w:themeColor="background1"/>
              <w:bottom w:val="single" w:sz="8" w:space="0" w:color="FFFFFF" w:themeColor="background1"/>
            </w:tcBorders>
            <w:shd w:val="clear" w:color="auto" w:fill="E9E8E5" w:themeFill="background2"/>
          </w:tcPr>
          <w:p w:rsidR="007C6A5F" w:rsidRPr="003D65F5" w:rsidRDefault="007C6A5F" w:rsidP="00C36DA4">
            <w:pPr>
              <w:pStyle w:val="TableDataEntries"/>
            </w:pPr>
            <w:r w:rsidRPr="003D65F5">
              <w:t xml:space="preserve"> 0.00</w:t>
            </w:r>
          </w:p>
        </w:tc>
      </w:tr>
      <w:tr w:rsidR="007C6A5F" w:rsidTr="009249A8">
        <w:trPr>
          <w:trHeight w:val="230"/>
        </w:trPr>
        <w:tc>
          <w:tcPr>
            <w:tcW w:w="269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Subsidy</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sidRPr="003D65F5">
              <w:t xml:space="preserve"> 0.00</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sidRPr="003D65F5">
              <w:t xml:space="preserve"> 0.00</w:t>
            </w:r>
          </w:p>
        </w:tc>
        <w:tc>
          <w:tcPr>
            <w:tcW w:w="1127"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pPr>
            <w:r w:rsidRPr="003D65F5">
              <w:t xml:space="preserve"> 0.00</w:t>
            </w:r>
          </w:p>
        </w:tc>
        <w:tc>
          <w:tcPr>
            <w:tcW w:w="999" w:type="dxa"/>
            <w:tcBorders>
              <w:top w:val="single" w:sz="8" w:space="0" w:color="FFFFFF" w:themeColor="background1"/>
              <w:bottom w:val="single" w:sz="8" w:space="0" w:color="FFFFFF" w:themeColor="background1"/>
            </w:tcBorders>
            <w:shd w:val="clear" w:color="auto" w:fill="E9E8E5" w:themeFill="background2"/>
          </w:tcPr>
          <w:p w:rsidR="007C6A5F" w:rsidRPr="002F64BE" w:rsidRDefault="007C6A5F" w:rsidP="00C36DA4">
            <w:pPr>
              <w:pStyle w:val="TableDataEntries"/>
            </w:pPr>
            <w:r>
              <w:rPr>
                <w:szCs w:val="16"/>
              </w:rPr>
              <w:t xml:space="preserve"> 0.00</w:t>
            </w:r>
          </w:p>
        </w:tc>
        <w:tc>
          <w:tcPr>
            <w:tcW w:w="991" w:type="dxa"/>
            <w:tcBorders>
              <w:top w:val="single" w:sz="8" w:space="0" w:color="FFFFFF" w:themeColor="background1"/>
              <w:bottom w:val="single" w:sz="8" w:space="0" w:color="FFFFFF" w:themeColor="background1"/>
            </w:tcBorders>
            <w:shd w:val="clear" w:color="auto" w:fill="E9E8E5" w:themeFill="background2"/>
          </w:tcPr>
          <w:p w:rsidR="007C6A5F" w:rsidRPr="003D65F5" w:rsidRDefault="007C6A5F" w:rsidP="00C36DA4">
            <w:pPr>
              <w:pStyle w:val="TableDataEntries"/>
            </w:pPr>
            <w:r w:rsidRPr="003D65F5">
              <w:t>-7 455.55</w:t>
            </w:r>
          </w:p>
        </w:tc>
      </w:tr>
      <w:tr w:rsidR="007C6A5F" w:rsidRPr="009249A8" w:rsidTr="009249A8">
        <w:trPr>
          <w:trHeight w:val="230"/>
        </w:trPr>
        <w:tc>
          <w:tcPr>
            <w:tcW w:w="2694" w:type="dxa"/>
            <w:tcBorders>
              <w:top w:val="single" w:sz="8" w:space="0" w:color="FFFFFF" w:themeColor="background1"/>
              <w:bottom w:val="single" w:sz="8" w:space="0" w:color="FFFFFF" w:themeColor="background1"/>
            </w:tcBorders>
            <w:shd w:val="clear" w:color="auto" w:fill="E9E8E5" w:themeFill="background2"/>
          </w:tcPr>
          <w:p w:rsidR="007C6A5F" w:rsidRPr="009249A8" w:rsidRDefault="007C6A5F" w:rsidP="00C36DA4">
            <w:pPr>
              <w:pStyle w:val="TableDataEntries"/>
              <w:jc w:val="left"/>
              <w:rPr>
                <w:rFonts w:ascii="Franklin Gothic Demi" w:hAnsi="Franklin Gothic Demi"/>
                <w:lang w:val="en-GB"/>
              </w:rPr>
            </w:pPr>
            <w:r w:rsidRPr="009249A8">
              <w:rPr>
                <w:rFonts w:ascii="Franklin Gothic Demi" w:hAnsi="Franklin Gothic Demi"/>
                <w:lang w:val="en-GB"/>
              </w:rPr>
              <w:t>Total costs</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9249A8" w:rsidRDefault="007C6A5F" w:rsidP="00C36DA4">
            <w:pPr>
              <w:pStyle w:val="TableDataEntries"/>
              <w:rPr>
                <w:rFonts w:ascii="Franklin Gothic Demi" w:hAnsi="Franklin Gothic Demi"/>
                <w:szCs w:val="16"/>
              </w:rPr>
            </w:pPr>
            <w:r w:rsidRPr="009249A8">
              <w:rPr>
                <w:rFonts w:ascii="Franklin Gothic Demi" w:hAnsi="Franklin Gothic Demi"/>
                <w:bCs/>
                <w:szCs w:val="16"/>
              </w:rPr>
              <w:t>-3 467.00</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Pr="009249A8" w:rsidRDefault="007C6A5F" w:rsidP="00C36DA4">
            <w:pPr>
              <w:pStyle w:val="TableDataEntries"/>
              <w:rPr>
                <w:rFonts w:ascii="Franklin Gothic Demi" w:hAnsi="Franklin Gothic Demi"/>
                <w:szCs w:val="16"/>
              </w:rPr>
            </w:pPr>
            <w:r w:rsidRPr="009249A8">
              <w:rPr>
                <w:rFonts w:ascii="Franklin Gothic Demi" w:hAnsi="Franklin Gothic Demi"/>
                <w:bCs/>
                <w:szCs w:val="16"/>
              </w:rPr>
              <w:t>-21 244.83</w:t>
            </w:r>
          </w:p>
        </w:tc>
        <w:tc>
          <w:tcPr>
            <w:tcW w:w="1127" w:type="dxa"/>
            <w:tcBorders>
              <w:top w:val="single" w:sz="8" w:space="0" w:color="FFFFFF" w:themeColor="background1"/>
              <w:bottom w:val="single" w:sz="8" w:space="0" w:color="FFFFFF" w:themeColor="background1"/>
            </w:tcBorders>
            <w:shd w:val="clear" w:color="auto" w:fill="E9E8E5" w:themeFill="background2"/>
          </w:tcPr>
          <w:p w:rsidR="007C6A5F" w:rsidRPr="009249A8" w:rsidRDefault="007C6A5F" w:rsidP="00C36DA4">
            <w:pPr>
              <w:pStyle w:val="TableDataEntries"/>
              <w:rPr>
                <w:rFonts w:ascii="Franklin Gothic Demi" w:hAnsi="Franklin Gothic Demi"/>
                <w:szCs w:val="16"/>
              </w:rPr>
            </w:pPr>
            <w:r w:rsidRPr="009249A8">
              <w:rPr>
                <w:rFonts w:ascii="Franklin Gothic Demi" w:hAnsi="Franklin Gothic Demi"/>
                <w:bCs/>
                <w:szCs w:val="16"/>
              </w:rPr>
              <w:t>-27 095.43</w:t>
            </w:r>
          </w:p>
        </w:tc>
        <w:tc>
          <w:tcPr>
            <w:tcW w:w="999" w:type="dxa"/>
            <w:tcBorders>
              <w:top w:val="single" w:sz="8" w:space="0" w:color="FFFFFF" w:themeColor="background1"/>
              <w:bottom w:val="single" w:sz="8" w:space="0" w:color="FFFFFF" w:themeColor="background1"/>
            </w:tcBorders>
            <w:shd w:val="clear" w:color="auto" w:fill="E9E8E5" w:themeFill="background2"/>
          </w:tcPr>
          <w:p w:rsidR="007C6A5F" w:rsidRPr="009249A8" w:rsidRDefault="007C6A5F" w:rsidP="00C36DA4">
            <w:pPr>
              <w:pStyle w:val="TableDataEntries"/>
              <w:rPr>
                <w:rFonts w:ascii="Franklin Gothic Demi" w:hAnsi="Franklin Gothic Demi"/>
              </w:rPr>
            </w:pPr>
            <w:r w:rsidRPr="009249A8">
              <w:rPr>
                <w:rFonts w:ascii="Franklin Gothic Demi" w:hAnsi="Franklin Gothic Demi"/>
                <w:bCs/>
                <w:szCs w:val="16"/>
              </w:rPr>
              <w:t>-10 171.90</w:t>
            </w:r>
          </w:p>
        </w:tc>
        <w:tc>
          <w:tcPr>
            <w:tcW w:w="991" w:type="dxa"/>
            <w:tcBorders>
              <w:top w:val="single" w:sz="8" w:space="0" w:color="FFFFFF" w:themeColor="background1"/>
              <w:bottom w:val="single" w:sz="8" w:space="0" w:color="FFFFFF" w:themeColor="background1"/>
            </w:tcBorders>
            <w:shd w:val="clear" w:color="auto" w:fill="E9E8E5" w:themeFill="background2"/>
          </w:tcPr>
          <w:p w:rsidR="007C6A5F" w:rsidRPr="009249A8" w:rsidRDefault="007C6A5F" w:rsidP="00C36DA4">
            <w:pPr>
              <w:pStyle w:val="TableDataEntries"/>
              <w:rPr>
                <w:rFonts w:ascii="Franklin Gothic Demi" w:hAnsi="Franklin Gothic Demi"/>
              </w:rPr>
            </w:pPr>
            <w:r w:rsidRPr="009249A8">
              <w:rPr>
                <w:rFonts w:ascii="Franklin Gothic Demi" w:hAnsi="Franklin Gothic Demi"/>
              </w:rPr>
              <w:t>-7 455.55</w:t>
            </w:r>
          </w:p>
        </w:tc>
      </w:tr>
      <w:tr w:rsidR="007C6A5F" w:rsidRPr="009249A8" w:rsidTr="009249A8">
        <w:trPr>
          <w:trHeight w:val="230"/>
        </w:trPr>
        <w:tc>
          <w:tcPr>
            <w:tcW w:w="2694" w:type="dxa"/>
            <w:tcBorders>
              <w:top w:val="single" w:sz="8" w:space="0" w:color="FFFFFF" w:themeColor="background1"/>
              <w:bottom w:val="single" w:sz="4" w:space="0" w:color="6F6652" w:themeColor="accent5"/>
            </w:tcBorders>
            <w:shd w:val="clear" w:color="auto" w:fill="C2DADB" w:themeFill="accent6" w:themeFillTint="99"/>
          </w:tcPr>
          <w:p w:rsidR="007C6A5F" w:rsidRPr="009249A8" w:rsidRDefault="007C6A5F" w:rsidP="00C36DA4">
            <w:pPr>
              <w:pStyle w:val="TableDataEntries"/>
              <w:jc w:val="left"/>
              <w:rPr>
                <w:rFonts w:ascii="Franklin Gothic Demi" w:hAnsi="Franklin Gothic Demi"/>
                <w:lang w:val="en-GB"/>
              </w:rPr>
            </w:pPr>
            <w:r w:rsidRPr="009249A8">
              <w:rPr>
                <w:rFonts w:ascii="Franklin Gothic Demi" w:hAnsi="Franklin Gothic Demi"/>
                <w:lang w:val="en-GB"/>
              </w:rPr>
              <w:t>Net benefit/costs</w:t>
            </w:r>
          </w:p>
        </w:tc>
        <w:tc>
          <w:tcPr>
            <w:tcW w:w="992" w:type="dxa"/>
            <w:tcBorders>
              <w:top w:val="single" w:sz="8" w:space="0" w:color="FFFFFF" w:themeColor="background1"/>
              <w:bottom w:val="single" w:sz="4" w:space="0" w:color="6F6652" w:themeColor="accent5"/>
            </w:tcBorders>
            <w:shd w:val="clear" w:color="auto" w:fill="C2DADB" w:themeFill="accent6" w:themeFillTint="99"/>
          </w:tcPr>
          <w:p w:rsidR="007C6A5F" w:rsidRPr="009249A8" w:rsidRDefault="007C6A5F" w:rsidP="00C36DA4">
            <w:pPr>
              <w:pStyle w:val="TableDataEntries"/>
              <w:rPr>
                <w:rFonts w:ascii="Franklin Gothic Demi" w:hAnsi="Franklin Gothic Demi"/>
                <w:szCs w:val="16"/>
              </w:rPr>
            </w:pPr>
            <w:r w:rsidRPr="009249A8">
              <w:rPr>
                <w:rFonts w:ascii="Franklin Gothic Demi" w:hAnsi="Franklin Gothic Demi"/>
                <w:bCs/>
                <w:szCs w:val="16"/>
              </w:rPr>
              <w:t>- 781.09</w:t>
            </w:r>
          </w:p>
        </w:tc>
        <w:tc>
          <w:tcPr>
            <w:tcW w:w="1134" w:type="dxa"/>
            <w:tcBorders>
              <w:top w:val="single" w:sz="8" w:space="0" w:color="FFFFFF" w:themeColor="background1"/>
              <w:bottom w:val="single" w:sz="4" w:space="0" w:color="6F6652" w:themeColor="accent5"/>
            </w:tcBorders>
            <w:shd w:val="clear" w:color="auto" w:fill="C2DADB" w:themeFill="accent6" w:themeFillTint="99"/>
          </w:tcPr>
          <w:p w:rsidR="007C6A5F" w:rsidRPr="009249A8" w:rsidRDefault="007C6A5F" w:rsidP="00C36DA4">
            <w:pPr>
              <w:pStyle w:val="TableDataEntries"/>
              <w:rPr>
                <w:rFonts w:ascii="Franklin Gothic Demi" w:hAnsi="Franklin Gothic Demi"/>
                <w:szCs w:val="16"/>
              </w:rPr>
            </w:pPr>
            <w:r w:rsidRPr="009249A8">
              <w:rPr>
                <w:rFonts w:ascii="Franklin Gothic Demi" w:hAnsi="Franklin Gothic Demi"/>
                <w:bCs/>
                <w:szCs w:val="16"/>
              </w:rPr>
              <w:t>-18 266.07</w:t>
            </w:r>
          </w:p>
        </w:tc>
        <w:tc>
          <w:tcPr>
            <w:tcW w:w="1127" w:type="dxa"/>
            <w:tcBorders>
              <w:top w:val="single" w:sz="8" w:space="0" w:color="FFFFFF" w:themeColor="background1"/>
              <w:bottom w:val="single" w:sz="4" w:space="0" w:color="6F6652" w:themeColor="accent5"/>
            </w:tcBorders>
            <w:shd w:val="clear" w:color="auto" w:fill="C2DADB" w:themeFill="accent6" w:themeFillTint="99"/>
          </w:tcPr>
          <w:p w:rsidR="007C6A5F" w:rsidRPr="009249A8" w:rsidRDefault="007C6A5F" w:rsidP="00C36DA4">
            <w:pPr>
              <w:pStyle w:val="TableDataEntries"/>
              <w:rPr>
                <w:rFonts w:ascii="Franklin Gothic Demi" w:hAnsi="Franklin Gothic Demi"/>
                <w:szCs w:val="16"/>
              </w:rPr>
            </w:pPr>
            <w:r w:rsidRPr="009249A8">
              <w:rPr>
                <w:rFonts w:ascii="Franklin Gothic Demi" w:hAnsi="Franklin Gothic Demi"/>
                <w:bCs/>
                <w:szCs w:val="16"/>
              </w:rPr>
              <w:t>-24 014.09</w:t>
            </w:r>
          </w:p>
        </w:tc>
        <w:tc>
          <w:tcPr>
            <w:tcW w:w="999" w:type="dxa"/>
            <w:tcBorders>
              <w:top w:val="single" w:sz="8" w:space="0" w:color="FFFFFF" w:themeColor="background1"/>
              <w:bottom w:val="single" w:sz="4" w:space="0" w:color="6F6652" w:themeColor="accent5"/>
            </w:tcBorders>
            <w:shd w:val="clear" w:color="auto" w:fill="C2DADB" w:themeFill="accent6" w:themeFillTint="99"/>
          </w:tcPr>
          <w:p w:rsidR="007C6A5F" w:rsidRPr="009249A8" w:rsidRDefault="007C6A5F" w:rsidP="00C36DA4">
            <w:pPr>
              <w:pStyle w:val="TableDataEntries"/>
              <w:rPr>
                <w:rFonts w:ascii="Franklin Gothic Demi" w:hAnsi="Franklin Gothic Demi"/>
              </w:rPr>
            </w:pPr>
            <w:r w:rsidRPr="009249A8">
              <w:rPr>
                <w:rFonts w:ascii="Franklin Gothic Demi" w:hAnsi="Franklin Gothic Demi"/>
                <w:bCs/>
                <w:szCs w:val="16"/>
              </w:rPr>
              <w:t>-9 297.66</w:t>
            </w:r>
          </w:p>
        </w:tc>
        <w:tc>
          <w:tcPr>
            <w:tcW w:w="991" w:type="dxa"/>
            <w:tcBorders>
              <w:top w:val="single" w:sz="8" w:space="0" w:color="FFFFFF" w:themeColor="background1"/>
              <w:bottom w:val="single" w:sz="4" w:space="0" w:color="6F6652" w:themeColor="accent5"/>
            </w:tcBorders>
            <w:shd w:val="clear" w:color="auto" w:fill="C2DADB" w:themeFill="accent6" w:themeFillTint="99"/>
          </w:tcPr>
          <w:p w:rsidR="007C6A5F" w:rsidRPr="009249A8" w:rsidRDefault="007C6A5F" w:rsidP="00C36DA4">
            <w:pPr>
              <w:pStyle w:val="TableDataEntries"/>
              <w:rPr>
                <w:rFonts w:ascii="Franklin Gothic Demi" w:hAnsi="Franklin Gothic Demi"/>
              </w:rPr>
            </w:pPr>
            <w:r w:rsidRPr="009249A8">
              <w:rPr>
                <w:rFonts w:ascii="Franklin Gothic Demi" w:hAnsi="Franklin Gothic Demi"/>
              </w:rPr>
              <w:t xml:space="preserve"> 32.62</w:t>
            </w:r>
          </w:p>
        </w:tc>
      </w:tr>
    </w:tbl>
    <w:p w:rsidR="007C6A5F" w:rsidRPr="00585AEC" w:rsidRDefault="007C6A5F" w:rsidP="007C6A5F">
      <w:pPr>
        <w:pStyle w:val="Note"/>
        <w:rPr>
          <w:iCs/>
        </w:rPr>
      </w:pPr>
      <w:r w:rsidRPr="00B46BCC">
        <w:rPr>
          <w:rStyle w:val="NoteLabel"/>
          <w:color w:val="auto"/>
        </w:rPr>
        <w:t>a</w:t>
      </w:r>
      <w:r w:rsidRPr="00585AEC">
        <w:rPr>
          <w:iCs/>
        </w:rPr>
        <w:t xml:space="preserve"> </w:t>
      </w:r>
      <w:r>
        <w:rPr>
          <w:iCs/>
        </w:rPr>
        <w:t>During targeted consultations, most stakeholders agreed that Gold standard dwellings (under Option 2) would be suitable for most disabilities. Although the Gold + standard (Option 3) provides additional accessibility features (which may provide some benefits), it does not address any additional problem that is not addressed by a Gold standard dwelling. As this approach focuses on addressing identified problems, the estimated benefits of Option 3 are the same as Option 2.</w:t>
      </w:r>
    </w:p>
    <w:p w:rsidR="007C6A5F" w:rsidRDefault="007C6A5F" w:rsidP="007C6A5F">
      <w:pPr>
        <w:pStyle w:val="Note"/>
        <w:rPr>
          <w:lang w:bidi="fa-IR"/>
        </w:rPr>
      </w:pPr>
      <w:r w:rsidRPr="007D1B4F">
        <w:rPr>
          <w:i/>
        </w:rPr>
        <w:t>Note:</w:t>
      </w:r>
      <w:r w:rsidRPr="00E879B8">
        <w:t xml:space="preserve"> </w:t>
      </w:r>
      <w:r>
        <w:t>Costs and benefits are presented in net present value terms covering a 10</w:t>
      </w:r>
      <w:r>
        <w:noBreakHyphen/>
        <w:t>year regulatory period from 2022 to 2031, using a discount rate of 7 per cent. Benefits are extended out an additional 30 years, reflecting the flow of benefits over the life of dwellings constructed during the regulatory period.</w:t>
      </w:r>
    </w:p>
    <w:p w:rsidR="007C6A5F" w:rsidRDefault="007C6A5F" w:rsidP="007C6A5F">
      <w:pPr>
        <w:pStyle w:val="Source"/>
        <w:rPr>
          <w:lang w:bidi="fa-IR"/>
        </w:rPr>
      </w:pPr>
      <w:r w:rsidRPr="00F1055E">
        <w:rPr>
          <w:i/>
          <w:lang w:bidi="fa-IR"/>
        </w:rPr>
        <w:t>Source:</w:t>
      </w:r>
      <w:r>
        <w:rPr>
          <w:lang w:bidi="fa-IR"/>
        </w:rPr>
        <w:t xml:space="preserve"> CIE estimates.</w:t>
      </w:r>
    </w:p>
    <w:p w:rsidR="007C6A5F" w:rsidRDefault="007C6A5F" w:rsidP="007C6A5F">
      <w:pPr>
        <w:pStyle w:val="BodyText"/>
        <w:rPr>
          <w:lang w:bidi="fa-IR"/>
        </w:rPr>
      </w:pPr>
      <w:r>
        <w:rPr>
          <w:lang w:bidi="fa-IR"/>
        </w:rPr>
        <w:t>Key findings from the CBA are as follows.</w:t>
      </w:r>
    </w:p>
    <w:p w:rsidR="007C6A5F" w:rsidRDefault="007C6A5F" w:rsidP="005A6F87">
      <w:pPr>
        <w:pStyle w:val="ListBullet"/>
        <w:numPr>
          <w:ilvl w:val="0"/>
          <w:numId w:val="17"/>
        </w:numPr>
        <w:rPr>
          <w:lang w:bidi="fa-IR"/>
        </w:rPr>
      </w:pPr>
      <w:r>
        <w:rPr>
          <w:lang w:bidi="fa-IR"/>
        </w:rPr>
        <w:t>Under this approach, Option 1 (Silver) has the highest benefit</w:t>
      </w:r>
      <w:r>
        <w:rPr>
          <w:lang w:bidi="fa-IR"/>
        </w:rPr>
        <w:noBreakHyphen/>
        <w:t>cost ratio of the regulatory options (</w:t>
      </w:r>
      <w:r w:rsidRPr="00BB0599">
        <w:rPr>
          <w:lang w:bidi="fa-IR"/>
        </w:rPr>
        <w:t xml:space="preserve">around </w:t>
      </w:r>
      <w:r>
        <w:rPr>
          <w:lang w:bidi="fa-IR"/>
        </w:rPr>
        <w:t>0.77), though would impose a net cost on the community.</w:t>
      </w:r>
    </w:p>
    <w:p w:rsidR="007C6A5F" w:rsidRDefault="007C6A5F" w:rsidP="005A6F87">
      <w:pPr>
        <w:pStyle w:val="ListBullet"/>
        <w:numPr>
          <w:ilvl w:val="0"/>
          <w:numId w:val="17"/>
        </w:numPr>
        <w:rPr>
          <w:lang w:bidi="fa-IR"/>
        </w:rPr>
      </w:pPr>
      <w:r>
        <w:rPr>
          <w:lang w:bidi="fa-IR"/>
        </w:rPr>
        <w:lastRenderedPageBreak/>
        <w:t>Option 2 (Gold) and Option 3 (Gold+) are estimated to impose significant net costs on the community.</w:t>
      </w:r>
    </w:p>
    <w:p w:rsidR="007C6A5F" w:rsidRPr="008A4951" w:rsidRDefault="007C6A5F" w:rsidP="005A6F87">
      <w:pPr>
        <w:pStyle w:val="ListBullet"/>
        <w:numPr>
          <w:ilvl w:val="0"/>
          <w:numId w:val="17"/>
        </w:numPr>
        <w:rPr>
          <w:lang w:eastAsia="en-US" w:bidi="fa-IR"/>
        </w:rPr>
      </w:pPr>
      <w:r>
        <w:rPr>
          <w:lang w:eastAsia="en-US" w:bidi="fa-IR"/>
        </w:rPr>
        <w:t>A subsidy program (similar in design to SDA under the NDIS) is a more targeted approach to addressing specific elements of the problem, such as the lack of accessible housing for renters is estimated to broadly break-even.</w:t>
      </w:r>
    </w:p>
    <w:p w:rsidR="007C6A5F" w:rsidRDefault="007C6A5F" w:rsidP="007C6A5F">
      <w:pPr>
        <w:pStyle w:val="Heading3"/>
        <w:numPr>
          <w:ilvl w:val="2"/>
          <w:numId w:val="5"/>
        </w:numPr>
        <w:rPr>
          <w:lang w:bidi="fa-IR"/>
        </w:rPr>
      </w:pPr>
      <w:r>
        <w:rPr>
          <w:lang w:bidi="fa-IR"/>
        </w:rPr>
        <w:t>Cost-benefit analysis using the WTP approach</w:t>
      </w:r>
    </w:p>
    <w:p w:rsidR="007C6A5F" w:rsidRDefault="007C6A5F" w:rsidP="009249A8">
      <w:pPr>
        <w:pStyle w:val="BodyText"/>
        <w:spacing w:before="100"/>
        <w:rPr>
          <w:lang w:bidi="fa-IR"/>
        </w:rPr>
      </w:pPr>
      <w:r>
        <w:rPr>
          <w:lang w:bidi="fa-IR"/>
        </w:rPr>
        <w:t xml:space="preserve">The CBA results, where the benefits are estimated based on survey evidence of the community’s stated ‘willingness to pay’ for particular accessibility features, are shown in </w:t>
      </w:r>
      <w:r w:rsidRPr="00722839">
        <w:rPr>
          <w:lang w:bidi="fa-IR"/>
        </w:rPr>
        <w:t>table </w:t>
      </w:r>
      <w:r>
        <w:rPr>
          <w:lang w:bidi="fa-IR"/>
        </w:rPr>
        <w:fldChar w:fldCharType="begin"/>
      </w:r>
      <w:r>
        <w:rPr>
          <w:lang w:bidi="fa-IR"/>
        </w:rPr>
        <w:instrText xml:space="preserve"> REF _Caption2776 </w:instrText>
      </w:r>
      <w:r>
        <w:rPr>
          <w:lang w:bidi="fa-IR"/>
        </w:rPr>
        <w:fldChar w:fldCharType="separate"/>
      </w:r>
      <w:r>
        <w:rPr>
          <w:noProof/>
        </w:rPr>
        <w:t>7</w:t>
      </w:r>
      <w:r w:rsidRPr="00695C93">
        <w:rPr>
          <w:noProof/>
        </w:rPr>
        <w:t>.</w:t>
      </w:r>
      <w:r>
        <w:rPr>
          <w:noProof/>
        </w:rPr>
        <w:t>3</w:t>
      </w:r>
      <w:r>
        <w:rPr>
          <w:lang w:bidi="fa-IR"/>
        </w:rPr>
        <w:fldChar w:fldCharType="end"/>
      </w:r>
      <w:r w:rsidRPr="00722839">
        <w:rPr>
          <w:lang w:bidi="fa-IR"/>
        </w:rPr>
        <w:t xml:space="preserve">. </w:t>
      </w:r>
      <w:r>
        <w:rPr>
          <w:lang w:bidi="fa-IR"/>
        </w:rPr>
        <w:t>Consistent with the problem-reduction approach, we assume a 10 year regulatory period from 2022, with benefits extended out an additional 30 years to reflect the flow of benefits over the life of the dwelling. All costs, including space-related costs, are the same as those used under the problem-reduction approach.</w:t>
      </w:r>
    </w:p>
    <w:p w:rsidR="007C6A5F" w:rsidRDefault="007C6A5F" w:rsidP="007C6A5F">
      <w:pPr>
        <w:pStyle w:val="BodyText"/>
        <w:rPr>
          <w:lang w:bidi="fa-IR"/>
        </w:rPr>
      </w:pPr>
      <w:r>
        <w:rPr>
          <w:lang w:bidi="fa-IR"/>
        </w:rPr>
        <w:t xml:space="preserve">Under the WTP approach, the benefits to the community from accessible housing are significantly higher than under the ‘problem reduction approach’ (see above). </w:t>
      </w:r>
    </w:p>
    <w:p w:rsidR="007C6A5F" w:rsidRDefault="007C6A5F" w:rsidP="005A6F87">
      <w:pPr>
        <w:pStyle w:val="ListBullet"/>
        <w:numPr>
          <w:ilvl w:val="0"/>
          <w:numId w:val="17"/>
        </w:numPr>
        <w:rPr>
          <w:lang w:bidi="fa-IR"/>
        </w:rPr>
      </w:pPr>
      <w:r>
        <w:rPr>
          <w:lang w:bidi="fa-IR"/>
        </w:rPr>
        <w:t>Option 1 (Silver) is estimated to deliver a net benefit (relative to baseline)</w:t>
      </w:r>
      <w:r w:rsidR="00467315">
        <w:rPr>
          <w:lang w:bidi="fa-IR"/>
        </w:rPr>
        <w:t xml:space="preserve">. </w:t>
      </w:r>
      <w:r>
        <w:rPr>
          <w:lang w:bidi="fa-IR"/>
        </w:rPr>
        <w:t>The benefit-cost ratio is 2.39.</w:t>
      </w:r>
    </w:p>
    <w:p w:rsidR="007C6A5F" w:rsidRDefault="007C6A5F" w:rsidP="005A6F87">
      <w:pPr>
        <w:pStyle w:val="ListBullet"/>
        <w:numPr>
          <w:ilvl w:val="0"/>
          <w:numId w:val="17"/>
        </w:numPr>
        <w:rPr>
          <w:lang w:bidi="fa-IR"/>
        </w:rPr>
      </w:pPr>
      <w:r>
        <w:rPr>
          <w:lang w:bidi="fa-IR"/>
        </w:rPr>
        <w:t>As for the ‘problem reduction approach’, Option 2 (Gold) and Option 3 (Gold+) are estimated to deliver a net cost to the community.</w:t>
      </w:r>
    </w:p>
    <w:p w:rsidR="007C6A5F" w:rsidRDefault="007C6A5F" w:rsidP="005A6F87">
      <w:pPr>
        <w:pStyle w:val="ListBullet"/>
        <w:numPr>
          <w:ilvl w:val="0"/>
          <w:numId w:val="17"/>
        </w:numPr>
        <w:rPr>
          <w:lang w:bidi="fa-IR"/>
        </w:rPr>
      </w:pPr>
      <w:r>
        <w:rPr>
          <w:lang w:bidi="fa-IR"/>
        </w:rPr>
        <w:t>Option 4 and Option 5 are also estimated to impose a net cost on the community under this approach.</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rsidRPr="00695C93">
        <w:instrText xml:space="preserve">." </w:instrText>
      </w:r>
      <w:r w:rsidRPr="00695C93">
        <w:fldChar w:fldCharType="separate"/>
      </w:r>
      <w:r>
        <w:rPr>
          <w:noProof/>
        </w:rPr>
        <w:instrText>7</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7</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3</w:instrText>
      </w:r>
      <w:r w:rsidRPr="00695C93">
        <w:fldChar w:fldCharType="end"/>
      </w:r>
      <w:r w:rsidRPr="00695C93">
        <w:instrText xml:space="preserve">" "" </w:instrText>
      </w:r>
      <w:r w:rsidRPr="00695C93">
        <w:fldChar w:fldCharType="separate"/>
      </w:r>
      <w:bookmarkStart w:id="6237" w:name="_Caption5896"/>
      <w:bookmarkStart w:id="6238" w:name="_Caption3274"/>
      <w:bookmarkStart w:id="6239" w:name="_Caption3836"/>
      <w:bookmarkStart w:id="6240" w:name="_Caption8579"/>
      <w:bookmarkStart w:id="6241" w:name="_Caption8143"/>
      <w:bookmarkStart w:id="6242" w:name="_Caption0016"/>
      <w:bookmarkStart w:id="6243" w:name="_Caption3829"/>
      <w:bookmarkStart w:id="6244" w:name="_Caption9730"/>
      <w:bookmarkStart w:id="6245" w:name="_Caption4893"/>
      <w:bookmarkStart w:id="6246" w:name="_Caption5301"/>
      <w:bookmarkStart w:id="6247" w:name="_Caption6949"/>
      <w:bookmarkStart w:id="6248" w:name="_Caption7583"/>
      <w:bookmarkStart w:id="6249" w:name="_Caption9770"/>
      <w:bookmarkStart w:id="6250" w:name="_Caption8494"/>
      <w:bookmarkStart w:id="6251" w:name="_Caption1287"/>
      <w:bookmarkStart w:id="6252" w:name="_Caption1693"/>
      <w:bookmarkStart w:id="6253" w:name="_Caption2047"/>
      <w:bookmarkStart w:id="6254" w:name="_Caption1642"/>
      <w:bookmarkStart w:id="6255" w:name="_Caption6469"/>
      <w:bookmarkStart w:id="6256" w:name="_Caption5763"/>
      <w:bookmarkStart w:id="6257" w:name="_Caption5269"/>
      <w:bookmarkStart w:id="6258" w:name="_Caption9751"/>
      <w:bookmarkStart w:id="6259" w:name="_Caption6494"/>
      <w:bookmarkStart w:id="6260" w:name="_Caption0602"/>
      <w:bookmarkStart w:id="6261" w:name="_Caption8775"/>
      <w:bookmarkStart w:id="6262" w:name="_Caption5256"/>
      <w:bookmarkStart w:id="6263" w:name="_Caption0796"/>
      <w:bookmarkStart w:id="6264" w:name="_Caption6294"/>
      <w:bookmarkStart w:id="6265" w:name="_Caption6635"/>
      <w:bookmarkStart w:id="6266" w:name="_Caption2231"/>
      <w:bookmarkStart w:id="6267" w:name="_Caption0858"/>
      <w:bookmarkStart w:id="6268" w:name="_Caption1777"/>
      <w:bookmarkStart w:id="6269" w:name="_Caption0632"/>
      <w:bookmarkStart w:id="6270" w:name="_Caption7262"/>
      <w:bookmarkStart w:id="6271" w:name="_Caption4045"/>
      <w:bookmarkStart w:id="6272" w:name="_Caption7845"/>
      <w:bookmarkStart w:id="6273" w:name="_Caption4655"/>
      <w:bookmarkStart w:id="6274" w:name="_Caption9547"/>
      <w:bookmarkStart w:id="6275" w:name="_Caption2808"/>
      <w:bookmarkStart w:id="6276" w:name="_Caption9401"/>
      <w:bookmarkStart w:id="6277" w:name="_Caption3898"/>
      <w:bookmarkStart w:id="6278" w:name="_Caption1976"/>
      <w:bookmarkStart w:id="6279" w:name="_Caption0563"/>
      <w:bookmarkStart w:id="6280" w:name="_Caption8562"/>
      <w:bookmarkStart w:id="6281" w:name="_Caption7088"/>
      <w:bookmarkStart w:id="6282" w:name="_Caption9102"/>
      <w:bookmarkStart w:id="6283" w:name="_Caption4625"/>
      <w:bookmarkStart w:id="6284" w:name="_Caption5359"/>
      <w:bookmarkStart w:id="6285" w:name="_Caption3988"/>
      <w:bookmarkStart w:id="6286" w:name="_Caption4283"/>
      <w:bookmarkStart w:id="6287" w:name="_Caption3390"/>
      <w:bookmarkStart w:id="6288" w:name="_Caption7463"/>
      <w:bookmarkStart w:id="6289" w:name="_Caption8204"/>
      <w:bookmarkStart w:id="6290" w:name="_Caption9586"/>
      <w:bookmarkStart w:id="6291" w:name="_Caption8977"/>
      <w:bookmarkStart w:id="6292" w:name="_Caption1005"/>
      <w:bookmarkStart w:id="6293" w:name="_Caption6852"/>
      <w:bookmarkStart w:id="6294" w:name="_Caption9796"/>
      <w:bookmarkStart w:id="6295" w:name="_Caption4509"/>
      <w:bookmarkStart w:id="6296" w:name="_Caption2776"/>
      <w:bookmarkStart w:id="6297" w:name="_Caption8278"/>
      <w:bookmarkStart w:id="6298" w:name="_Caption2541"/>
      <w:bookmarkStart w:id="6299" w:name="_Caption0592"/>
      <w:bookmarkStart w:id="6300" w:name="_Caption5949"/>
      <w:bookmarkStart w:id="6301" w:name="_Caption5598"/>
      <w:bookmarkStart w:id="6302" w:name="_Caption8093"/>
      <w:bookmarkStart w:id="6303" w:name="_Caption5813"/>
      <w:bookmarkStart w:id="6304" w:name="_Toc32321857"/>
      <w:bookmarkStart w:id="6305" w:name="_Toc44598556"/>
      <w:bookmarkStart w:id="6306" w:name="_Toc45654187"/>
      <w:r w:rsidR="00272AF3">
        <w:rPr>
          <w:noProof/>
        </w:rPr>
        <w:t>7</w:t>
      </w:r>
      <w:r w:rsidR="00272AF3" w:rsidRPr="00695C93">
        <w:rPr>
          <w:noProof/>
        </w:rPr>
        <w:t>.</w:t>
      </w:r>
      <w:r w:rsidR="00272AF3">
        <w:rPr>
          <w:noProof/>
        </w:rPr>
        <w:t>3</w:t>
      </w:r>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r w:rsidRPr="00695C93">
        <w:fldChar w:fldCharType="end"/>
      </w:r>
      <w:r w:rsidRPr="00695C93">
        <w:tab/>
      </w:r>
      <w:r>
        <w:t>Estimated net benefits/costs – willingness to pay approach</w:t>
      </w:r>
      <w:bookmarkEnd w:id="6304"/>
      <w:bookmarkEnd w:id="6305"/>
      <w:bookmarkEnd w:id="6306"/>
    </w:p>
    <w:tbl>
      <w:tblPr>
        <w:tblStyle w:val="TableGridLight"/>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7.3"/>
        <w:tblDescription w:val="Estimated net benefits/costs – willingness to pay approach"/>
      </w:tblPr>
      <w:tblGrid>
        <w:gridCol w:w="2962"/>
        <w:gridCol w:w="995"/>
        <w:gridCol w:w="1005"/>
        <w:gridCol w:w="1134"/>
        <w:gridCol w:w="992"/>
        <w:gridCol w:w="992"/>
      </w:tblGrid>
      <w:tr w:rsidR="007C6A5F" w:rsidTr="009249A8">
        <w:trPr>
          <w:trHeight w:val="230"/>
          <w:tblHeader/>
        </w:trPr>
        <w:tc>
          <w:tcPr>
            <w:tcW w:w="2962" w:type="dxa"/>
            <w:shd w:val="clear" w:color="auto" w:fill="6F6652" w:themeFill="accent5"/>
          </w:tcPr>
          <w:p w:rsidR="007C6A5F" w:rsidRDefault="00242552" w:rsidP="00C36DA4">
            <w:pPr>
              <w:pStyle w:val="TableDataColumnHeading"/>
              <w:jc w:val="left"/>
              <w:rPr>
                <w:lang w:val="en-GB"/>
              </w:rPr>
            </w:pPr>
            <w:r>
              <w:rPr>
                <w:lang w:val="en-GB"/>
              </w:rPr>
              <w:t>Benefits/</w:t>
            </w:r>
            <w:r w:rsidR="00E36B6D">
              <w:rPr>
                <w:lang w:val="en-GB"/>
              </w:rPr>
              <w:t>C</w:t>
            </w:r>
            <w:r w:rsidR="00F80080">
              <w:rPr>
                <w:lang w:val="en-GB"/>
              </w:rPr>
              <w:t>osts/</w:t>
            </w:r>
            <w:r w:rsidR="00E36B6D">
              <w:rPr>
                <w:lang w:val="en-GB"/>
              </w:rPr>
              <w:t>N</w:t>
            </w:r>
            <w:r>
              <w:rPr>
                <w:lang w:val="en-GB"/>
              </w:rPr>
              <w:t xml:space="preserve">et </w:t>
            </w:r>
            <w:r w:rsidR="00F80080">
              <w:rPr>
                <w:lang w:val="en-GB"/>
              </w:rPr>
              <w:t>benefits</w:t>
            </w:r>
          </w:p>
        </w:tc>
        <w:tc>
          <w:tcPr>
            <w:tcW w:w="995" w:type="dxa"/>
            <w:shd w:val="clear" w:color="auto" w:fill="6F6652" w:themeFill="accent5"/>
          </w:tcPr>
          <w:p w:rsidR="007C6A5F" w:rsidRDefault="007C6A5F" w:rsidP="00C36DA4">
            <w:pPr>
              <w:pStyle w:val="TableDataColumnHeading"/>
              <w:rPr>
                <w:lang w:val="en-GB"/>
              </w:rPr>
            </w:pPr>
            <w:r>
              <w:rPr>
                <w:lang w:val="en-GB"/>
              </w:rPr>
              <w:t>Option 1</w:t>
            </w:r>
          </w:p>
          <w:p w:rsidR="0031383F" w:rsidRDefault="0031383F" w:rsidP="00C36DA4">
            <w:pPr>
              <w:pStyle w:val="TableDataColumnHeading"/>
              <w:rPr>
                <w:lang w:val="en-GB"/>
              </w:rPr>
            </w:pPr>
            <w:r>
              <w:rPr>
                <w:lang w:val="en-GB"/>
              </w:rPr>
              <w:t>($ million)</w:t>
            </w:r>
          </w:p>
        </w:tc>
        <w:tc>
          <w:tcPr>
            <w:tcW w:w="1005" w:type="dxa"/>
            <w:shd w:val="clear" w:color="auto" w:fill="6F6652" w:themeFill="accent5"/>
          </w:tcPr>
          <w:p w:rsidR="007C6A5F" w:rsidRDefault="007C6A5F" w:rsidP="00C36DA4">
            <w:pPr>
              <w:pStyle w:val="TableDataColumnHeading"/>
              <w:rPr>
                <w:lang w:val="en-GB"/>
              </w:rPr>
            </w:pPr>
            <w:r>
              <w:rPr>
                <w:lang w:val="en-GB"/>
              </w:rPr>
              <w:t>Option 2</w:t>
            </w:r>
          </w:p>
          <w:p w:rsidR="0031383F" w:rsidRDefault="0031383F" w:rsidP="00C36DA4">
            <w:pPr>
              <w:pStyle w:val="TableDataColumnHeading"/>
              <w:rPr>
                <w:lang w:val="en-GB"/>
              </w:rPr>
            </w:pPr>
            <w:r>
              <w:rPr>
                <w:lang w:val="en-GB"/>
              </w:rPr>
              <w:t>($ million)</w:t>
            </w:r>
          </w:p>
        </w:tc>
        <w:tc>
          <w:tcPr>
            <w:tcW w:w="1134" w:type="dxa"/>
            <w:shd w:val="clear" w:color="auto" w:fill="6F6652" w:themeFill="accent5"/>
          </w:tcPr>
          <w:p w:rsidR="007C6A5F" w:rsidRDefault="007C6A5F" w:rsidP="00C36DA4">
            <w:pPr>
              <w:pStyle w:val="TableDataColumnHeading"/>
              <w:rPr>
                <w:lang w:val="en-GB"/>
              </w:rPr>
            </w:pPr>
            <w:r>
              <w:rPr>
                <w:lang w:val="en-GB"/>
              </w:rPr>
              <w:t>Option 3</w:t>
            </w:r>
          </w:p>
          <w:p w:rsidR="0031383F" w:rsidRDefault="0031383F" w:rsidP="00C36DA4">
            <w:pPr>
              <w:pStyle w:val="TableDataColumnHeading"/>
              <w:rPr>
                <w:lang w:val="en-GB"/>
              </w:rPr>
            </w:pPr>
            <w:r>
              <w:rPr>
                <w:lang w:val="en-GB"/>
              </w:rPr>
              <w:t>($ million)</w:t>
            </w:r>
          </w:p>
        </w:tc>
        <w:tc>
          <w:tcPr>
            <w:tcW w:w="992" w:type="dxa"/>
            <w:shd w:val="clear" w:color="auto" w:fill="6F6652" w:themeFill="accent5"/>
          </w:tcPr>
          <w:p w:rsidR="007C6A5F" w:rsidRDefault="007C6A5F" w:rsidP="00C36DA4">
            <w:pPr>
              <w:pStyle w:val="TableDataColumnHeading"/>
              <w:rPr>
                <w:lang w:val="en-GB"/>
              </w:rPr>
            </w:pPr>
            <w:r>
              <w:rPr>
                <w:lang w:val="en-GB"/>
              </w:rPr>
              <w:t>Option 4</w:t>
            </w:r>
          </w:p>
          <w:p w:rsidR="0031383F" w:rsidRDefault="0031383F" w:rsidP="00C36DA4">
            <w:pPr>
              <w:pStyle w:val="TableDataColumnHeading"/>
              <w:rPr>
                <w:lang w:val="en-GB"/>
              </w:rPr>
            </w:pPr>
            <w:r>
              <w:rPr>
                <w:lang w:val="en-GB"/>
              </w:rPr>
              <w:t>($ million)</w:t>
            </w:r>
          </w:p>
        </w:tc>
        <w:tc>
          <w:tcPr>
            <w:tcW w:w="992" w:type="dxa"/>
            <w:shd w:val="clear" w:color="auto" w:fill="6F6652" w:themeFill="accent5"/>
          </w:tcPr>
          <w:p w:rsidR="007C6A5F" w:rsidRDefault="007C6A5F" w:rsidP="00C36DA4">
            <w:pPr>
              <w:pStyle w:val="TableDataColumnHeading"/>
              <w:rPr>
                <w:lang w:val="en-GB"/>
              </w:rPr>
            </w:pPr>
            <w:r>
              <w:rPr>
                <w:lang w:val="en-GB"/>
              </w:rPr>
              <w:t>Option 5</w:t>
            </w:r>
          </w:p>
          <w:p w:rsidR="0031383F" w:rsidRDefault="0031383F" w:rsidP="00C36DA4">
            <w:pPr>
              <w:pStyle w:val="TableDataColumnHeading"/>
              <w:rPr>
                <w:lang w:val="en-GB"/>
              </w:rPr>
            </w:pPr>
            <w:r>
              <w:rPr>
                <w:lang w:val="en-GB"/>
              </w:rPr>
              <w:t>($ million)</w:t>
            </w:r>
          </w:p>
        </w:tc>
      </w:tr>
      <w:tr w:rsidR="007C6A5F" w:rsidTr="009249A8">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Getting in and out</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0830DA">
              <w:t xml:space="preserve"> 0.00</w:t>
            </w:r>
          </w:p>
        </w:tc>
        <w:tc>
          <w:tcPr>
            <w:tcW w:w="100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0830DA">
              <w:t xml:space="preserve"> 0.00</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0830DA">
              <w:t xml:space="preserve"> 0.00</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0830DA">
              <w:t xml:space="preserve"> 0.00</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0830DA">
              <w:t xml:space="preserve"> 0.00</w:t>
            </w:r>
          </w:p>
        </w:tc>
      </w:tr>
      <w:tr w:rsidR="007C6A5F" w:rsidTr="009249A8">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Moving around indoors</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0830DA">
              <w:t>5 354.20</w:t>
            </w:r>
          </w:p>
        </w:tc>
        <w:tc>
          <w:tcPr>
            <w:tcW w:w="100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0830DA">
              <w:t>7 335.76</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0830DA">
              <w:t>7 335.76</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0830DA">
              <w:t>2 191.92</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0830DA">
              <w:t>2 462.30</w:t>
            </w:r>
          </w:p>
        </w:tc>
      </w:tr>
      <w:tr w:rsidR="007C6A5F" w:rsidTr="009249A8">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Living with limited mobility on same level as an entrance</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0830DA">
              <w:t xml:space="preserve"> 330.27</w:t>
            </w:r>
          </w:p>
        </w:tc>
        <w:tc>
          <w:tcPr>
            <w:tcW w:w="100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0830DA">
              <w:t>1 558.63</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0830DA">
              <w:t>1 558.63</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0830DA">
              <w:t xml:space="preserve"> 0.00</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0830DA">
              <w:t xml:space="preserve"> 605.54</w:t>
            </w:r>
          </w:p>
        </w:tc>
      </w:tr>
      <w:tr w:rsidR="007C6A5F" w:rsidTr="009249A8">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Minimal modification required for ageing in place</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0830DA">
              <w:t xml:space="preserve"> 0.00</w:t>
            </w:r>
          </w:p>
        </w:tc>
        <w:tc>
          <w:tcPr>
            <w:tcW w:w="100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0830DA">
              <w:t>6 423.79</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0830DA">
              <w:t>6 423.79</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0830DA">
              <w:t>1 919.42</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0830DA">
              <w:t>1 685.88</w:t>
            </w:r>
          </w:p>
        </w:tc>
      </w:tr>
      <w:tr w:rsidR="007C6A5F" w:rsidTr="009249A8">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Societal benefits</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Pr>
                <w:szCs w:val="16"/>
              </w:rPr>
              <w:t>1 031.33</w:t>
            </w:r>
          </w:p>
        </w:tc>
        <w:tc>
          <w:tcPr>
            <w:tcW w:w="1005"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Pr>
                <w:szCs w:val="16"/>
              </w:rPr>
              <w:t>1 106.60</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Pr>
                <w:szCs w:val="16"/>
              </w:rPr>
              <w:t>1 106.60</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Pr>
                <w:szCs w:val="16"/>
              </w:rPr>
              <w:t xml:space="preserve"> 326.25</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C36DA4">
            <w:pPr>
              <w:pStyle w:val="TableDataEntries"/>
              <w:rPr>
                <w:highlight w:val="yellow"/>
                <w:lang w:val="en-GB"/>
              </w:rPr>
            </w:pPr>
            <w:r w:rsidRPr="000830DA">
              <w:t>1 900.96</w:t>
            </w:r>
          </w:p>
        </w:tc>
      </w:tr>
      <w:tr w:rsidR="007C6A5F" w:rsidRPr="009249A8" w:rsidTr="009249A8">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Pr="009249A8" w:rsidRDefault="007C6A5F" w:rsidP="00C36DA4">
            <w:pPr>
              <w:pStyle w:val="TableDataEntries"/>
              <w:jc w:val="left"/>
              <w:rPr>
                <w:rFonts w:ascii="Franklin Gothic Demi" w:hAnsi="Franklin Gothic Demi"/>
                <w:lang w:val="en-GB"/>
              </w:rPr>
            </w:pPr>
            <w:r w:rsidRPr="009249A8">
              <w:rPr>
                <w:rFonts w:ascii="Franklin Gothic Demi" w:hAnsi="Franklin Gothic Demi"/>
                <w:lang w:val="en-GB"/>
              </w:rPr>
              <w:t>Total benefits</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9249A8" w:rsidRDefault="007C6A5F" w:rsidP="00C36DA4">
            <w:pPr>
              <w:pStyle w:val="TableDataEntries"/>
              <w:rPr>
                <w:rFonts w:ascii="Franklin Gothic Demi" w:hAnsi="Franklin Gothic Demi"/>
                <w:highlight w:val="yellow"/>
                <w:lang w:val="en-GB"/>
              </w:rPr>
            </w:pPr>
            <w:r w:rsidRPr="009249A8">
              <w:rPr>
                <w:rFonts w:ascii="Franklin Gothic Demi" w:hAnsi="Franklin Gothic Demi"/>
                <w:bCs/>
                <w:szCs w:val="16"/>
              </w:rPr>
              <w:t>6 715.81</w:t>
            </w:r>
          </w:p>
        </w:tc>
        <w:tc>
          <w:tcPr>
            <w:tcW w:w="1005" w:type="dxa"/>
            <w:tcBorders>
              <w:top w:val="single" w:sz="8" w:space="0" w:color="FFFFFF" w:themeColor="background1"/>
              <w:bottom w:val="single" w:sz="8" w:space="0" w:color="FFFFFF" w:themeColor="background1"/>
            </w:tcBorders>
            <w:shd w:val="clear" w:color="auto" w:fill="E9E8E5" w:themeFill="background2"/>
          </w:tcPr>
          <w:p w:rsidR="007C6A5F" w:rsidRPr="009249A8" w:rsidRDefault="007C6A5F" w:rsidP="00C36DA4">
            <w:pPr>
              <w:pStyle w:val="TableDataEntries"/>
              <w:rPr>
                <w:rFonts w:ascii="Franklin Gothic Demi" w:hAnsi="Franklin Gothic Demi"/>
                <w:highlight w:val="yellow"/>
                <w:lang w:val="en-GB"/>
              </w:rPr>
            </w:pPr>
            <w:r w:rsidRPr="009249A8">
              <w:rPr>
                <w:rFonts w:ascii="Franklin Gothic Demi" w:hAnsi="Franklin Gothic Demi"/>
                <w:bCs/>
                <w:szCs w:val="16"/>
              </w:rPr>
              <w:t>16 424.79</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Pr="009249A8" w:rsidRDefault="007C6A5F" w:rsidP="00C36DA4">
            <w:pPr>
              <w:pStyle w:val="TableDataEntries"/>
              <w:rPr>
                <w:rFonts w:ascii="Franklin Gothic Demi" w:hAnsi="Franklin Gothic Demi"/>
                <w:highlight w:val="yellow"/>
                <w:lang w:val="en-GB"/>
              </w:rPr>
            </w:pPr>
            <w:r w:rsidRPr="009249A8">
              <w:rPr>
                <w:rFonts w:ascii="Franklin Gothic Demi" w:hAnsi="Franklin Gothic Demi"/>
                <w:bCs/>
                <w:szCs w:val="16"/>
              </w:rPr>
              <w:t>16 424.79</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9249A8" w:rsidRDefault="007C6A5F" w:rsidP="00C36DA4">
            <w:pPr>
              <w:pStyle w:val="TableDataEntries"/>
              <w:rPr>
                <w:rFonts w:ascii="Franklin Gothic Demi" w:hAnsi="Franklin Gothic Demi"/>
                <w:highlight w:val="yellow"/>
                <w:lang w:val="en-GB"/>
              </w:rPr>
            </w:pPr>
            <w:r w:rsidRPr="009249A8">
              <w:rPr>
                <w:rFonts w:ascii="Franklin Gothic Demi" w:hAnsi="Franklin Gothic Demi"/>
                <w:bCs/>
                <w:szCs w:val="16"/>
              </w:rPr>
              <w:t>4 437.60</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9249A8" w:rsidRDefault="007C6A5F" w:rsidP="00C36DA4">
            <w:pPr>
              <w:pStyle w:val="TableDataEntries"/>
              <w:rPr>
                <w:rFonts w:ascii="Franklin Gothic Demi" w:hAnsi="Franklin Gothic Demi"/>
                <w:highlight w:val="yellow"/>
                <w:lang w:val="en-GB"/>
              </w:rPr>
            </w:pPr>
            <w:r w:rsidRPr="009249A8">
              <w:rPr>
                <w:rFonts w:ascii="Franklin Gothic Demi" w:hAnsi="Franklin Gothic Demi"/>
              </w:rPr>
              <w:t>6 654.68</w:t>
            </w:r>
          </w:p>
        </w:tc>
      </w:tr>
      <w:tr w:rsidR="007C6A5F" w:rsidTr="009249A8">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Construction costs</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szCs w:val="16"/>
              </w:rPr>
              <w:t>-1 866.72</w:t>
            </w:r>
          </w:p>
        </w:tc>
        <w:tc>
          <w:tcPr>
            <w:tcW w:w="10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szCs w:val="16"/>
              </w:rPr>
              <w:t>-12 384.81</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szCs w:val="16"/>
              </w:rPr>
              <w:t>-15 904.40</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szCs w:val="16"/>
              </w:rPr>
              <w:t>-3 602.32</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sidRPr="000830DA">
              <w:t xml:space="preserve"> 0.00</w:t>
            </w:r>
          </w:p>
        </w:tc>
      </w:tr>
      <w:tr w:rsidR="007C6A5F" w:rsidTr="009249A8">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Opportunity cost of space</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C36DA4">
            <w:pPr>
              <w:pStyle w:val="TableDataEntries"/>
              <w:rPr>
                <w:szCs w:val="16"/>
                <w:lang w:val="en-GB"/>
              </w:rPr>
            </w:pPr>
            <w:r>
              <w:rPr>
                <w:szCs w:val="16"/>
              </w:rPr>
              <w:t>-1 571.81</w:t>
            </w:r>
          </w:p>
        </w:tc>
        <w:tc>
          <w:tcPr>
            <w:tcW w:w="1005"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C36DA4">
            <w:pPr>
              <w:pStyle w:val="TableDataEntries"/>
              <w:rPr>
                <w:szCs w:val="16"/>
                <w:lang w:val="en-GB"/>
              </w:rPr>
            </w:pPr>
            <w:r>
              <w:rPr>
                <w:szCs w:val="16"/>
              </w:rPr>
              <w:t>-8 831.55</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C36DA4">
            <w:pPr>
              <w:pStyle w:val="TableDataEntries"/>
              <w:rPr>
                <w:szCs w:val="16"/>
                <w:lang w:val="en-GB"/>
              </w:rPr>
            </w:pPr>
            <w:r>
              <w:rPr>
                <w:szCs w:val="16"/>
              </w:rPr>
              <w:t>-11 162.57</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C36DA4">
            <w:pPr>
              <w:pStyle w:val="TableDataEntries"/>
              <w:rPr>
                <w:szCs w:val="16"/>
                <w:lang w:val="en-GB"/>
              </w:rPr>
            </w:pPr>
            <w:r>
              <w:rPr>
                <w:szCs w:val="16"/>
              </w:rPr>
              <w:t>-6 541.11</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sidRPr="000830DA">
              <w:t xml:space="preserve"> 0.00</w:t>
            </w:r>
          </w:p>
        </w:tc>
      </w:tr>
      <w:tr w:rsidR="007C6A5F" w:rsidTr="009249A8">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Industry re-training costs</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sidRPr="000830DA">
              <w:t>- 28.47</w:t>
            </w:r>
          </w:p>
        </w:tc>
        <w:tc>
          <w:tcPr>
            <w:tcW w:w="10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sidRPr="000830DA">
              <w:t>- 28.47</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sidRPr="000830DA">
              <w:t>- 28.47</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sidRPr="000830DA">
              <w:t>- 28.47</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sidRPr="000830DA">
              <w:t xml:space="preserve"> 0.00</w:t>
            </w:r>
          </w:p>
        </w:tc>
      </w:tr>
      <w:tr w:rsidR="007C6A5F" w:rsidTr="009249A8">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Subsidy</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rsidRPr="000830DA">
              <w:t xml:space="preserve"> 0.00</w:t>
            </w:r>
          </w:p>
        </w:tc>
        <w:tc>
          <w:tcPr>
            <w:tcW w:w="10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rsidRPr="000830DA">
              <w:t xml:space="preserve"> 0.00</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rsidRPr="000830DA">
              <w:t xml:space="preserve"> 0.00</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rsidRPr="000830DA">
              <w:t xml:space="preserve"> 0.00</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pPr>
            <w:r w:rsidRPr="000830DA">
              <w:t>-7 455.55</w:t>
            </w:r>
          </w:p>
        </w:tc>
      </w:tr>
      <w:tr w:rsidR="007C6A5F" w:rsidRPr="009249A8" w:rsidTr="009249A8">
        <w:trPr>
          <w:trHeight w:val="230"/>
        </w:trPr>
        <w:tc>
          <w:tcPr>
            <w:tcW w:w="2962" w:type="dxa"/>
            <w:tcBorders>
              <w:top w:val="single" w:sz="8" w:space="0" w:color="FFFFFF" w:themeColor="background1"/>
              <w:bottom w:val="single" w:sz="8" w:space="0" w:color="FFFFFF" w:themeColor="background1"/>
            </w:tcBorders>
            <w:shd w:val="clear" w:color="auto" w:fill="E9E8E5" w:themeFill="background2"/>
          </w:tcPr>
          <w:p w:rsidR="007C6A5F" w:rsidRPr="009249A8" w:rsidRDefault="007C6A5F" w:rsidP="00C36DA4">
            <w:pPr>
              <w:pStyle w:val="TableDataEntries"/>
              <w:jc w:val="left"/>
              <w:rPr>
                <w:rFonts w:ascii="Franklin Gothic Demi" w:hAnsi="Franklin Gothic Demi"/>
                <w:lang w:val="en-GB"/>
              </w:rPr>
            </w:pPr>
            <w:r w:rsidRPr="009249A8">
              <w:rPr>
                <w:rFonts w:ascii="Franklin Gothic Demi" w:hAnsi="Franklin Gothic Demi"/>
                <w:lang w:val="en-GB"/>
              </w:rPr>
              <w:t>Total costs</w:t>
            </w:r>
          </w:p>
        </w:tc>
        <w:tc>
          <w:tcPr>
            <w:tcW w:w="995" w:type="dxa"/>
            <w:tcBorders>
              <w:top w:val="single" w:sz="8" w:space="0" w:color="FFFFFF" w:themeColor="background1"/>
              <w:bottom w:val="single" w:sz="8" w:space="0" w:color="FFFFFF" w:themeColor="background1"/>
            </w:tcBorders>
            <w:shd w:val="clear" w:color="auto" w:fill="E9E8E5" w:themeFill="background2"/>
          </w:tcPr>
          <w:p w:rsidR="007C6A5F" w:rsidRPr="009249A8" w:rsidRDefault="007C6A5F" w:rsidP="00C36DA4">
            <w:pPr>
              <w:pStyle w:val="TableDataEntries"/>
              <w:rPr>
                <w:rFonts w:ascii="Franklin Gothic Demi" w:hAnsi="Franklin Gothic Demi"/>
                <w:szCs w:val="16"/>
                <w:lang w:val="en-GB"/>
              </w:rPr>
            </w:pPr>
            <w:r w:rsidRPr="009249A8">
              <w:rPr>
                <w:rFonts w:ascii="Franklin Gothic Demi" w:hAnsi="Franklin Gothic Demi"/>
                <w:bCs/>
                <w:szCs w:val="16"/>
              </w:rPr>
              <w:t>-3 467.00</w:t>
            </w:r>
          </w:p>
        </w:tc>
        <w:tc>
          <w:tcPr>
            <w:tcW w:w="1005" w:type="dxa"/>
            <w:tcBorders>
              <w:top w:val="single" w:sz="8" w:space="0" w:color="FFFFFF" w:themeColor="background1"/>
              <w:bottom w:val="single" w:sz="8" w:space="0" w:color="FFFFFF" w:themeColor="background1"/>
            </w:tcBorders>
            <w:shd w:val="clear" w:color="auto" w:fill="E9E8E5" w:themeFill="background2"/>
          </w:tcPr>
          <w:p w:rsidR="007C6A5F" w:rsidRPr="009249A8" w:rsidRDefault="007C6A5F" w:rsidP="00C36DA4">
            <w:pPr>
              <w:pStyle w:val="TableDataEntries"/>
              <w:rPr>
                <w:rFonts w:ascii="Franklin Gothic Demi" w:hAnsi="Franklin Gothic Demi"/>
                <w:szCs w:val="16"/>
                <w:lang w:val="en-GB"/>
              </w:rPr>
            </w:pPr>
            <w:r w:rsidRPr="009249A8">
              <w:rPr>
                <w:rFonts w:ascii="Franklin Gothic Demi" w:hAnsi="Franklin Gothic Demi"/>
                <w:bCs/>
                <w:szCs w:val="16"/>
              </w:rPr>
              <w:t>-21 244.83</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Pr="009249A8" w:rsidRDefault="007C6A5F" w:rsidP="00C36DA4">
            <w:pPr>
              <w:pStyle w:val="TableDataEntries"/>
              <w:rPr>
                <w:rFonts w:ascii="Franklin Gothic Demi" w:hAnsi="Franklin Gothic Demi"/>
                <w:szCs w:val="16"/>
                <w:lang w:val="en-GB"/>
              </w:rPr>
            </w:pPr>
            <w:r w:rsidRPr="009249A8">
              <w:rPr>
                <w:rFonts w:ascii="Franklin Gothic Demi" w:hAnsi="Franklin Gothic Demi"/>
                <w:bCs/>
                <w:szCs w:val="16"/>
              </w:rPr>
              <w:t>-27 095.43</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9249A8" w:rsidRDefault="007C6A5F" w:rsidP="00C36DA4">
            <w:pPr>
              <w:pStyle w:val="TableDataEntries"/>
              <w:rPr>
                <w:rFonts w:ascii="Franklin Gothic Demi" w:hAnsi="Franklin Gothic Demi"/>
                <w:szCs w:val="16"/>
                <w:lang w:val="en-GB"/>
              </w:rPr>
            </w:pPr>
            <w:r w:rsidRPr="009249A8">
              <w:rPr>
                <w:rFonts w:ascii="Franklin Gothic Demi" w:hAnsi="Franklin Gothic Demi"/>
                <w:bCs/>
                <w:szCs w:val="16"/>
              </w:rPr>
              <w:t>-10 171.90</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Pr="009249A8" w:rsidRDefault="007C6A5F" w:rsidP="00C36DA4">
            <w:pPr>
              <w:pStyle w:val="TableDataEntries"/>
              <w:rPr>
                <w:rFonts w:ascii="Franklin Gothic Demi" w:hAnsi="Franklin Gothic Demi"/>
                <w:lang w:val="en-GB"/>
              </w:rPr>
            </w:pPr>
            <w:r w:rsidRPr="009249A8">
              <w:rPr>
                <w:rFonts w:ascii="Franklin Gothic Demi" w:hAnsi="Franklin Gothic Demi"/>
              </w:rPr>
              <w:t>-7 455.55</w:t>
            </w:r>
          </w:p>
        </w:tc>
      </w:tr>
      <w:tr w:rsidR="007C6A5F" w:rsidRPr="009249A8" w:rsidTr="009249A8">
        <w:trPr>
          <w:trHeight w:val="230"/>
        </w:trPr>
        <w:tc>
          <w:tcPr>
            <w:tcW w:w="2962" w:type="dxa"/>
            <w:tcBorders>
              <w:top w:val="single" w:sz="8" w:space="0" w:color="FFFFFF" w:themeColor="background1"/>
              <w:bottom w:val="single" w:sz="4" w:space="0" w:color="6F6652" w:themeColor="accent5"/>
            </w:tcBorders>
            <w:shd w:val="clear" w:color="auto" w:fill="C2DADB" w:themeFill="accent6" w:themeFillTint="99"/>
          </w:tcPr>
          <w:p w:rsidR="007C6A5F" w:rsidRPr="009249A8" w:rsidRDefault="007C6A5F" w:rsidP="00C36DA4">
            <w:pPr>
              <w:pStyle w:val="TableDataEntries"/>
              <w:jc w:val="left"/>
              <w:rPr>
                <w:rFonts w:ascii="Franklin Gothic Demi" w:hAnsi="Franklin Gothic Demi"/>
                <w:lang w:val="en-GB"/>
              </w:rPr>
            </w:pPr>
            <w:r w:rsidRPr="009249A8">
              <w:rPr>
                <w:rFonts w:ascii="Franklin Gothic Demi" w:hAnsi="Franklin Gothic Demi"/>
                <w:lang w:val="en-GB"/>
              </w:rPr>
              <w:t>Net benefit/costs</w:t>
            </w:r>
          </w:p>
        </w:tc>
        <w:tc>
          <w:tcPr>
            <w:tcW w:w="995" w:type="dxa"/>
            <w:tcBorders>
              <w:top w:val="single" w:sz="8" w:space="0" w:color="FFFFFF" w:themeColor="background1"/>
              <w:bottom w:val="single" w:sz="4" w:space="0" w:color="6F6652" w:themeColor="accent5"/>
            </w:tcBorders>
            <w:shd w:val="clear" w:color="auto" w:fill="C2DADB" w:themeFill="accent6" w:themeFillTint="99"/>
          </w:tcPr>
          <w:p w:rsidR="007C6A5F" w:rsidRPr="009249A8" w:rsidRDefault="007C6A5F" w:rsidP="00C36DA4">
            <w:pPr>
              <w:pStyle w:val="TableDataEntries"/>
              <w:rPr>
                <w:rFonts w:ascii="Franklin Gothic Demi" w:hAnsi="Franklin Gothic Demi"/>
                <w:szCs w:val="16"/>
                <w:lang w:val="en-GB"/>
              </w:rPr>
            </w:pPr>
            <w:r w:rsidRPr="009249A8">
              <w:rPr>
                <w:rFonts w:ascii="Franklin Gothic Demi" w:hAnsi="Franklin Gothic Demi"/>
                <w:bCs/>
                <w:szCs w:val="16"/>
              </w:rPr>
              <w:t>3 248.81</w:t>
            </w:r>
          </w:p>
        </w:tc>
        <w:tc>
          <w:tcPr>
            <w:tcW w:w="1005" w:type="dxa"/>
            <w:tcBorders>
              <w:top w:val="single" w:sz="8" w:space="0" w:color="FFFFFF" w:themeColor="background1"/>
              <w:bottom w:val="single" w:sz="4" w:space="0" w:color="6F6652" w:themeColor="accent5"/>
            </w:tcBorders>
            <w:shd w:val="clear" w:color="auto" w:fill="C2DADB" w:themeFill="accent6" w:themeFillTint="99"/>
          </w:tcPr>
          <w:p w:rsidR="007C6A5F" w:rsidRPr="009249A8" w:rsidRDefault="007C6A5F" w:rsidP="00C36DA4">
            <w:pPr>
              <w:pStyle w:val="TableDataEntries"/>
              <w:rPr>
                <w:rFonts w:ascii="Franklin Gothic Demi" w:hAnsi="Franklin Gothic Demi"/>
                <w:szCs w:val="16"/>
                <w:lang w:val="en-GB"/>
              </w:rPr>
            </w:pPr>
            <w:r w:rsidRPr="009249A8">
              <w:rPr>
                <w:rFonts w:ascii="Franklin Gothic Demi" w:hAnsi="Franklin Gothic Demi"/>
                <w:bCs/>
                <w:szCs w:val="16"/>
              </w:rPr>
              <w:t>-4 820.04</w:t>
            </w:r>
          </w:p>
        </w:tc>
        <w:tc>
          <w:tcPr>
            <w:tcW w:w="1134" w:type="dxa"/>
            <w:tcBorders>
              <w:top w:val="single" w:sz="8" w:space="0" w:color="FFFFFF" w:themeColor="background1"/>
              <w:bottom w:val="single" w:sz="4" w:space="0" w:color="6F6652" w:themeColor="accent5"/>
            </w:tcBorders>
            <w:shd w:val="clear" w:color="auto" w:fill="C2DADB" w:themeFill="accent6" w:themeFillTint="99"/>
          </w:tcPr>
          <w:p w:rsidR="007C6A5F" w:rsidRPr="009249A8" w:rsidRDefault="007C6A5F" w:rsidP="00C36DA4">
            <w:pPr>
              <w:pStyle w:val="TableDataEntries"/>
              <w:rPr>
                <w:rFonts w:ascii="Franklin Gothic Demi" w:hAnsi="Franklin Gothic Demi"/>
                <w:szCs w:val="16"/>
                <w:lang w:val="en-GB"/>
              </w:rPr>
            </w:pPr>
            <w:r w:rsidRPr="009249A8">
              <w:rPr>
                <w:rFonts w:ascii="Franklin Gothic Demi" w:hAnsi="Franklin Gothic Demi"/>
                <w:bCs/>
                <w:szCs w:val="16"/>
              </w:rPr>
              <w:t>-10 670.65</w:t>
            </w:r>
          </w:p>
        </w:tc>
        <w:tc>
          <w:tcPr>
            <w:tcW w:w="992" w:type="dxa"/>
            <w:tcBorders>
              <w:top w:val="single" w:sz="8" w:space="0" w:color="FFFFFF" w:themeColor="background1"/>
              <w:bottom w:val="single" w:sz="4" w:space="0" w:color="6F6652" w:themeColor="accent5"/>
            </w:tcBorders>
            <w:shd w:val="clear" w:color="auto" w:fill="C2DADB" w:themeFill="accent6" w:themeFillTint="99"/>
          </w:tcPr>
          <w:p w:rsidR="007C6A5F" w:rsidRPr="009249A8" w:rsidRDefault="007C6A5F" w:rsidP="00C36DA4">
            <w:pPr>
              <w:pStyle w:val="TableDataEntries"/>
              <w:rPr>
                <w:rFonts w:ascii="Franklin Gothic Demi" w:hAnsi="Franklin Gothic Demi"/>
                <w:szCs w:val="16"/>
                <w:lang w:val="en-GB"/>
              </w:rPr>
            </w:pPr>
            <w:r w:rsidRPr="009249A8">
              <w:rPr>
                <w:rFonts w:ascii="Franklin Gothic Demi" w:hAnsi="Franklin Gothic Demi"/>
                <w:bCs/>
                <w:szCs w:val="16"/>
              </w:rPr>
              <w:t>-5 734.30</w:t>
            </w:r>
          </w:p>
        </w:tc>
        <w:tc>
          <w:tcPr>
            <w:tcW w:w="992" w:type="dxa"/>
            <w:tcBorders>
              <w:top w:val="single" w:sz="8" w:space="0" w:color="FFFFFF" w:themeColor="background1"/>
              <w:bottom w:val="single" w:sz="4" w:space="0" w:color="6F6652" w:themeColor="accent5"/>
            </w:tcBorders>
            <w:shd w:val="clear" w:color="auto" w:fill="C2DADB" w:themeFill="accent6" w:themeFillTint="99"/>
          </w:tcPr>
          <w:p w:rsidR="007C6A5F" w:rsidRPr="009249A8" w:rsidRDefault="007C6A5F" w:rsidP="00C36DA4">
            <w:pPr>
              <w:pStyle w:val="TableDataEntries"/>
              <w:rPr>
                <w:rFonts w:ascii="Franklin Gothic Demi" w:hAnsi="Franklin Gothic Demi"/>
                <w:lang w:val="en-GB"/>
              </w:rPr>
            </w:pPr>
            <w:r w:rsidRPr="009249A8">
              <w:rPr>
                <w:rFonts w:ascii="Franklin Gothic Demi" w:hAnsi="Franklin Gothic Demi"/>
              </w:rPr>
              <w:t>- 800.87</w:t>
            </w:r>
          </w:p>
        </w:tc>
      </w:tr>
    </w:tbl>
    <w:p w:rsidR="007C6A5F" w:rsidRDefault="007C6A5F" w:rsidP="007C6A5F">
      <w:pPr>
        <w:pStyle w:val="Note"/>
      </w:pPr>
      <w:r w:rsidRPr="007D1B4F">
        <w:rPr>
          <w:i/>
        </w:rPr>
        <w:t>Note:</w:t>
      </w:r>
      <w:r w:rsidRPr="00E879B8">
        <w:t xml:space="preserve"> </w:t>
      </w:r>
      <w:r>
        <w:t>Costs and benefits are presented in net present value terms covering a 10</w:t>
      </w:r>
      <w:r>
        <w:noBreakHyphen/>
        <w:t xml:space="preserve">year regulatory period from 2022 to 2031, using a </w:t>
      </w:r>
    </w:p>
    <w:p w:rsidR="007C6A5F" w:rsidRDefault="007C6A5F" w:rsidP="007C6A5F">
      <w:pPr>
        <w:pStyle w:val="Note"/>
        <w:rPr>
          <w:lang w:bidi="fa-IR"/>
        </w:rPr>
      </w:pPr>
      <w:r>
        <w:t>discount rate of 7 per cent. Benefits are extended out an additional 30 years, reflecting the flow of benefits over the life of dwellings constructed during the regulatory period.</w:t>
      </w:r>
    </w:p>
    <w:p w:rsidR="007C6A5F" w:rsidRDefault="007C6A5F" w:rsidP="007C6A5F">
      <w:pPr>
        <w:pStyle w:val="Source"/>
        <w:rPr>
          <w:lang w:bidi="fa-IR"/>
        </w:rPr>
      </w:pPr>
      <w:r w:rsidRPr="00D02575">
        <w:rPr>
          <w:i/>
          <w:lang w:bidi="fa-IR"/>
        </w:rPr>
        <w:t>Source:</w:t>
      </w:r>
      <w:r>
        <w:rPr>
          <w:lang w:bidi="fa-IR"/>
        </w:rPr>
        <w:t xml:space="preserve"> CIE estimates.</w:t>
      </w:r>
    </w:p>
    <w:p w:rsidR="007C6A5F" w:rsidRDefault="007C6A5F" w:rsidP="007C6A5F">
      <w:pPr>
        <w:pStyle w:val="BodyText"/>
        <w:rPr>
          <w:lang w:bidi="fa-IR"/>
        </w:rPr>
      </w:pPr>
      <w:r w:rsidRPr="006C3FC1">
        <w:rPr>
          <w:lang w:bidi="fa-IR"/>
        </w:rPr>
        <w:lastRenderedPageBreak/>
        <w:t>The key difference between this approach and the problem-reduction approach is that this approach includes, for Options 1-4, benefits to households that do not currently contain any persons with limited mobility.</w:t>
      </w:r>
      <w:r>
        <w:rPr>
          <w:lang w:bidi="fa-IR"/>
        </w:rPr>
        <w:t xml:space="preserve"> The survey results suggest that many of these households value accessibility features. Option 5 does not include benefits to these households, since accessibility improvements are targeted at renters with limited mobility. For Option 5, the WTP approach includes benefits only to renters with limited mobility, consistent with the problem-reduction approach, and arrives at benefit estimates that are of similar order of magnitude to those for Option 5 under the problem-reduction approach. </w:t>
      </w:r>
    </w:p>
    <w:p w:rsidR="007C6A5F" w:rsidRPr="009000CB" w:rsidRDefault="007C6A5F" w:rsidP="007C6A5F">
      <w:pPr>
        <w:pStyle w:val="BodyText"/>
        <w:rPr>
          <w:lang w:eastAsia="en-US" w:bidi="fa-IR"/>
        </w:rPr>
      </w:pPr>
      <w:r>
        <w:rPr>
          <w:lang w:bidi="fa-IR"/>
        </w:rPr>
        <w:t xml:space="preserve">When WTP benefits in Options 1-4 are aggregated only over households containing someone with a mobility limitation in new homes, the ranking of options (including relative to the baseline option) is similar to that derived using the problem-reduction approach. </w:t>
      </w:r>
    </w:p>
    <w:p w:rsidR="007C6A5F" w:rsidRDefault="007C6A5F" w:rsidP="009249A8">
      <w:pPr>
        <w:pStyle w:val="Caption"/>
        <w:spacing w:before="240"/>
        <w:ind w:left="568" w:hanging="568"/>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rsidRPr="00695C93">
        <w:instrText xml:space="preserve">." </w:instrText>
      </w:r>
      <w:r w:rsidRPr="00695C93">
        <w:fldChar w:fldCharType="separate"/>
      </w:r>
      <w:r>
        <w:rPr>
          <w:noProof/>
        </w:rPr>
        <w:instrText>7</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7</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4</w:instrText>
      </w:r>
      <w:r w:rsidRPr="00695C93">
        <w:fldChar w:fldCharType="end"/>
      </w:r>
      <w:r w:rsidRPr="00695C93">
        <w:instrText xml:space="preserve">" "" </w:instrText>
      </w:r>
      <w:r w:rsidRPr="00695C93">
        <w:fldChar w:fldCharType="separate"/>
      </w:r>
      <w:bookmarkStart w:id="6307" w:name="_Caption8423"/>
      <w:bookmarkStart w:id="6308" w:name="_Caption8353"/>
      <w:bookmarkStart w:id="6309" w:name="_Caption1599"/>
      <w:bookmarkStart w:id="6310" w:name="_Caption1845"/>
      <w:bookmarkStart w:id="6311" w:name="_Caption1665"/>
      <w:bookmarkStart w:id="6312" w:name="_Caption7980"/>
      <w:bookmarkStart w:id="6313" w:name="_Caption8988"/>
      <w:bookmarkStart w:id="6314" w:name="_Caption7068"/>
      <w:bookmarkStart w:id="6315" w:name="_Caption0444"/>
      <w:bookmarkStart w:id="6316" w:name="_Caption1546"/>
      <w:bookmarkStart w:id="6317" w:name="_Caption1659"/>
      <w:bookmarkStart w:id="6318" w:name="_Caption8704"/>
      <w:bookmarkStart w:id="6319" w:name="_Caption4234"/>
      <w:bookmarkStart w:id="6320" w:name="_Caption2920"/>
      <w:bookmarkStart w:id="6321" w:name="_Caption8003"/>
      <w:bookmarkStart w:id="6322" w:name="_Caption1268"/>
      <w:bookmarkStart w:id="6323" w:name="_Caption0259"/>
      <w:bookmarkStart w:id="6324" w:name="_Toc44598557"/>
      <w:bookmarkStart w:id="6325" w:name="_Toc45654188"/>
      <w:r w:rsidR="00272AF3">
        <w:rPr>
          <w:noProof/>
        </w:rPr>
        <w:t>7</w:t>
      </w:r>
      <w:r w:rsidR="00272AF3" w:rsidRPr="00695C93">
        <w:rPr>
          <w:noProof/>
        </w:rPr>
        <w:t>.</w:t>
      </w:r>
      <w:r w:rsidR="00272AF3">
        <w:rPr>
          <w:noProof/>
        </w:rPr>
        <w:t>4</w:t>
      </w:r>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r w:rsidRPr="00695C93">
        <w:fldChar w:fldCharType="end"/>
      </w:r>
      <w:r w:rsidRPr="00695C93">
        <w:tab/>
      </w:r>
      <w:r>
        <w:t>Estimated net benefits/costs – willingness to pay approach applied only to households containing someone with limited mobility</w:t>
      </w:r>
      <w:bookmarkEnd w:id="6324"/>
      <w:bookmarkEnd w:id="6325"/>
    </w:p>
    <w:tbl>
      <w:tblPr>
        <w:tblStyle w:val="TableGridLight"/>
        <w:tblW w:w="7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7.4"/>
        <w:tblDescription w:val="Estimated net benefits/costs – willingness to pay approach applied only to households containing someone with limited mobility"/>
      </w:tblPr>
      <w:tblGrid>
        <w:gridCol w:w="2805"/>
        <w:gridCol w:w="1027"/>
        <w:gridCol w:w="1028"/>
        <w:gridCol w:w="1027"/>
        <w:gridCol w:w="1028"/>
        <w:gridCol w:w="1028"/>
      </w:tblGrid>
      <w:tr w:rsidR="0031383F" w:rsidTr="009B7FAE">
        <w:trPr>
          <w:trHeight w:val="230"/>
          <w:tblHeader/>
        </w:trPr>
        <w:tc>
          <w:tcPr>
            <w:tcW w:w="2805" w:type="dxa"/>
            <w:shd w:val="clear" w:color="auto" w:fill="6F6652" w:themeFill="accent5"/>
          </w:tcPr>
          <w:p w:rsidR="0031383F" w:rsidRDefault="00C65294" w:rsidP="0031383F">
            <w:pPr>
              <w:pStyle w:val="TableDataColumnHeading"/>
              <w:jc w:val="left"/>
              <w:rPr>
                <w:lang w:val="en-GB"/>
              </w:rPr>
            </w:pPr>
            <w:r>
              <w:rPr>
                <w:lang w:val="en-GB"/>
              </w:rPr>
              <w:t>Benefits/</w:t>
            </w:r>
            <w:r w:rsidR="00E36B6D">
              <w:rPr>
                <w:lang w:val="en-GB"/>
              </w:rPr>
              <w:t>C</w:t>
            </w:r>
            <w:r w:rsidR="0031383F">
              <w:rPr>
                <w:lang w:val="en-GB"/>
              </w:rPr>
              <w:t>osts/</w:t>
            </w:r>
            <w:r w:rsidR="00E36B6D">
              <w:rPr>
                <w:lang w:val="en-GB"/>
              </w:rPr>
              <w:t>N</w:t>
            </w:r>
            <w:r>
              <w:rPr>
                <w:lang w:val="en-GB"/>
              </w:rPr>
              <w:t xml:space="preserve">et </w:t>
            </w:r>
            <w:r w:rsidR="0031383F">
              <w:rPr>
                <w:lang w:val="en-GB"/>
              </w:rPr>
              <w:t>benefits</w:t>
            </w:r>
          </w:p>
        </w:tc>
        <w:tc>
          <w:tcPr>
            <w:tcW w:w="1027" w:type="dxa"/>
            <w:shd w:val="clear" w:color="auto" w:fill="6F6652" w:themeFill="accent5"/>
          </w:tcPr>
          <w:p w:rsidR="0031383F" w:rsidRDefault="0031383F" w:rsidP="0031383F">
            <w:pPr>
              <w:pStyle w:val="TableDataColumnHeading"/>
              <w:rPr>
                <w:lang w:val="en-GB"/>
              </w:rPr>
            </w:pPr>
            <w:r>
              <w:rPr>
                <w:lang w:val="en-GB"/>
              </w:rPr>
              <w:t>Option 1</w:t>
            </w:r>
          </w:p>
          <w:p w:rsidR="0031383F" w:rsidRDefault="0031383F" w:rsidP="0031383F">
            <w:pPr>
              <w:pStyle w:val="TableDataColumnHeading"/>
              <w:rPr>
                <w:lang w:val="en-GB"/>
              </w:rPr>
            </w:pPr>
            <w:r>
              <w:rPr>
                <w:lang w:val="en-GB"/>
              </w:rPr>
              <w:t>($ million)</w:t>
            </w:r>
          </w:p>
        </w:tc>
        <w:tc>
          <w:tcPr>
            <w:tcW w:w="1028" w:type="dxa"/>
            <w:shd w:val="clear" w:color="auto" w:fill="6F6652" w:themeFill="accent5"/>
          </w:tcPr>
          <w:p w:rsidR="0031383F" w:rsidRDefault="0031383F" w:rsidP="0031383F">
            <w:pPr>
              <w:pStyle w:val="TableDataColumnHeading"/>
              <w:rPr>
                <w:lang w:val="en-GB"/>
              </w:rPr>
            </w:pPr>
            <w:r>
              <w:rPr>
                <w:lang w:val="en-GB"/>
              </w:rPr>
              <w:t>Option 2</w:t>
            </w:r>
          </w:p>
          <w:p w:rsidR="0031383F" w:rsidRDefault="0031383F" w:rsidP="0031383F">
            <w:pPr>
              <w:pStyle w:val="TableDataColumnHeading"/>
              <w:rPr>
                <w:lang w:val="en-GB"/>
              </w:rPr>
            </w:pPr>
            <w:r>
              <w:rPr>
                <w:lang w:val="en-GB"/>
              </w:rPr>
              <w:t>($ million)</w:t>
            </w:r>
          </w:p>
        </w:tc>
        <w:tc>
          <w:tcPr>
            <w:tcW w:w="1027" w:type="dxa"/>
            <w:shd w:val="clear" w:color="auto" w:fill="6F6652" w:themeFill="accent5"/>
          </w:tcPr>
          <w:p w:rsidR="0031383F" w:rsidRDefault="0031383F" w:rsidP="0031383F">
            <w:pPr>
              <w:pStyle w:val="TableDataColumnHeading"/>
              <w:rPr>
                <w:lang w:val="en-GB"/>
              </w:rPr>
            </w:pPr>
            <w:r>
              <w:rPr>
                <w:lang w:val="en-GB"/>
              </w:rPr>
              <w:t>Option 3</w:t>
            </w:r>
          </w:p>
          <w:p w:rsidR="0031383F" w:rsidRDefault="0031383F" w:rsidP="0031383F">
            <w:pPr>
              <w:pStyle w:val="TableDataColumnHeading"/>
              <w:rPr>
                <w:lang w:val="en-GB"/>
              </w:rPr>
            </w:pPr>
            <w:r>
              <w:rPr>
                <w:lang w:val="en-GB"/>
              </w:rPr>
              <w:t>($ million)</w:t>
            </w:r>
          </w:p>
        </w:tc>
        <w:tc>
          <w:tcPr>
            <w:tcW w:w="1028" w:type="dxa"/>
            <w:shd w:val="clear" w:color="auto" w:fill="6F6652" w:themeFill="accent5"/>
          </w:tcPr>
          <w:p w:rsidR="0031383F" w:rsidRDefault="0031383F" w:rsidP="0031383F">
            <w:pPr>
              <w:pStyle w:val="TableDataColumnHeading"/>
              <w:rPr>
                <w:lang w:val="en-GB"/>
              </w:rPr>
            </w:pPr>
            <w:r>
              <w:rPr>
                <w:lang w:val="en-GB"/>
              </w:rPr>
              <w:t>Option 4</w:t>
            </w:r>
          </w:p>
          <w:p w:rsidR="0031383F" w:rsidRDefault="0031383F" w:rsidP="0031383F">
            <w:pPr>
              <w:pStyle w:val="TableDataColumnHeading"/>
              <w:rPr>
                <w:lang w:val="en-GB"/>
              </w:rPr>
            </w:pPr>
            <w:r>
              <w:rPr>
                <w:lang w:val="en-GB"/>
              </w:rPr>
              <w:t>($ million)</w:t>
            </w:r>
          </w:p>
        </w:tc>
        <w:tc>
          <w:tcPr>
            <w:tcW w:w="1028" w:type="dxa"/>
            <w:shd w:val="clear" w:color="auto" w:fill="6F6652" w:themeFill="accent5"/>
          </w:tcPr>
          <w:p w:rsidR="0031383F" w:rsidRDefault="0031383F" w:rsidP="0031383F">
            <w:pPr>
              <w:pStyle w:val="TableDataColumnHeading"/>
              <w:rPr>
                <w:lang w:val="en-GB"/>
              </w:rPr>
            </w:pPr>
            <w:r>
              <w:rPr>
                <w:lang w:val="en-GB"/>
              </w:rPr>
              <w:t>Option 5</w:t>
            </w:r>
          </w:p>
          <w:p w:rsidR="0031383F" w:rsidRDefault="0031383F" w:rsidP="0031383F">
            <w:pPr>
              <w:pStyle w:val="TableDataColumnHeading"/>
              <w:rPr>
                <w:lang w:val="en-GB"/>
              </w:rPr>
            </w:pPr>
            <w:r>
              <w:rPr>
                <w:lang w:val="en-GB"/>
              </w:rPr>
              <w:t>($ million)</w:t>
            </w:r>
          </w:p>
        </w:tc>
      </w:tr>
      <w:tr w:rsidR="007C6A5F" w:rsidRPr="00C62AE6" w:rsidTr="009B7FAE">
        <w:tblPrEx>
          <w:tblLook w:val="04A0" w:firstRow="1" w:lastRow="0" w:firstColumn="1" w:lastColumn="0" w:noHBand="0" w:noVBand="1"/>
        </w:tblPrEx>
        <w:trPr>
          <w:trHeight w:val="250"/>
        </w:trPr>
        <w:tc>
          <w:tcPr>
            <w:tcW w:w="2805" w:type="dxa"/>
            <w:tcBorders>
              <w:top w:val="single" w:sz="8" w:space="0" w:color="FFFFFF" w:themeColor="background1"/>
              <w:bottom w:val="single" w:sz="8" w:space="0" w:color="FFFFFF" w:themeColor="background1"/>
            </w:tcBorders>
            <w:shd w:val="clear" w:color="auto" w:fill="E9E8E5" w:themeFill="background2"/>
            <w:noWrap/>
            <w:hideMark/>
          </w:tcPr>
          <w:p w:rsidR="007C6A5F" w:rsidRPr="00C62AE6" w:rsidRDefault="007C6A5F" w:rsidP="00C36DA4">
            <w:pPr>
              <w:pStyle w:val="TableDataEntries"/>
              <w:jc w:val="left"/>
            </w:pPr>
            <w:r w:rsidRPr="00C62AE6">
              <w:t>Getting in and out</w:t>
            </w:r>
          </w:p>
        </w:tc>
        <w:tc>
          <w:tcPr>
            <w:tcW w:w="1027"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sidRPr="004C3EE4">
              <w:t xml:space="preserve"> 0.00</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sidRPr="004C3EE4">
              <w:t xml:space="preserve"> 0.00</w:t>
            </w:r>
          </w:p>
        </w:tc>
        <w:tc>
          <w:tcPr>
            <w:tcW w:w="1027"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sidRPr="004C3EE4">
              <w:t xml:space="preserve"> 0.00</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sidRPr="004C3EE4">
              <w:t xml:space="preserve"> 0.00</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sidRPr="004C3EE4">
              <w:t xml:space="preserve"> 0.00</w:t>
            </w:r>
          </w:p>
        </w:tc>
      </w:tr>
      <w:tr w:rsidR="007C6A5F" w:rsidRPr="00C62AE6" w:rsidTr="009B7FAE">
        <w:tblPrEx>
          <w:tblLook w:val="04A0" w:firstRow="1" w:lastRow="0" w:firstColumn="1" w:lastColumn="0" w:noHBand="0" w:noVBand="1"/>
        </w:tblPrEx>
        <w:trPr>
          <w:trHeight w:val="250"/>
        </w:trPr>
        <w:tc>
          <w:tcPr>
            <w:tcW w:w="2805" w:type="dxa"/>
            <w:tcBorders>
              <w:top w:val="single" w:sz="8" w:space="0" w:color="FFFFFF" w:themeColor="background1"/>
              <w:bottom w:val="single" w:sz="8" w:space="0" w:color="FFFFFF" w:themeColor="background1"/>
            </w:tcBorders>
            <w:shd w:val="clear" w:color="auto" w:fill="E9E8E5" w:themeFill="background2"/>
            <w:noWrap/>
            <w:hideMark/>
          </w:tcPr>
          <w:p w:rsidR="007C6A5F" w:rsidRPr="00C62AE6" w:rsidRDefault="007C6A5F" w:rsidP="00C36DA4">
            <w:pPr>
              <w:pStyle w:val="TableDataEntries"/>
              <w:jc w:val="left"/>
            </w:pPr>
            <w:r w:rsidRPr="00C62AE6">
              <w:t>Moving around indoors</w:t>
            </w:r>
          </w:p>
        </w:tc>
        <w:tc>
          <w:tcPr>
            <w:tcW w:w="1027"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sidRPr="004C3EE4">
              <w:t>1 782.39</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sidRPr="004C3EE4">
              <w:t>2 712.76</w:t>
            </w:r>
          </w:p>
        </w:tc>
        <w:tc>
          <w:tcPr>
            <w:tcW w:w="1027"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sidRPr="004C3EE4">
              <w:t>2 712.76</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sidRPr="004C3EE4">
              <w:t xml:space="preserve"> 810.57</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sidRPr="004C3EE4">
              <w:t>2 462.30</w:t>
            </w:r>
          </w:p>
        </w:tc>
      </w:tr>
      <w:tr w:rsidR="007C6A5F" w:rsidRPr="00C62AE6" w:rsidTr="009B7FAE">
        <w:tblPrEx>
          <w:tblLook w:val="04A0" w:firstRow="1" w:lastRow="0" w:firstColumn="1" w:lastColumn="0" w:noHBand="0" w:noVBand="1"/>
        </w:tblPrEx>
        <w:trPr>
          <w:trHeight w:val="250"/>
        </w:trPr>
        <w:tc>
          <w:tcPr>
            <w:tcW w:w="2805" w:type="dxa"/>
            <w:tcBorders>
              <w:top w:val="single" w:sz="8" w:space="0" w:color="FFFFFF" w:themeColor="background1"/>
              <w:bottom w:val="single" w:sz="8" w:space="0" w:color="FFFFFF" w:themeColor="background1"/>
            </w:tcBorders>
            <w:shd w:val="clear" w:color="auto" w:fill="E9E8E5" w:themeFill="background2"/>
            <w:noWrap/>
            <w:hideMark/>
          </w:tcPr>
          <w:p w:rsidR="007C6A5F" w:rsidRPr="00C62AE6" w:rsidRDefault="007C6A5F" w:rsidP="00C36DA4">
            <w:pPr>
              <w:pStyle w:val="TableDataEntries"/>
              <w:jc w:val="left"/>
            </w:pPr>
            <w:r w:rsidRPr="00C62AE6">
              <w:t>Living with limited mobility on same level as an entrance</w:t>
            </w:r>
          </w:p>
        </w:tc>
        <w:tc>
          <w:tcPr>
            <w:tcW w:w="1027"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sidRPr="004C3EE4">
              <w:t xml:space="preserve"> 125.03</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sidRPr="004C3EE4">
              <w:t xml:space="preserve"> 658.68</w:t>
            </w:r>
          </w:p>
        </w:tc>
        <w:tc>
          <w:tcPr>
            <w:tcW w:w="1027"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sidRPr="004C3EE4">
              <w:t xml:space="preserve"> 658.68</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sidRPr="004C3EE4">
              <w:t xml:space="preserve"> 0.00</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sidRPr="004C3EE4">
              <w:t xml:space="preserve"> 605.54</w:t>
            </w:r>
          </w:p>
        </w:tc>
      </w:tr>
      <w:tr w:rsidR="007C6A5F" w:rsidRPr="00C62AE6" w:rsidTr="009B7FAE">
        <w:tblPrEx>
          <w:tblLook w:val="04A0" w:firstRow="1" w:lastRow="0" w:firstColumn="1" w:lastColumn="0" w:noHBand="0" w:noVBand="1"/>
        </w:tblPrEx>
        <w:trPr>
          <w:trHeight w:val="250"/>
        </w:trPr>
        <w:tc>
          <w:tcPr>
            <w:tcW w:w="2805" w:type="dxa"/>
            <w:tcBorders>
              <w:top w:val="single" w:sz="8" w:space="0" w:color="FFFFFF" w:themeColor="background1"/>
              <w:bottom w:val="single" w:sz="8" w:space="0" w:color="FFFFFF" w:themeColor="background1"/>
            </w:tcBorders>
            <w:shd w:val="clear" w:color="auto" w:fill="E9E8E5" w:themeFill="background2"/>
            <w:noWrap/>
            <w:hideMark/>
          </w:tcPr>
          <w:p w:rsidR="007C6A5F" w:rsidRPr="00C62AE6" w:rsidRDefault="007C6A5F" w:rsidP="00C36DA4">
            <w:pPr>
              <w:pStyle w:val="TableDataEntries"/>
              <w:jc w:val="left"/>
            </w:pPr>
            <w:r w:rsidRPr="00C62AE6">
              <w:t>Minimal modification required for ageing in place</w:t>
            </w:r>
          </w:p>
        </w:tc>
        <w:tc>
          <w:tcPr>
            <w:tcW w:w="1027"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sidRPr="004C3EE4">
              <w:t xml:space="preserve"> 0.00</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sidRPr="004C3EE4">
              <w:t>1 905.69</w:t>
            </w:r>
          </w:p>
        </w:tc>
        <w:tc>
          <w:tcPr>
            <w:tcW w:w="1027"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sidRPr="004C3EE4">
              <w:t>1 905.69</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sidRPr="004C3EE4">
              <w:t xml:space="preserve"> 569.42</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sidRPr="004C3EE4">
              <w:t>1 685.88</w:t>
            </w:r>
          </w:p>
        </w:tc>
      </w:tr>
      <w:tr w:rsidR="007C6A5F" w:rsidRPr="00C62AE6" w:rsidTr="009B7FAE">
        <w:tblPrEx>
          <w:tblLook w:val="04A0" w:firstRow="1" w:lastRow="0" w:firstColumn="1" w:lastColumn="0" w:noHBand="0" w:noVBand="1"/>
        </w:tblPrEx>
        <w:trPr>
          <w:trHeight w:val="250"/>
        </w:trPr>
        <w:tc>
          <w:tcPr>
            <w:tcW w:w="2805" w:type="dxa"/>
            <w:tcBorders>
              <w:top w:val="single" w:sz="8" w:space="0" w:color="FFFFFF" w:themeColor="background1"/>
              <w:bottom w:val="single" w:sz="8" w:space="0" w:color="FFFFFF" w:themeColor="background1"/>
            </w:tcBorders>
            <w:shd w:val="clear" w:color="auto" w:fill="E9E8E5" w:themeFill="background2"/>
            <w:noWrap/>
            <w:hideMark/>
          </w:tcPr>
          <w:p w:rsidR="007C6A5F" w:rsidRPr="00C62AE6" w:rsidRDefault="007C6A5F" w:rsidP="00C36DA4">
            <w:pPr>
              <w:pStyle w:val="TableDataEntries"/>
              <w:jc w:val="left"/>
            </w:pPr>
            <w:r>
              <w:t>Societal</w:t>
            </w:r>
            <w:r w:rsidRPr="00C62AE6">
              <w:t xml:space="preserve"> benefits</w:t>
            </w:r>
          </w:p>
        </w:tc>
        <w:tc>
          <w:tcPr>
            <w:tcW w:w="1027"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Pr>
                <w:szCs w:val="16"/>
              </w:rPr>
              <w:t>1 031.33</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Pr>
                <w:szCs w:val="16"/>
              </w:rPr>
              <w:t>1 106.60</w:t>
            </w:r>
          </w:p>
        </w:tc>
        <w:tc>
          <w:tcPr>
            <w:tcW w:w="1027"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Pr>
                <w:szCs w:val="16"/>
              </w:rPr>
              <w:t>1 106.60</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Pr>
                <w:szCs w:val="16"/>
              </w:rPr>
              <w:t xml:space="preserve"> 326.25</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rPr>
                <w:highlight w:val="yellow"/>
              </w:rPr>
            </w:pPr>
            <w:r w:rsidRPr="004C3EE4">
              <w:t>1 900.96</w:t>
            </w:r>
          </w:p>
        </w:tc>
      </w:tr>
      <w:tr w:rsidR="007C6A5F" w:rsidRPr="009249A8" w:rsidTr="009B7FAE">
        <w:tblPrEx>
          <w:tblLook w:val="04A0" w:firstRow="1" w:lastRow="0" w:firstColumn="1" w:lastColumn="0" w:noHBand="0" w:noVBand="1"/>
        </w:tblPrEx>
        <w:trPr>
          <w:trHeight w:val="250"/>
        </w:trPr>
        <w:tc>
          <w:tcPr>
            <w:tcW w:w="2805" w:type="dxa"/>
            <w:tcBorders>
              <w:top w:val="single" w:sz="8" w:space="0" w:color="FFFFFF" w:themeColor="background1"/>
              <w:bottom w:val="single" w:sz="8" w:space="0" w:color="FFFFFF" w:themeColor="background1"/>
            </w:tcBorders>
            <w:shd w:val="clear" w:color="auto" w:fill="E9E8E5" w:themeFill="background2"/>
            <w:noWrap/>
            <w:hideMark/>
          </w:tcPr>
          <w:p w:rsidR="007C6A5F" w:rsidRPr="009249A8" w:rsidRDefault="007C6A5F" w:rsidP="00C36DA4">
            <w:pPr>
              <w:pStyle w:val="TableDataEntries"/>
              <w:jc w:val="left"/>
              <w:rPr>
                <w:rFonts w:ascii="Franklin Gothic Demi" w:hAnsi="Franklin Gothic Demi"/>
              </w:rPr>
            </w:pPr>
            <w:r w:rsidRPr="009249A8">
              <w:rPr>
                <w:rFonts w:ascii="Franklin Gothic Demi" w:hAnsi="Franklin Gothic Demi"/>
              </w:rPr>
              <w:t>Total benefits</w:t>
            </w:r>
          </w:p>
        </w:tc>
        <w:tc>
          <w:tcPr>
            <w:tcW w:w="1027" w:type="dxa"/>
            <w:tcBorders>
              <w:top w:val="single" w:sz="8" w:space="0" w:color="FFFFFF" w:themeColor="background1"/>
              <w:bottom w:val="single" w:sz="8" w:space="0" w:color="FFFFFF" w:themeColor="background1"/>
            </w:tcBorders>
            <w:shd w:val="clear" w:color="auto" w:fill="E9E8E5" w:themeFill="background2"/>
            <w:noWrap/>
            <w:hideMark/>
          </w:tcPr>
          <w:p w:rsidR="007C6A5F" w:rsidRPr="009249A8" w:rsidRDefault="007C6A5F" w:rsidP="00C36DA4">
            <w:pPr>
              <w:pStyle w:val="TableDataEntries"/>
              <w:rPr>
                <w:rFonts w:ascii="Franklin Gothic Demi" w:hAnsi="Franklin Gothic Demi"/>
                <w:highlight w:val="yellow"/>
              </w:rPr>
            </w:pPr>
            <w:r w:rsidRPr="009249A8">
              <w:rPr>
                <w:rFonts w:ascii="Franklin Gothic Demi" w:hAnsi="Franklin Gothic Demi"/>
                <w:bCs/>
                <w:szCs w:val="16"/>
              </w:rPr>
              <w:t>2 938.75</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9249A8" w:rsidRDefault="007C6A5F" w:rsidP="00C36DA4">
            <w:pPr>
              <w:pStyle w:val="TableDataEntries"/>
              <w:rPr>
                <w:rFonts w:ascii="Franklin Gothic Demi" w:hAnsi="Franklin Gothic Demi"/>
                <w:highlight w:val="yellow"/>
              </w:rPr>
            </w:pPr>
            <w:r w:rsidRPr="009249A8">
              <w:rPr>
                <w:rFonts w:ascii="Franklin Gothic Demi" w:hAnsi="Franklin Gothic Demi"/>
                <w:bCs/>
                <w:szCs w:val="16"/>
              </w:rPr>
              <w:t>6 383.73</w:t>
            </w:r>
          </w:p>
        </w:tc>
        <w:tc>
          <w:tcPr>
            <w:tcW w:w="1027" w:type="dxa"/>
            <w:tcBorders>
              <w:top w:val="single" w:sz="8" w:space="0" w:color="FFFFFF" w:themeColor="background1"/>
              <w:bottom w:val="single" w:sz="8" w:space="0" w:color="FFFFFF" w:themeColor="background1"/>
            </w:tcBorders>
            <w:shd w:val="clear" w:color="auto" w:fill="E9E8E5" w:themeFill="background2"/>
            <w:noWrap/>
            <w:hideMark/>
          </w:tcPr>
          <w:p w:rsidR="007C6A5F" w:rsidRPr="009249A8" w:rsidRDefault="007C6A5F" w:rsidP="00C36DA4">
            <w:pPr>
              <w:pStyle w:val="TableDataEntries"/>
              <w:rPr>
                <w:rFonts w:ascii="Franklin Gothic Demi" w:hAnsi="Franklin Gothic Demi"/>
                <w:highlight w:val="yellow"/>
              </w:rPr>
            </w:pPr>
            <w:r w:rsidRPr="009249A8">
              <w:rPr>
                <w:rFonts w:ascii="Franklin Gothic Demi" w:hAnsi="Franklin Gothic Demi"/>
                <w:bCs/>
                <w:szCs w:val="16"/>
              </w:rPr>
              <w:t>6 383.73</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9249A8" w:rsidRDefault="007C6A5F" w:rsidP="00C36DA4">
            <w:pPr>
              <w:pStyle w:val="TableDataEntries"/>
              <w:rPr>
                <w:rFonts w:ascii="Franklin Gothic Demi" w:hAnsi="Franklin Gothic Demi"/>
                <w:highlight w:val="yellow"/>
              </w:rPr>
            </w:pPr>
            <w:r w:rsidRPr="009249A8">
              <w:rPr>
                <w:rFonts w:ascii="Franklin Gothic Demi" w:hAnsi="Franklin Gothic Demi"/>
                <w:bCs/>
                <w:szCs w:val="16"/>
              </w:rPr>
              <w:t>1 706.24</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9249A8" w:rsidRDefault="007C6A5F" w:rsidP="00C36DA4">
            <w:pPr>
              <w:pStyle w:val="TableDataEntries"/>
              <w:rPr>
                <w:rFonts w:ascii="Franklin Gothic Demi" w:hAnsi="Franklin Gothic Demi"/>
                <w:highlight w:val="yellow"/>
              </w:rPr>
            </w:pPr>
            <w:r w:rsidRPr="009249A8">
              <w:rPr>
                <w:rFonts w:ascii="Franklin Gothic Demi" w:hAnsi="Franklin Gothic Demi"/>
              </w:rPr>
              <w:t>6 654.68</w:t>
            </w:r>
          </w:p>
        </w:tc>
      </w:tr>
      <w:tr w:rsidR="007C6A5F" w:rsidRPr="00C62AE6" w:rsidTr="009B7FAE">
        <w:tblPrEx>
          <w:tblLook w:val="04A0" w:firstRow="1" w:lastRow="0" w:firstColumn="1" w:lastColumn="0" w:noHBand="0" w:noVBand="1"/>
        </w:tblPrEx>
        <w:trPr>
          <w:trHeight w:val="250"/>
        </w:trPr>
        <w:tc>
          <w:tcPr>
            <w:tcW w:w="2805" w:type="dxa"/>
            <w:tcBorders>
              <w:top w:val="single" w:sz="8" w:space="0" w:color="FFFFFF" w:themeColor="background1"/>
              <w:bottom w:val="single" w:sz="8" w:space="0" w:color="FFFFFF" w:themeColor="background1"/>
            </w:tcBorders>
            <w:shd w:val="clear" w:color="auto" w:fill="E9E8E5" w:themeFill="background2"/>
            <w:noWrap/>
            <w:hideMark/>
          </w:tcPr>
          <w:p w:rsidR="007C6A5F" w:rsidRPr="00C62AE6" w:rsidRDefault="007C6A5F" w:rsidP="00C36DA4">
            <w:pPr>
              <w:pStyle w:val="TableDataEntries"/>
              <w:jc w:val="left"/>
            </w:pPr>
            <w:r w:rsidRPr="00C62AE6">
              <w:t>Additional construction costs</w:t>
            </w:r>
          </w:p>
        </w:tc>
        <w:tc>
          <w:tcPr>
            <w:tcW w:w="1027" w:type="dxa"/>
            <w:tcBorders>
              <w:top w:val="single" w:sz="8" w:space="0" w:color="FFFFFF" w:themeColor="background1"/>
              <w:bottom w:val="single" w:sz="8" w:space="0" w:color="FFFFFF" w:themeColor="background1"/>
            </w:tcBorders>
            <w:shd w:val="clear" w:color="auto" w:fill="E9E8E5" w:themeFill="background2"/>
            <w:noWrap/>
            <w:hideMark/>
          </w:tcPr>
          <w:p w:rsidR="007C6A5F" w:rsidRPr="00F922F1" w:rsidRDefault="007C6A5F" w:rsidP="00C36DA4">
            <w:pPr>
              <w:pStyle w:val="TableDataEntries"/>
              <w:rPr>
                <w:szCs w:val="16"/>
              </w:rPr>
            </w:pPr>
            <w:r>
              <w:rPr>
                <w:szCs w:val="16"/>
              </w:rPr>
              <w:t>-1 866.72</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F922F1" w:rsidRDefault="007C6A5F" w:rsidP="00C36DA4">
            <w:pPr>
              <w:pStyle w:val="TableDataEntries"/>
              <w:rPr>
                <w:szCs w:val="16"/>
              </w:rPr>
            </w:pPr>
            <w:r>
              <w:rPr>
                <w:szCs w:val="16"/>
              </w:rPr>
              <w:t>-12 384.81</w:t>
            </w:r>
          </w:p>
        </w:tc>
        <w:tc>
          <w:tcPr>
            <w:tcW w:w="1027" w:type="dxa"/>
            <w:tcBorders>
              <w:top w:val="single" w:sz="8" w:space="0" w:color="FFFFFF" w:themeColor="background1"/>
              <w:bottom w:val="single" w:sz="8" w:space="0" w:color="FFFFFF" w:themeColor="background1"/>
            </w:tcBorders>
            <w:shd w:val="clear" w:color="auto" w:fill="E9E8E5" w:themeFill="background2"/>
            <w:noWrap/>
            <w:hideMark/>
          </w:tcPr>
          <w:p w:rsidR="007C6A5F" w:rsidRPr="00F922F1" w:rsidRDefault="007C6A5F" w:rsidP="00C36DA4">
            <w:pPr>
              <w:pStyle w:val="TableDataEntries"/>
              <w:rPr>
                <w:szCs w:val="16"/>
              </w:rPr>
            </w:pPr>
            <w:r>
              <w:rPr>
                <w:szCs w:val="16"/>
              </w:rPr>
              <w:t>-15 904.40</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F922F1" w:rsidRDefault="007C6A5F" w:rsidP="00C36DA4">
            <w:pPr>
              <w:pStyle w:val="TableDataEntries"/>
              <w:rPr>
                <w:szCs w:val="16"/>
              </w:rPr>
            </w:pPr>
            <w:r>
              <w:rPr>
                <w:szCs w:val="16"/>
              </w:rPr>
              <w:t>-3 602.32</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pPr>
            <w:r w:rsidRPr="004C3EE4">
              <w:t xml:space="preserve"> 0.00</w:t>
            </w:r>
          </w:p>
        </w:tc>
      </w:tr>
      <w:tr w:rsidR="007C6A5F" w:rsidRPr="00C62AE6" w:rsidTr="009B7FAE">
        <w:tblPrEx>
          <w:tblLook w:val="04A0" w:firstRow="1" w:lastRow="0" w:firstColumn="1" w:lastColumn="0" w:noHBand="0" w:noVBand="1"/>
        </w:tblPrEx>
        <w:trPr>
          <w:trHeight w:val="250"/>
        </w:trPr>
        <w:tc>
          <w:tcPr>
            <w:tcW w:w="2805" w:type="dxa"/>
            <w:tcBorders>
              <w:top w:val="single" w:sz="8" w:space="0" w:color="FFFFFF" w:themeColor="background1"/>
              <w:bottom w:val="single" w:sz="8" w:space="0" w:color="FFFFFF" w:themeColor="background1"/>
            </w:tcBorders>
            <w:shd w:val="clear" w:color="auto" w:fill="E9E8E5" w:themeFill="background2"/>
            <w:noWrap/>
            <w:hideMark/>
          </w:tcPr>
          <w:p w:rsidR="007C6A5F" w:rsidRPr="00C62AE6" w:rsidRDefault="007C6A5F" w:rsidP="00C36DA4">
            <w:pPr>
              <w:pStyle w:val="TableDataEntries"/>
              <w:jc w:val="left"/>
            </w:pPr>
            <w:r w:rsidRPr="00C62AE6">
              <w:t>Opportunity cost of space</w:t>
            </w:r>
          </w:p>
        </w:tc>
        <w:tc>
          <w:tcPr>
            <w:tcW w:w="1027" w:type="dxa"/>
            <w:tcBorders>
              <w:top w:val="single" w:sz="8" w:space="0" w:color="FFFFFF" w:themeColor="background1"/>
              <w:bottom w:val="single" w:sz="8" w:space="0" w:color="FFFFFF" w:themeColor="background1"/>
            </w:tcBorders>
            <w:shd w:val="clear" w:color="auto" w:fill="E9E8E5" w:themeFill="background2"/>
            <w:noWrap/>
            <w:hideMark/>
          </w:tcPr>
          <w:p w:rsidR="007C6A5F" w:rsidRPr="00F922F1" w:rsidRDefault="007C6A5F" w:rsidP="00C36DA4">
            <w:pPr>
              <w:pStyle w:val="TableDataEntries"/>
              <w:rPr>
                <w:szCs w:val="16"/>
              </w:rPr>
            </w:pPr>
            <w:r>
              <w:rPr>
                <w:szCs w:val="16"/>
              </w:rPr>
              <w:t>-1 571.81</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F922F1" w:rsidRDefault="007C6A5F" w:rsidP="00C36DA4">
            <w:pPr>
              <w:pStyle w:val="TableDataEntries"/>
              <w:rPr>
                <w:szCs w:val="16"/>
              </w:rPr>
            </w:pPr>
            <w:r>
              <w:rPr>
                <w:szCs w:val="16"/>
              </w:rPr>
              <w:t>-8 831.55</w:t>
            </w:r>
          </w:p>
        </w:tc>
        <w:tc>
          <w:tcPr>
            <w:tcW w:w="1027" w:type="dxa"/>
            <w:tcBorders>
              <w:top w:val="single" w:sz="8" w:space="0" w:color="FFFFFF" w:themeColor="background1"/>
              <w:bottom w:val="single" w:sz="8" w:space="0" w:color="FFFFFF" w:themeColor="background1"/>
            </w:tcBorders>
            <w:shd w:val="clear" w:color="auto" w:fill="E9E8E5" w:themeFill="background2"/>
            <w:noWrap/>
            <w:hideMark/>
          </w:tcPr>
          <w:p w:rsidR="007C6A5F" w:rsidRPr="00F922F1" w:rsidRDefault="007C6A5F" w:rsidP="00C36DA4">
            <w:pPr>
              <w:pStyle w:val="TableDataEntries"/>
              <w:rPr>
                <w:szCs w:val="16"/>
              </w:rPr>
            </w:pPr>
            <w:r>
              <w:rPr>
                <w:szCs w:val="16"/>
              </w:rPr>
              <w:t>-11 162.57</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F922F1" w:rsidRDefault="007C6A5F" w:rsidP="00C36DA4">
            <w:pPr>
              <w:pStyle w:val="TableDataEntries"/>
              <w:rPr>
                <w:szCs w:val="16"/>
              </w:rPr>
            </w:pPr>
            <w:r>
              <w:rPr>
                <w:szCs w:val="16"/>
              </w:rPr>
              <w:t>-6 541.11</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pPr>
            <w:r w:rsidRPr="004C3EE4">
              <w:t xml:space="preserve"> 0.00</w:t>
            </w:r>
          </w:p>
        </w:tc>
      </w:tr>
      <w:tr w:rsidR="007C6A5F" w:rsidRPr="00C62AE6" w:rsidTr="009B7FAE">
        <w:tblPrEx>
          <w:tblLook w:val="04A0" w:firstRow="1" w:lastRow="0" w:firstColumn="1" w:lastColumn="0" w:noHBand="0" w:noVBand="1"/>
        </w:tblPrEx>
        <w:trPr>
          <w:trHeight w:val="250"/>
        </w:trPr>
        <w:tc>
          <w:tcPr>
            <w:tcW w:w="2805" w:type="dxa"/>
            <w:tcBorders>
              <w:top w:val="single" w:sz="8" w:space="0" w:color="FFFFFF" w:themeColor="background1"/>
              <w:bottom w:val="single" w:sz="8" w:space="0" w:color="FFFFFF" w:themeColor="background1"/>
            </w:tcBorders>
            <w:shd w:val="clear" w:color="auto" w:fill="E9E8E5" w:themeFill="background2"/>
            <w:noWrap/>
            <w:hideMark/>
          </w:tcPr>
          <w:p w:rsidR="007C6A5F" w:rsidRPr="00C62AE6" w:rsidRDefault="007C6A5F" w:rsidP="00C36DA4">
            <w:pPr>
              <w:pStyle w:val="TableDataEntries"/>
              <w:jc w:val="left"/>
            </w:pPr>
            <w:r w:rsidRPr="00C62AE6">
              <w:t>Industry re-training costs</w:t>
            </w:r>
          </w:p>
        </w:tc>
        <w:tc>
          <w:tcPr>
            <w:tcW w:w="1027"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pPr>
            <w:r w:rsidRPr="004C3EE4">
              <w:t>- 28.47</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pPr>
            <w:r w:rsidRPr="004C3EE4">
              <w:t>- 28.47</w:t>
            </w:r>
          </w:p>
        </w:tc>
        <w:tc>
          <w:tcPr>
            <w:tcW w:w="1027"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pPr>
            <w:r w:rsidRPr="004C3EE4">
              <w:t>- 28.47</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pPr>
            <w:r w:rsidRPr="004C3EE4">
              <w:t>- 28.47</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pPr>
            <w:r w:rsidRPr="004C3EE4">
              <w:t xml:space="preserve"> 0.00</w:t>
            </w:r>
          </w:p>
        </w:tc>
      </w:tr>
      <w:tr w:rsidR="007C6A5F" w:rsidRPr="00C62AE6" w:rsidTr="009B7FAE">
        <w:tblPrEx>
          <w:tblLook w:val="04A0" w:firstRow="1" w:lastRow="0" w:firstColumn="1" w:lastColumn="0" w:noHBand="0" w:noVBand="1"/>
        </w:tblPrEx>
        <w:trPr>
          <w:trHeight w:val="250"/>
        </w:trPr>
        <w:tc>
          <w:tcPr>
            <w:tcW w:w="2805" w:type="dxa"/>
            <w:tcBorders>
              <w:top w:val="single" w:sz="8" w:space="0" w:color="FFFFFF" w:themeColor="background1"/>
              <w:bottom w:val="single" w:sz="8" w:space="0" w:color="FFFFFF" w:themeColor="background1"/>
            </w:tcBorders>
            <w:shd w:val="clear" w:color="auto" w:fill="E9E8E5" w:themeFill="background2"/>
            <w:noWrap/>
            <w:hideMark/>
          </w:tcPr>
          <w:p w:rsidR="007C6A5F" w:rsidRPr="00C62AE6" w:rsidRDefault="007C6A5F" w:rsidP="00C36DA4">
            <w:pPr>
              <w:pStyle w:val="TableDataEntries"/>
              <w:jc w:val="left"/>
            </w:pPr>
            <w:r w:rsidRPr="00C62AE6">
              <w:t>Subsidy</w:t>
            </w:r>
          </w:p>
        </w:tc>
        <w:tc>
          <w:tcPr>
            <w:tcW w:w="1027"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pPr>
            <w:r w:rsidRPr="004C3EE4">
              <w:t xml:space="preserve"> 0.00</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pPr>
            <w:r w:rsidRPr="004C3EE4">
              <w:t xml:space="preserve"> 0.00</w:t>
            </w:r>
          </w:p>
        </w:tc>
        <w:tc>
          <w:tcPr>
            <w:tcW w:w="1027"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pPr>
            <w:r w:rsidRPr="004C3EE4">
              <w:t xml:space="preserve"> 0.00</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pPr>
            <w:r w:rsidRPr="004C3EE4">
              <w:t xml:space="preserve"> 0.00</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4C3EE4" w:rsidRDefault="007C6A5F" w:rsidP="00C36DA4">
            <w:pPr>
              <w:pStyle w:val="TableDataEntries"/>
            </w:pPr>
            <w:r w:rsidRPr="004C3EE4">
              <w:t>-7 455.55</w:t>
            </w:r>
          </w:p>
        </w:tc>
      </w:tr>
      <w:tr w:rsidR="007C6A5F" w:rsidRPr="009249A8" w:rsidTr="009B7FAE">
        <w:tblPrEx>
          <w:tblLook w:val="04A0" w:firstRow="1" w:lastRow="0" w:firstColumn="1" w:lastColumn="0" w:noHBand="0" w:noVBand="1"/>
        </w:tblPrEx>
        <w:trPr>
          <w:trHeight w:val="250"/>
        </w:trPr>
        <w:tc>
          <w:tcPr>
            <w:tcW w:w="2805" w:type="dxa"/>
            <w:tcBorders>
              <w:top w:val="single" w:sz="8" w:space="0" w:color="FFFFFF" w:themeColor="background1"/>
              <w:bottom w:val="single" w:sz="8" w:space="0" w:color="FFFFFF" w:themeColor="background1"/>
            </w:tcBorders>
            <w:shd w:val="clear" w:color="auto" w:fill="E9E8E5" w:themeFill="background2"/>
            <w:noWrap/>
            <w:hideMark/>
          </w:tcPr>
          <w:p w:rsidR="007C6A5F" w:rsidRPr="009249A8" w:rsidRDefault="007C6A5F" w:rsidP="00C36DA4">
            <w:pPr>
              <w:pStyle w:val="TableDataEntries"/>
              <w:jc w:val="left"/>
              <w:rPr>
                <w:rFonts w:ascii="Franklin Gothic Demi" w:hAnsi="Franklin Gothic Demi"/>
              </w:rPr>
            </w:pPr>
            <w:r w:rsidRPr="009249A8">
              <w:rPr>
                <w:rFonts w:ascii="Franklin Gothic Demi" w:hAnsi="Franklin Gothic Demi"/>
              </w:rPr>
              <w:t>Total costs</w:t>
            </w:r>
          </w:p>
        </w:tc>
        <w:tc>
          <w:tcPr>
            <w:tcW w:w="1027" w:type="dxa"/>
            <w:tcBorders>
              <w:top w:val="single" w:sz="8" w:space="0" w:color="FFFFFF" w:themeColor="background1"/>
              <w:bottom w:val="single" w:sz="8" w:space="0" w:color="FFFFFF" w:themeColor="background1"/>
            </w:tcBorders>
            <w:shd w:val="clear" w:color="auto" w:fill="E9E8E5" w:themeFill="background2"/>
            <w:noWrap/>
            <w:hideMark/>
          </w:tcPr>
          <w:p w:rsidR="007C6A5F" w:rsidRPr="009249A8" w:rsidRDefault="007C6A5F" w:rsidP="00C36DA4">
            <w:pPr>
              <w:pStyle w:val="TableDataEntries"/>
              <w:rPr>
                <w:rFonts w:ascii="Franklin Gothic Demi" w:hAnsi="Franklin Gothic Demi"/>
                <w:szCs w:val="16"/>
              </w:rPr>
            </w:pPr>
            <w:r w:rsidRPr="009249A8">
              <w:rPr>
                <w:rFonts w:ascii="Franklin Gothic Demi" w:hAnsi="Franklin Gothic Demi"/>
                <w:bCs/>
                <w:szCs w:val="16"/>
              </w:rPr>
              <w:t>-3 467.00</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9249A8" w:rsidRDefault="007C6A5F" w:rsidP="00C36DA4">
            <w:pPr>
              <w:pStyle w:val="TableDataEntries"/>
              <w:rPr>
                <w:rFonts w:ascii="Franklin Gothic Demi" w:hAnsi="Franklin Gothic Demi"/>
                <w:szCs w:val="16"/>
              </w:rPr>
            </w:pPr>
            <w:r w:rsidRPr="009249A8">
              <w:rPr>
                <w:rFonts w:ascii="Franklin Gothic Demi" w:hAnsi="Franklin Gothic Demi"/>
                <w:bCs/>
                <w:szCs w:val="16"/>
              </w:rPr>
              <w:t>-21 244.83</w:t>
            </w:r>
          </w:p>
        </w:tc>
        <w:tc>
          <w:tcPr>
            <w:tcW w:w="1027" w:type="dxa"/>
            <w:tcBorders>
              <w:top w:val="single" w:sz="8" w:space="0" w:color="FFFFFF" w:themeColor="background1"/>
              <w:bottom w:val="single" w:sz="8" w:space="0" w:color="FFFFFF" w:themeColor="background1"/>
            </w:tcBorders>
            <w:shd w:val="clear" w:color="auto" w:fill="E9E8E5" w:themeFill="background2"/>
            <w:noWrap/>
            <w:hideMark/>
          </w:tcPr>
          <w:p w:rsidR="007C6A5F" w:rsidRPr="009249A8" w:rsidRDefault="007C6A5F" w:rsidP="00C36DA4">
            <w:pPr>
              <w:pStyle w:val="TableDataEntries"/>
              <w:rPr>
                <w:rFonts w:ascii="Franklin Gothic Demi" w:hAnsi="Franklin Gothic Demi"/>
                <w:szCs w:val="16"/>
              </w:rPr>
            </w:pPr>
            <w:r w:rsidRPr="009249A8">
              <w:rPr>
                <w:rFonts w:ascii="Franklin Gothic Demi" w:hAnsi="Franklin Gothic Demi"/>
                <w:bCs/>
                <w:szCs w:val="16"/>
              </w:rPr>
              <w:t>-27 095.43</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9249A8" w:rsidRDefault="007C6A5F" w:rsidP="00C36DA4">
            <w:pPr>
              <w:pStyle w:val="TableDataEntries"/>
              <w:rPr>
                <w:rFonts w:ascii="Franklin Gothic Demi" w:hAnsi="Franklin Gothic Demi"/>
                <w:szCs w:val="16"/>
              </w:rPr>
            </w:pPr>
            <w:r w:rsidRPr="009249A8">
              <w:rPr>
                <w:rFonts w:ascii="Franklin Gothic Demi" w:hAnsi="Franklin Gothic Demi"/>
                <w:bCs/>
                <w:szCs w:val="16"/>
              </w:rPr>
              <w:t>-10 171.90</w:t>
            </w:r>
          </w:p>
        </w:tc>
        <w:tc>
          <w:tcPr>
            <w:tcW w:w="1028" w:type="dxa"/>
            <w:tcBorders>
              <w:top w:val="single" w:sz="8" w:space="0" w:color="FFFFFF" w:themeColor="background1"/>
              <w:bottom w:val="single" w:sz="8" w:space="0" w:color="FFFFFF" w:themeColor="background1"/>
            </w:tcBorders>
            <w:shd w:val="clear" w:color="auto" w:fill="E9E8E5" w:themeFill="background2"/>
            <w:noWrap/>
            <w:hideMark/>
          </w:tcPr>
          <w:p w:rsidR="007C6A5F" w:rsidRPr="009249A8" w:rsidRDefault="007C6A5F" w:rsidP="00C36DA4">
            <w:pPr>
              <w:pStyle w:val="TableDataEntries"/>
              <w:rPr>
                <w:rFonts w:ascii="Franklin Gothic Demi" w:hAnsi="Franklin Gothic Demi"/>
              </w:rPr>
            </w:pPr>
            <w:r w:rsidRPr="009249A8">
              <w:rPr>
                <w:rFonts w:ascii="Franklin Gothic Demi" w:hAnsi="Franklin Gothic Demi"/>
              </w:rPr>
              <w:t>-7 455.55</w:t>
            </w:r>
          </w:p>
        </w:tc>
      </w:tr>
      <w:tr w:rsidR="007C6A5F" w:rsidRPr="009249A8" w:rsidTr="009B7FAE">
        <w:tblPrEx>
          <w:tblLook w:val="04A0" w:firstRow="1" w:lastRow="0" w:firstColumn="1" w:lastColumn="0" w:noHBand="0" w:noVBand="1"/>
        </w:tblPrEx>
        <w:trPr>
          <w:trHeight w:val="250"/>
        </w:trPr>
        <w:tc>
          <w:tcPr>
            <w:tcW w:w="2805"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9249A8" w:rsidRDefault="007C6A5F" w:rsidP="00C36DA4">
            <w:pPr>
              <w:pStyle w:val="TableDataEntries"/>
              <w:jc w:val="left"/>
              <w:rPr>
                <w:rFonts w:ascii="Franklin Gothic Demi" w:hAnsi="Franklin Gothic Demi"/>
              </w:rPr>
            </w:pPr>
            <w:r w:rsidRPr="009249A8">
              <w:rPr>
                <w:rFonts w:ascii="Franklin Gothic Demi" w:hAnsi="Franklin Gothic Demi"/>
              </w:rPr>
              <w:t>Net benefit/costs</w:t>
            </w:r>
          </w:p>
        </w:tc>
        <w:tc>
          <w:tcPr>
            <w:tcW w:w="1027"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9249A8" w:rsidRDefault="007C6A5F" w:rsidP="00C36DA4">
            <w:pPr>
              <w:pStyle w:val="TableDataEntries"/>
              <w:rPr>
                <w:rFonts w:ascii="Franklin Gothic Demi" w:hAnsi="Franklin Gothic Demi"/>
                <w:szCs w:val="16"/>
              </w:rPr>
            </w:pPr>
            <w:r w:rsidRPr="009249A8">
              <w:rPr>
                <w:rFonts w:ascii="Franklin Gothic Demi" w:hAnsi="Franklin Gothic Demi"/>
                <w:bCs/>
                <w:szCs w:val="16"/>
              </w:rPr>
              <w:t>- 528.25</w:t>
            </w:r>
          </w:p>
        </w:tc>
        <w:tc>
          <w:tcPr>
            <w:tcW w:w="1028"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9249A8" w:rsidRDefault="007C6A5F" w:rsidP="00C36DA4">
            <w:pPr>
              <w:pStyle w:val="TableDataEntries"/>
              <w:rPr>
                <w:rFonts w:ascii="Franklin Gothic Demi" w:hAnsi="Franklin Gothic Demi"/>
                <w:szCs w:val="16"/>
              </w:rPr>
            </w:pPr>
            <w:r w:rsidRPr="009249A8">
              <w:rPr>
                <w:rFonts w:ascii="Franklin Gothic Demi" w:hAnsi="Franklin Gothic Demi"/>
                <w:bCs/>
                <w:szCs w:val="16"/>
              </w:rPr>
              <w:t>-14 861.10</w:t>
            </w:r>
          </w:p>
        </w:tc>
        <w:tc>
          <w:tcPr>
            <w:tcW w:w="1027"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9249A8" w:rsidRDefault="007C6A5F" w:rsidP="00C36DA4">
            <w:pPr>
              <w:pStyle w:val="TableDataEntries"/>
              <w:rPr>
                <w:rFonts w:ascii="Franklin Gothic Demi" w:hAnsi="Franklin Gothic Demi"/>
                <w:szCs w:val="16"/>
              </w:rPr>
            </w:pPr>
            <w:r w:rsidRPr="009249A8">
              <w:rPr>
                <w:rFonts w:ascii="Franklin Gothic Demi" w:hAnsi="Franklin Gothic Demi"/>
                <w:bCs/>
                <w:szCs w:val="16"/>
              </w:rPr>
              <w:t>-20 711.71</w:t>
            </w:r>
          </w:p>
        </w:tc>
        <w:tc>
          <w:tcPr>
            <w:tcW w:w="1028"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9249A8" w:rsidRDefault="007C6A5F" w:rsidP="00C36DA4">
            <w:pPr>
              <w:pStyle w:val="TableDataEntries"/>
              <w:rPr>
                <w:rFonts w:ascii="Franklin Gothic Demi" w:hAnsi="Franklin Gothic Demi"/>
                <w:szCs w:val="16"/>
              </w:rPr>
            </w:pPr>
            <w:r w:rsidRPr="009249A8">
              <w:rPr>
                <w:rFonts w:ascii="Franklin Gothic Demi" w:hAnsi="Franklin Gothic Demi"/>
                <w:bCs/>
                <w:szCs w:val="16"/>
              </w:rPr>
              <w:t>-8 465.65</w:t>
            </w:r>
          </w:p>
        </w:tc>
        <w:tc>
          <w:tcPr>
            <w:tcW w:w="1028"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9249A8" w:rsidRDefault="007C6A5F" w:rsidP="00C36DA4">
            <w:pPr>
              <w:pStyle w:val="TableDataEntries"/>
              <w:rPr>
                <w:rFonts w:ascii="Franklin Gothic Demi" w:hAnsi="Franklin Gothic Demi"/>
              </w:rPr>
            </w:pPr>
            <w:r w:rsidRPr="009249A8">
              <w:rPr>
                <w:rFonts w:ascii="Franklin Gothic Demi" w:hAnsi="Franklin Gothic Demi"/>
              </w:rPr>
              <w:t>- 800.87</w:t>
            </w:r>
          </w:p>
        </w:tc>
      </w:tr>
    </w:tbl>
    <w:p w:rsidR="007C6A5F" w:rsidRDefault="007C6A5F" w:rsidP="007C6A5F">
      <w:pPr>
        <w:pStyle w:val="BodyText"/>
        <w:rPr>
          <w:lang w:eastAsia="en-US" w:bidi="fa-IR"/>
        </w:rPr>
      </w:pPr>
      <w:r>
        <w:rPr>
          <w:lang w:eastAsia="en-US" w:bidi="fa-IR"/>
        </w:rPr>
        <w:t xml:space="preserve">The differences between the households over which non-altruistic benefits are estimated and aggregated under the various options and approaches are summarised in </w:t>
      </w:r>
      <w:r w:rsidRPr="00F835F8">
        <w:rPr>
          <w:lang w:eastAsia="en-US" w:bidi="fa-IR"/>
        </w:rPr>
        <w:t>table 7.</w:t>
      </w:r>
      <w:r w:rsidR="00956CE2">
        <w:rPr>
          <w:lang w:eastAsia="en-US" w:bidi="fa-IR"/>
        </w:rPr>
        <w:t>5</w:t>
      </w:r>
      <w:r>
        <w:rPr>
          <w:lang w:eastAsia="en-US" w:bidi="fa-IR"/>
        </w:rPr>
        <w:t xml:space="preserve">. </w:t>
      </w:r>
      <w:r w:rsidRPr="00BC0BFE">
        <w:rPr>
          <w:lang w:eastAsia="en-US" w:bidi="fa-IR"/>
        </w:rPr>
        <w:t>When aggregating benefits over all new homes under the WTP approach, we take account of the fact that the households containing persons with limited mobility and older persons tend to place a higher value on accessibility features than other households</w:t>
      </w:r>
      <w:r>
        <w:rPr>
          <w:lang w:eastAsia="en-US" w:bidi="fa-IR"/>
        </w:rPr>
        <w:t>.</w:t>
      </w:r>
    </w:p>
    <w:p w:rsidR="007C6A5F" w:rsidRDefault="007C6A5F" w:rsidP="007C6A5F">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rsidRPr="00695C93">
        <w:instrText xml:space="preserve">." </w:instrText>
      </w:r>
      <w:r w:rsidRPr="00695C93">
        <w:fldChar w:fldCharType="separate"/>
      </w:r>
      <w:r>
        <w:rPr>
          <w:noProof/>
        </w:rPr>
        <w:instrText>7</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7</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5</w:instrText>
      </w:r>
      <w:r w:rsidRPr="00695C93">
        <w:fldChar w:fldCharType="end"/>
      </w:r>
      <w:r w:rsidRPr="00695C93">
        <w:instrText xml:space="preserve">" "" </w:instrText>
      </w:r>
      <w:r w:rsidRPr="00695C93">
        <w:fldChar w:fldCharType="separate"/>
      </w:r>
      <w:bookmarkStart w:id="6326" w:name="_Caption0394"/>
      <w:bookmarkStart w:id="6327" w:name="_Caption5140"/>
      <w:bookmarkStart w:id="6328" w:name="_Caption6708"/>
      <w:bookmarkStart w:id="6329" w:name="_Caption0733"/>
      <w:bookmarkStart w:id="6330" w:name="_Caption9275"/>
      <w:bookmarkStart w:id="6331" w:name="_Caption7365"/>
      <w:bookmarkStart w:id="6332" w:name="_Caption5703"/>
      <w:bookmarkStart w:id="6333" w:name="_Caption6904"/>
      <w:bookmarkStart w:id="6334" w:name="_Caption9383"/>
      <w:bookmarkStart w:id="6335" w:name="_Caption3735"/>
      <w:bookmarkStart w:id="6336" w:name="_Caption1866"/>
      <w:bookmarkStart w:id="6337" w:name="_Caption6254"/>
      <w:bookmarkStart w:id="6338" w:name="_Caption4260"/>
      <w:bookmarkStart w:id="6339" w:name="_Caption2822"/>
      <w:bookmarkStart w:id="6340" w:name="_Caption8528"/>
      <w:bookmarkStart w:id="6341" w:name="_Caption6615"/>
      <w:bookmarkStart w:id="6342" w:name="_Caption8140"/>
      <w:bookmarkStart w:id="6343" w:name="_Toc44598558"/>
      <w:bookmarkStart w:id="6344" w:name="_Toc45654189"/>
      <w:r w:rsidR="00272AF3">
        <w:rPr>
          <w:noProof/>
        </w:rPr>
        <w:t>7</w:t>
      </w:r>
      <w:r w:rsidR="00272AF3" w:rsidRPr="00695C93">
        <w:rPr>
          <w:noProof/>
        </w:rPr>
        <w:t>.</w:t>
      </w:r>
      <w:r w:rsidR="00272AF3">
        <w:rPr>
          <w:noProof/>
        </w:rPr>
        <w:t>5</w:t>
      </w:r>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r w:rsidRPr="00695C93">
        <w:fldChar w:fldCharType="end"/>
      </w:r>
      <w:r w:rsidRPr="00695C93">
        <w:tab/>
      </w:r>
      <w:r>
        <w:t>Summary of benefit recipients by approach</w:t>
      </w:r>
      <w:bookmarkEnd w:id="6343"/>
      <w:bookmarkEnd w:id="6344"/>
    </w:p>
    <w:tbl>
      <w:tblPr>
        <w:tblStyle w:val="TableGridLight"/>
        <w:tblW w:w="7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7.5"/>
        <w:tblDescription w:val="Summary of benefit recipients by approach"/>
      </w:tblPr>
      <w:tblGrid>
        <w:gridCol w:w="1984"/>
        <w:gridCol w:w="1984"/>
        <w:gridCol w:w="1984"/>
        <w:gridCol w:w="1984"/>
      </w:tblGrid>
      <w:tr w:rsidR="007C6A5F" w:rsidRPr="007319BE" w:rsidTr="00C65294">
        <w:trPr>
          <w:trHeight w:val="300"/>
          <w:tblHeader/>
        </w:trPr>
        <w:tc>
          <w:tcPr>
            <w:tcW w:w="1984" w:type="dxa"/>
            <w:tcBorders>
              <w:bottom w:val="single" w:sz="8" w:space="0" w:color="FFFFFF" w:themeColor="background1"/>
            </w:tcBorders>
            <w:shd w:val="clear" w:color="auto" w:fill="6F6652" w:themeFill="accent5"/>
            <w:hideMark/>
          </w:tcPr>
          <w:p w:rsidR="007C6A5F" w:rsidRPr="007319BE" w:rsidRDefault="007C6A5F" w:rsidP="00C36DA4">
            <w:pPr>
              <w:pStyle w:val="TableTextColumnHeading"/>
            </w:pPr>
            <w:r w:rsidRPr="007319BE">
              <w:t>Approach</w:t>
            </w:r>
          </w:p>
        </w:tc>
        <w:tc>
          <w:tcPr>
            <w:tcW w:w="1984" w:type="dxa"/>
            <w:tcBorders>
              <w:bottom w:val="single" w:sz="8" w:space="0" w:color="FFFFFF" w:themeColor="background1"/>
            </w:tcBorders>
            <w:shd w:val="clear" w:color="auto" w:fill="6F6652" w:themeFill="accent5"/>
            <w:hideMark/>
          </w:tcPr>
          <w:p w:rsidR="007C6A5F" w:rsidRPr="007319BE" w:rsidRDefault="007C6A5F" w:rsidP="00C36DA4">
            <w:pPr>
              <w:pStyle w:val="TableTextColumnHeading"/>
            </w:pPr>
            <w:r w:rsidRPr="007319BE">
              <w:t>Options 1-3</w:t>
            </w:r>
          </w:p>
        </w:tc>
        <w:tc>
          <w:tcPr>
            <w:tcW w:w="1984" w:type="dxa"/>
            <w:tcBorders>
              <w:bottom w:val="single" w:sz="8" w:space="0" w:color="FFFFFF" w:themeColor="background1"/>
            </w:tcBorders>
            <w:shd w:val="clear" w:color="auto" w:fill="6F6652" w:themeFill="accent5"/>
            <w:hideMark/>
          </w:tcPr>
          <w:p w:rsidR="007C6A5F" w:rsidRPr="007319BE" w:rsidRDefault="007C6A5F" w:rsidP="00C36DA4">
            <w:pPr>
              <w:pStyle w:val="TableTextColumnHeading"/>
            </w:pPr>
            <w:r w:rsidRPr="007319BE">
              <w:t>Option 4</w:t>
            </w:r>
          </w:p>
        </w:tc>
        <w:tc>
          <w:tcPr>
            <w:tcW w:w="1984" w:type="dxa"/>
            <w:tcBorders>
              <w:bottom w:val="single" w:sz="8" w:space="0" w:color="FFFFFF" w:themeColor="background1"/>
            </w:tcBorders>
            <w:shd w:val="clear" w:color="auto" w:fill="6F6652" w:themeFill="accent5"/>
            <w:hideMark/>
          </w:tcPr>
          <w:p w:rsidR="007C6A5F" w:rsidRPr="007319BE" w:rsidRDefault="007C6A5F" w:rsidP="00C36DA4">
            <w:pPr>
              <w:pStyle w:val="TableTextColumnHeading"/>
            </w:pPr>
            <w:r w:rsidRPr="007319BE">
              <w:t>Option 5</w:t>
            </w:r>
          </w:p>
        </w:tc>
      </w:tr>
      <w:tr w:rsidR="007C6A5F" w:rsidRPr="007319BE" w:rsidTr="00B5160B">
        <w:trPr>
          <w:trHeight w:val="1230"/>
        </w:trPr>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Pr="007319BE" w:rsidRDefault="007C6A5F" w:rsidP="00C36DA4">
            <w:pPr>
              <w:pStyle w:val="TableTextEntries"/>
            </w:pPr>
            <w:r w:rsidRPr="007319BE">
              <w:t xml:space="preserve">Problem-reduction </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Pr="007319BE" w:rsidRDefault="007C6A5F" w:rsidP="00C36DA4">
            <w:pPr>
              <w:pStyle w:val="TableTextEntries"/>
            </w:pPr>
            <w:r w:rsidRPr="007319BE">
              <w:t>Mobility-limited renters of new homes plus newly-acquired disabilities in accessible housing</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Pr="007319BE" w:rsidRDefault="007C6A5F" w:rsidP="00C36DA4">
            <w:pPr>
              <w:pStyle w:val="TableTextEntries"/>
            </w:pPr>
            <w:r w:rsidRPr="007319BE">
              <w:t>Mobility-limited renters of new apartments plus newly-acquired disabilities in accessible apartments</w:t>
            </w:r>
          </w:p>
        </w:tc>
        <w:tc>
          <w:tcPr>
            <w:tcW w:w="1984" w:type="dxa"/>
            <w:tcBorders>
              <w:top w:val="single" w:sz="8" w:space="0" w:color="FFFFFF" w:themeColor="background1"/>
              <w:bottom w:val="single" w:sz="8" w:space="0" w:color="FFFFFF" w:themeColor="background1"/>
            </w:tcBorders>
            <w:shd w:val="clear" w:color="auto" w:fill="E9E8E5" w:themeFill="background2"/>
            <w:hideMark/>
          </w:tcPr>
          <w:p w:rsidR="007C6A5F" w:rsidRPr="007319BE" w:rsidRDefault="007C6A5F" w:rsidP="00C36DA4">
            <w:pPr>
              <w:pStyle w:val="TableTextEntries"/>
            </w:pPr>
            <w:r w:rsidRPr="007319BE">
              <w:t>Mobility-limited renters of new homes (assumed from year 1 to be all renters with mobility limitation currently in unsuitable homes)</w:t>
            </w:r>
          </w:p>
        </w:tc>
      </w:tr>
      <w:tr w:rsidR="007C6A5F" w:rsidRPr="007319BE" w:rsidTr="00B5160B">
        <w:trPr>
          <w:trHeight w:val="302"/>
        </w:trPr>
        <w:tc>
          <w:tcPr>
            <w:tcW w:w="1984" w:type="dxa"/>
            <w:tcBorders>
              <w:top w:val="single" w:sz="8" w:space="0" w:color="FFFFFF" w:themeColor="background1"/>
              <w:bottom w:val="single" w:sz="4" w:space="0" w:color="6F6652" w:themeColor="accent5"/>
            </w:tcBorders>
            <w:shd w:val="clear" w:color="auto" w:fill="E9E8E5" w:themeFill="background2"/>
            <w:hideMark/>
          </w:tcPr>
          <w:p w:rsidR="007C6A5F" w:rsidRPr="007319BE" w:rsidRDefault="007C6A5F" w:rsidP="00C36DA4">
            <w:pPr>
              <w:pStyle w:val="TableTextEntries"/>
            </w:pPr>
            <w:r w:rsidRPr="007319BE">
              <w:t>WTP</w:t>
            </w:r>
          </w:p>
        </w:tc>
        <w:tc>
          <w:tcPr>
            <w:tcW w:w="1984" w:type="dxa"/>
            <w:tcBorders>
              <w:top w:val="single" w:sz="8" w:space="0" w:color="FFFFFF" w:themeColor="background1"/>
              <w:bottom w:val="single" w:sz="4" w:space="0" w:color="6F6652" w:themeColor="accent5"/>
            </w:tcBorders>
            <w:shd w:val="clear" w:color="auto" w:fill="E9E8E5" w:themeFill="background2"/>
            <w:hideMark/>
          </w:tcPr>
          <w:p w:rsidR="007C6A5F" w:rsidRPr="007319BE" w:rsidRDefault="007C6A5F" w:rsidP="00C36DA4">
            <w:pPr>
              <w:pStyle w:val="TableTextEntries"/>
            </w:pPr>
            <w:r w:rsidRPr="007319BE">
              <w:t>All purchasers (other than the first for each home) and renters of new homes</w:t>
            </w:r>
          </w:p>
        </w:tc>
        <w:tc>
          <w:tcPr>
            <w:tcW w:w="1984" w:type="dxa"/>
            <w:tcBorders>
              <w:top w:val="single" w:sz="8" w:space="0" w:color="FFFFFF" w:themeColor="background1"/>
              <w:bottom w:val="single" w:sz="4" w:space="0" w:color="6F6652" w:themeColor="accent5"/>
            </w:tcBorders>
            <w:shd w:val="clear" w:color="auto" w:fill="E9E8E5" w:themeFill="background2"/>
            <w:hideMark/>
          </w:tcPr>
          <w:p w:rsidR="007C6A5F" w:rsidRPr="007319BE" w:rsidRDefault="007C6A5F" w:rsidP="00C36DA4">
            <w:pPr>
              <w:pStyle w:val="TableTextEntries"/>
            </w:pPr>
            <w:r w:rsidRPr="007319BE">
              <w:t>All purchasers (other than the first for each apartment) and renters of new apartments</w:t>
            </w:r>
          </w:p>
        </w:tc>
        <w:tc>
          <w:tcPr>
            <w:tcW w:w="1984" w:type="dxa"/>
            <w:tcBorders>
              <w:top w:val="single" w:sz="8" w:space="0" w:color="FFFFFF" w:themeColor="background1"/>
              <w:bottom w:val="single" w:sz="4" w:space="0" w:color="6F6652" w:themeColor="accent5"/>
            </w:tcBorders>
            <w:shd w:val="clear" w:color="auto" w:fill="E9E8E5" w:themeFill="background2"/>
            <w:hideMark/>
          </w:tcPr>
          <w:p w:rsidR="007C6A5F" w:rsidRPr="007319BE" w:rsidRDefault="007C6A5F" w:rsidP="00C36DA4">
            <w:pPr>
              <w:pStyle w:val="TableTextEntries"/>
            </w:pPr>
            <w:r w:rsidRPr="007319BE">
              <w:t>Mobility-limited renters of new homes (assumed from year 1 to be all renters with mobility limitation currently in unsuitable homes)</w:t>
            </w:r>
          </w:p>
        </w:tc>
      </w:tr>
    </w:tbl>
    <w:p w:rsidR="007C6A5F" w:rsidRDefault="007C6A5F" w:rsidP="007C6A5F">
      <w:pPr>
        <w:pStyle w:val="Source"/>
        <w:rPr>
          <w:lang w:bidi="fa-IR"/>
        </w:rPr>
      </w:pPr>
      <w:r w:rsidRPr="007319BE">
        <w:rPr>
          <w:i/>
          <w:lang w:bidi="fa-IR"/>
        </w:rPr>
        <w:t>Source:</w:t>
      </w:r>
      <w:r>
        <w:rPr>
          <w:lang w:bidi="fa-IR"/>
        </w:rPr>
        <w:t xml:space="preserve"> CIE.</w:t>
      </w:r>
    </w:p>
    <w:p w:rsidR="007C6A5F" w:rsidRDefault="007C6A5F" w:rsidP="007C6A5F">
      <w:pPr>
        <w:pStyle w:val="Heading3"/>
        <w:numPr>
          <w:ilvl w:val="2"/>
          <w:numId w:val="5"/>
        </w:numPr>
        <w:rPr>
          <w:lang w:eastAsia="en-US" w:bidi="fa-IR"/>
        </w:rPr>
      </w:pPr>
      <w:r>
        <w:rPr>
          <w:lang w:eastAsia="en-US" w:bidi="fa-IR"/>
        </w:rPr>
        <w:t>Qualitative assessment of enhanced voluntary guidance</w:t>
      </w:r>
    </w:p>
    <w:p w:rsidR="007C6A5F" w:rsidRDefault="007C6A5F" w:rsidP="007C6A5F">
      <w:pPr>
        <w:pStyle w:val="BodyText"/>
        <w:rPr>
          <w:lang w:eastAsia="en-US" w:bidi="fa-IR"/>
        </w:rPr>
      </w:pPr>
      <w:r>
        <w:rPr>
          <w:lang w:eastAsia="en-US" w:bidi="fa-IR"/>
        </w:rPr>
        <w:t xml:space="preserve">As discussed above, one option under consideration </w:t>
      </w:r>
      <w:r w:rsidR="00467315">
        <w:rPr>
          <w:lang w:eastAsia="en-US" w:bidi="fa-IR"/>
        </w:rPr>
        <w:t xml:space="preserve">involves </w:t>
      </w:r>
      <w:r>
        <w:rPr>
          <w:lang w:eastAsia="en-US" w:bidi="fa-IR"/>
        </w:rPr>
        <w:t>enhanced voluntary guidance, including:</w:t>
      </w:r>
    </w:p>
    <w:p w:rsidR="007C6A5F" w:rsidRDefault="007C6A5F" w:rsidP="005A6F87">
      <w:pPr>
        <w:pStyle w:val="ListBullet"/>
        <w:numPr>
          <w:ilvl w:val="0"/>
          <w:numId w:val="17"/>
        </w:numPr>
        <w:rPr>
          <w:lang w:eastAsia="en-US" w:bidi="fa-IR"/>
        </w:rPr>
      </w:pPr>
      <w:r>
        <w:rPr>
          <w:lang w:eastAsia="en-US" w:bidi="fa-IR"/>
        </w:rPr>
        <w:t>developing the proposed standards into a voluntary ABCB handbook</w:t>
      </w:r>
    </w:p>
    <w:p w:rsidR="007C6A5F" w:rsidRDefault="007C6A5F" w:rsidP="005A6F87">
      <w:pPr>
        <w:pStyle w:val="ListBullet"/>
        <w:numPr>
          <w:ilvl w:val="0"/>
          <w:numId w:val="17"/>
        </w:numPr>
        <w:rPr>
          <w:lang w:eastAsia="en-US" w:bidi="fa-IR"/>
        </w:rPr>
      </w:pPr>
      <w:r>
        <w:rPr>
          <w:lang w:eastAsia="en-US" w:bidi="fa-IR"/>
        </w:rPr>
        <w:t>provision of information at the point of sale</w:t>
      </w:r>
    </w:p>
    <w:p w:rsidR="007C6A5F" w:rsidRDefault="007C6A5F" w:rsidP="005A6F87">
      <w:pPr>
        <w:pStyle w:val="ListBullet"/>
        <w:numPr>
          <w:ilvl w:val="0"/>
          <w:numId w:val="17"/>
        </w:numPr>
        <w:rPr>
          <w:lang w:eastAsia="en-US" w:bidi="fa-IR"/>
        </w:rPr>
      </w:pPr>
      <w:r>
        <w:rPr>
          <w:lang w:eastAsia="en-US" w:bidi="fa-IR"/>
        </w:rPr>
        <w:t>better matching services.</w:t>
      </w:r>
    </w:p>
    <w:p w:rsidR="007C6A5F" w:rsidRDefault="007C6A5F" w:rsidP="007C6A5F">
      <w:pPr>
        <w:pStyle w:val="BodyText"/>
        <w:rPr>
          <w:lang w:eastAsia="en-US" w:bidi="fa-IR"/>
        </w:rPr>
      </w:pPr>
      <w:r>
        <w:rPr>
          <w:lang w:eastAsia="en-US" w:bidi="fa-IR"/>
        </w:rPr>
        <w:t xml:space="preserve">A key finding from the stated preference survey is that on average, </w:t>
      </w:r>
      <w:r w:rsidRPr="006C3FC1">
        <w:rPr>
          <w:lang w:eastAsia="en-US" w:bidi="fa-IR"/>
        </w:rPr>
        <w:t>the community’s willingness to pay for accessibility features is likely to be higher than the cost associated with incorporating these features in the dwelling design.</w:t>
      </w:r>
      <w:r>
        <w:rPr>
          <w:lang w:eastAsia="en-US" w:bidi="fa-IR"/>
        </w:rPr>
        <w:t xml:space="preserve"> Where the value buyers place on these accessibility features are higher than the cost, we generally expect to see these design features adopted voluntarily. However, this does not align with the reported low uptake of the LHDG; anecdotal evidence from industry stakeholders that even where volume builders offer designs with accessibility features, there is often little interest from buyers (particularly younger buyers).</w:t>
      </w:r>
    </w:p>
    <w:p w:rsidR="007C6A5F" w:rsidRDefault="007C6A5F" w:rsidP="007C6A5F">
      <w:pPr>
        <w:pStyle w:val="BodyText"/>
        <w:rPr>
          <w:lang w:eastAsia="en-US" w:bidi="fa-IR"/>
        </w:rPr>
      </w:pPr>
      <w:r>
        <w:rPr>
          <w:lang w:eastAsia="en-US" w:bidi="fa-IR"/>
        </w:rPr>
        <w:t>One interpretation of these findings is that survey respondents overstated their true preferences for accessibility features. As noted in the OBPR guidance material, observed market behaviour is generally considered more credible than preferences elicited from surveys.</w:t>
      </w:r>
      <w:r>
        <w:rPr>
          <w:rStyle w:val="FootnoteReference"/>
          <w:lang w:eastAsia="en-US" w:bidi="fa-IR"/>
        </w:rPr>
        <w:footnoteReference w:id="66"/>
      </w:r>
    </w:p>
    <w:p w:rsidR="007C6A5F" w:rsidRDefault="007C6A5F" w:rsidP="007C6A5F">
      <w:pPr>
        <w:pStyle w:val="BodyText"/>
        <w:rPr>
          <w:lang w:eastAsia="en-US" w:bidi="fa-IR"/>
        </w:rPr>
      </w:pPr>
      <w:r>
        <w:rPr>
          <w:lang w:eastAsia="en-US" w:bidi="fa-IR"/>
        </w:rPr>
        <w:t>An alternative interpretation is that the survey reflects buyers’ true preferences, but the various market failures are preventing these preferences from being reflected in housing designs. These market failures include:</w:t>
      </w:r>
    </w:p>
    <w:p w:rsidR="007C6A5F" w:rsidRDefault="007C6A5F" w:rsidP="005A6F87">
      <w:pPr>
        <w:pStyle w:val="ListBullet"/>
        <w:numPr>
          <w:ilvl w:val="0"/>
          <w:numId w:val="17"/>
        </w:numPr>
        <w:rPr>
          <w:lang w:eastAsia="en-US" w:bidi="fa-IR"/>
        </w:rPr>
      </w:pPr>
      <w:r>
        <w:rPr>
          <w:lang w:eastAsia="en-US" w:bidi="fa-IR"/>
        </w:rPr>
        <w:t>lack of awareness of the benefits of accessible housing</w:t>
      </w:r>
    </w:p>
    <w:p w:rsidR="007C6A5F" w:rsidRDefault="007C6A5F" w:rsidP="005A6F87">
      <w:pPr>
        <w:pStyle w:val="ListBullet"/>
        <w:numPr>
          <w:ilvl w:val="0"/>
          <w:numId w:val="17"/>
        </w:numPr>
        <w:rPr>
          <w:lang w:eastAsia="en-US" w:bidi="fa-IR"/>
        </w:rPr>
      </w:pPr>
      <w:r>
        <w:rPr>
          <w:lang w:eastAsia="en-US" w:bidi="fa-IR"/>
        </w:rPr>
        <w:t>the characteristics of housing supply.</w:t>
      </w:r>
    </w:p>
    <w:p w:rsidR="007C6A5F" w:rsidRDefault="007C6A5F" w:rsidP="007C6A5F">
      <w:pPr>
        <w:pStyle w:val="BodyText"/>
        <w:rPr>
          <w:lang w:eastAsia="en-US" w:bidi="fa-IR"/>
        </w:rPr>
      </w:pPr>
      <w:r>
        <w:rPr>
          <w:lang w:eastAsia="en-US" w:bidi="fa-IR"/>
        </w:rPr>
        <w:t xml:space="preserve">If the results of the willingness to pay study reflect buyers’ true preferences and an enhanced voluntary guidance helps to overcome these market failures directly, we would </w:t>
      </w:r>
      <w:r>
        <w:rPr>
          <w:lang w:eastAsia="en-US" w:bidi="fa-IR"/>
        </w:rPr>
        <w:lastRenderedPageBreak/>
        <w:t>expect to see high uptake of accessibility features under the enhanced voluntary guidance option.</w:t>
      </w:r>
    </w:p>
    <w:p w:rsidR="007C6A5F" w:rsidRDefault="007C6A5F" w:rsidP="007C6A5F">
      <w:pPr>
        <w:pStyle w:val="BodyText"/>
        <w:rPr>
          <w:lang w:eastAsia="en-US" w:bidi="fa-IR"/>
        </w:rPr>
      </w:pPr>
      <w:r>
        <w:rPr>
          <w:lang w:eastAsia="en-US" w:bidi="fa-IR"/>
        </w:rPr>
        <w:t>The voluntary guidance option would also have lower risk of imposing excessive costs, such as; dwellings on lots where the costs of complying with the proposed standards are high; or some buyers have a strong preference for non</w:t>
      </w:r>
      <w:r>
        <w:rPr>
          <w:lang w:eastAsia="en-US" w:bidi="fa-IR"/>
        </w:rPr>
        <w:noBreakHyphen/>
        <w:t>compliant design features.</w:t>
      </w:r>
    </w:p>
    <w:p w:rsidR="007C6A5F" w:rsidRDefault="007C6A5F" w:rsidP="007C6A5F">
      <w:pPr>
        <w:pStyle w:val="BodyText"/>
        <w:rPr>
          <w:lang w:eastAsia="en-US" w:bidi="fa-IR"/>
        </w:rPr>
      </w:pPr>
      <w:r>
        <w:rPr>
          <w:lang w:eastAsia="en-US" w:bidi="fa-IR"/>
        </w:rPr>
        <w:t>Furthermore, the additional cost of developing a voluntary handbook would be minimal, given that some of the initial work necessary to underpin a voluntary handbook has already been completed. However, the provision of point of sale information and matching services, which are also components of Option 6, falls outside the remit of the ABCB.</w:t>
      </w:r>
    </w:p>
    <w:p w:rsidR="007C6A5F" w:rsidRDefault="007C6A5F" w:rsidP="00314C61">
      <w:pPr>
        <w:pStyle w:val="Invisiblepara"/>
        <w:spacing w:before="240"/>
      </w:pPr>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Box 7.6"/>
        <w:tblDescription w:val="Questions for stakeholders"/>
      </w:tblPr>
      <w:tblGrid>
        <w:gridCol w:w="7938"/>
      </w:tblGrid>
      <w:tr w:rsidR="007C6A5F" w:rsidRPr="00E05C8C" w:rsidTr="00C04ED2">
        <w:trPr>
          <w:tblHeader/>
        </w:trPr>
        <w:tc>
          <w:tcPr>
            <w:tcW w:w="7938" w:type="dxa"/>
            <w:shd w:val="clear" w:color="auto" w:fill="C6BFAB" w:themeFill="accent3"/>
          </w:tcPr>
          <w:p w:rsidR="007C6A5F" w:rsidRPr="00E05C8C" w:rsidRDefault="007C6A5F" w:rsidP="005A6F87">
            <w:pPr>
              <w:pStyle w:val="Caption"/>
              <w:numPr>
                <w:ilvl w:val="0"/>
                <w:numId w:val="13"/>
              </w:numPr>
              <w:spacing w:before="120" w:after="100"/>
            </w:pPr>
            <w:r w:rsidRPr="00E05C8C">
              <w:fldChar w:fldCharType="begin"/>
            </w:r>
            <w:r w:rsidRPr="00E05C8C">
              <w:instrText xml:space="preserve"> IF 1 = 1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rsidRPr="00E05C8C">
              <w:instrText xml:space="preserve"> = 0 ""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rsidRPr="00E05C8C">
              <w:instrText xml:space="preserve">." </w:instrText>
            </w:r>
            <w:r w:rsidRPr="00E05C8C">
              <w:fldChar w:fldCharType="separate"/>
            </w:r>
            <w:r>
              <w:rPr>
                <w:noProof/>
              </w:rPr>
              <w:instrText>7</w:instrText>
            </w:r>
            <w:r w:rsidRPr="00E05C8C">
              <w:rPr>
                <w:noProof/>
              </w:rPr>
              <w:instrText>.</w:instrText>
            </w:r>
            <w:r w:rsidRPr="00E05C8C">
              <w:fldChar w:fldCharType="end"/>
            </w:r>
            <w:r w:rsidRPr="00E05C8C">
              <w:instrText>" "</w:instrText>
            </w:r>
            <w:r w:rsidR="00F56BFF">
              <w:fldChar w:fldCharType="begin"/>
            </w:r>
            <w:r w:rsidR="00F56BFF">
              <w:instrText xml:space="preserve"> STYLEREF "Heading 6" \l \n </w:instrText>
            </w:r>
            <w:r w:rsidR="00F56BFF">
              <w:fldChar w:fldCharType="separate"/>
            </w:r>
            <w:r w:rsidRPr="00E05C8C">
              <w:instrText>B</w:instrText>
            </w:r>
            <w:r w:rsidR="00F56BFF">
              <w:fldChar w:fldCharType="end"/>
            </w:r>
            <w:r w:rsidRPr="00E05C8C">
              <w:instrText xml:space="preserve">." </w:instrText>
            </w:r>
            <w:r w:rsidRPr="00E05C8C">
              <w:fldChar w:fldCharType="separate"/>
            </w:r>
            <w:r w:rsidR="00272AF3">
              <w:rPr>
                <w:noProof/>
              </w:rPr>
              <w:instrText>7</w:instrText>
            </w:r>
            <w:r w:rsidR="00272AF3"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rsidRPr="00E05C8C">
              <w:instrText xml:space="preserve"> = 0 "" "1" </w:instrText>
            </w:r>
            <w:r w:rsidRPr="00E05C8C">
              <w:fldChar w:fldCharType="separate"/>
            </w:r>
            <w:r w:rsidR="00272AF3" w:rsidRPr="00E05C8C">
              <w:rPr>
                <w:noProof/>
              </w:rPr>
              <w:instrText>1</w:instrText>
            </w:r>
            <w:r w:rsidRPr="00E05C8C">
              <w:fldChar w:fldCharType="end"/>
            </w:r>
            <w:r w:rsidRPr="00E05C8C">
              <w:instrText xml:space="preserve">" "6" </w:instrText>
            </w:r>
            <w:r w:rsidRPr="00E05C8C">
              <w:fldChar w:fldCharType="separate"/>
            </w:r>
            <w:r w:rsidR="00272AF3" w:rsidRPr="00E05C8C">
              <w:rPr>
                <w:noProof/>
              </w:rPr>
              <w:instrText>1</w:instrText>
            </w:r>
            <w:r w:rsidRPr="00E05C8C">
              <w:fldChar w:fldCharType="end"/>
            </w:r>
            <w:r w:rsidRPr="00E05C8C">
              <w:instrText xml:space="preserve"> </w:instrText>
            </w:r>
            <w:r w:rsidRPr="00E05C8C">
              <w:fldChar w:fldCharType="separate"/>
            </w:r>
            <w:r>
              <w:rPr>
                <w:noProof/>
              </w:rPr>
              <w:instrText>6</w:instrText>
            </w:r>
            <w:r w:rsidRPr="00E05C8C">
              <w:fldChar w:fldCharType="end"/>
            </w:r>
            <w:r w:rsidRPr="00E05C8C">
              <w:instrText xml:space="preserve">" "" </w:instrText>
            </w:r>
            <w:r w:rsidRPr="00E05C8C">
              <w:fldChar w:fldCharType="separate"/>
            </w:r>
            <w:bookmarkStart w:id="6345" w:name="_Caption0328"/>
            <w:bookmarkStart w:id="6346" w:name="_Caption1563"/>
            <w:bookmarkStart w:id="6347" w:name="_Caption9573"/>
            <w:bookmarkStart w:id="6348" w:name="_Caption8676"/>
            <w:bookmarkStart w:id="6349" w:name="_Caption2744"/>
            <w:bookmarkStart w:id="6350" w:name="_Caption7481"/>
            <w:bookmarkStart w:id="6351" w:name="_Toc44598559"/>
            <w:bookmarkStart w:id="6352" w:name="_Toc45654190"/>
            <w:r w:rsidR="00272AF3">
              <w:rPr>
                <w:noProof/>
              </w:rPr>
              <w:t>7</w:t>
            </w:r>
            <w:r w:rsidR="00272AF3" w:rsidRPr="00E05C8C">
              <w:rPr>
                <w:noProof/>
              </w:rPr>
              <w:t>.</w:t>
            </w:r>
            <w:r w:rsidR="00272AF3">
              <w:rPr>
                <w:noProof/>
              </w:rPr>
              <w:t>6</w:t>
            </w:r>
            <w:bookmarkEnd w:id="6345"/>
            <w:bookmarkEnd w:id="6346"/>
            <w:bookmarkEnd w:id="6347"/>
            <w:bookmarkEnd w:id="6348"/>
            <w:bookmarkEnd w:id="6349"/>
            <w:bookmarkEnd w:id="6350"/>
            <w:r w:rsidRPr="00E05C8C">
              <w:fldChar w:fldCharType="end"/>
            </w:r>
            <w:r w:rsidRPr="00E05C8C">
              <w:tab/>
            </w:r>
            <w:r>
              <w:t>Questions for stakeholders</w:t>
            </w:r>
            <w:bookmarkEnd w:id="6351"/>
            <w:bookmarkEnd w:id="6352"/>
          </w:p>
        </w:tc>
      </w:tr>
      <w:tr w:rsidR="007C6A5F" w:rsidTr="00B5160B">
        <w:tc>
          <w:tcPr>
            <w:tcW w:w="7938" w:type="dxa"/>
            <w:tcBorders>
              <w:bottom w:val="single" w:sz="4" w:space="0" w:color="9B917E" w:themeColor="accent4"/>
            </w:tcBorders>
            <w:shd w:val="clear" w:color="auto" w:fill="E9E8E5" w:themeFill="background2"/>
          </w:tcPr>
          <w:p w:rsidR="00D82DD9" w:rsidRDefault="00D82DD9" w:rsidP="00D82DD9">
            <w:pPr>
              <w:pStyle w:val="ListBullet"/>
              <w:numPr>
                <w:ilvl w:val="0"/>
                <w:numId w:val="17"/>
              </w:numPr>
            </w:pPr>
            <w:r>
              <w:t>To what extent would better information provision and promotion of an enhanced non-regulatory approach (Option 6) be effective in encouraging additional uptake of universal design principles in new dwellings?</w:t>
            </w:r>
          </w:p>
          <w:p w:rsidR="007C6A5F" w:rsidRPr="00BF2F67" w:rsidRDefault="00D82DD9" w:rsidP="0055459B">
            <w:pPr>
              <w:pStyle w:val="ListBullet"/>
              <w:numPr>
                <w:ilvl w:val="0"/>
                <w:numId w:val="17"/>
              </w:numPr>
              <w:spacing w:after="120"/>
              <w:rPr>
                <w:lang w:bidi="fa-IR"/>
              </w:rPr>
            </w:pPr>
            <w:r w:rsidRPr="00107E78">
              <w:rPr>
                <w:lang w:bidi="fa-IR"/>
              </w:rPr>
              <w:t xml:space="preserve">Which </w:t>
            </w:r>
            <w:r>
              <w:rPr>
                <w:lang w:bidi="fa-IR"/>
              </w:rPr>
              <w:t xml:space="preserve">option </w:t>
            </w:r>
            <w:r w:rsidRPr="00107E78">
              <w:rPr>
                <w:lang w:bidi="fa-IR"/>
              </w:rPr>
              <w:t>is your preferred option?</w:t>
            </w:r>
          </w:p>
        </w:tc>
      </w:tr>
    </w:tbl>
    <w:p w:rsidR="007C6A5F" w:rsidRDefault="007C6A5F" w:rsidP="00314C61">
      <w:pPr>
        <w:pStyle w:val="Heading2"/>
        <w:numPr>
          <w:ilvl w:val="1"/>
          <w:numId w:val="5"/>
        </w:numPr>
        <w:spacing w:before="480"/>
        <w:rPr>
          <w:lang w:bidi="fa-IR"/>
        </w:rPr>
      </w:pPr>
      <w:bookmarkStart w:id="6353" w:name="_Toc32321770"/>
      <w:bookmarkStart w:id="6354" w:name="_Toc44598459"/>
      <w:bookmarkStart w:id="6355" w:name="_Toc45654090"/>
      <w:r>
        <w:rPr>
          <w:lang w:bidi="fa-IR"/>
        </w:rPr>
        <w:t>Sensitivity analysis</w:t>
      </w:r>
      <w:bookmarkEnd w:id="6353"/>
      <w:bookmarkEnd w:id="6354"/>
      <w:bookmarkEnd w:id="6355"/>
    </w:p>
    <w:p w:rsidR="007C6A5F" w:rsidRDefault="007C6A5F" w:rsidP="007C6A5F">
      <w:pPr>
        <w:pStyle w:val="BodyText"/>
        <w:rPr>
          <w:lang w:bidi="fa-IR"/>
        </w:rPr>
      </w:pPr>
      <w:r>
        <w:rPr>
          <w:lang w:bidi="fa-IR"/>
        </w:rPr>
        <w:t>As noted above, there is significant uncertainty around the above estimates, on both the cost and benefits side, due to data limitations and other factors. It is therefore important to test the robustness of the results (and the policy conclusions drawn from them) to alternative assumptions.</w:t>
      </w:r>
    </w:p>
    <w:p w:rsidR="007C6A5F" w:rsidRDefault="007C6A5F" w:rsidP="005A6F87">
      <w:pPr>
        <w:pStyle w:val="ListBullet"/>
        <w:numPr>
          <w:ilvl w:val="0"/>
          <w:numId w:val="17"/>
        </w:numPr>
        <w:ind w:right="-568"/>
        <w:rPr>
          <w:lang w:bidi="fa-IR"/>
        </w:rPr>
      </w:pPr>
      <w:r>
        <w:rPr>
          <w:lang w:bidi="fa-IR"/>
        </w:rPr>
        <w:t>On the cost side, key uncertainties and additional scenarios tested include the following.</w:t>
      </w:r>
    </w:p>
    <w:p w:rsidR="007C6A5F" w:rsidRDefault="007C6A5F" w:rsidP="005A6F87">
      <w:pPr>
        <w:pStyle w:val="ListBullet2"/>
        <w:numPr>
          <w:ilvl w:val="1"/>
          <w:numId w:val="17"/>
        </w:numPr>
        <w:ind w:left="568" w:hanging="284"/>
        <w:rPr>
          <w:lang w:bidi="fa-IR"/>
        </w:rPr>
      </w:pPr>
      <w:r>
        <w:rPr>
          <w:lang w:bidi="fa-IR"/>
        </w:rPr>
        <w:t>The weightings underpinning the costings are based on DCWC’s professional judgement, rather than objective data. Rather than testing the sensitivity to each choice of weightings, a better way to present the sensitivity of the results to the cost estimates is to estimate the change in the cost per dwelling required for each option to break</w:t>
      </w:r>
      <w:r>
        <w:rPr>
          <w:lang w:bidi="fa-IR"/>
        </w:rPr>
        <w:noBreakHyphen/>
        <w:t>even. That said, a significant change to the weightings to reflect greater provision of particular design features under the baseline would also flow through to the benefits (i.e. if accessible design features are already provided, there are fewer benefits from mandating these features).</w:t>
      </w:r>
    </w:p>
    <w:p w:rsidR="007C6A5F" w:rsidRDefault="007C6A5F" w:rsidP="005A6F87">
      <w:pPr>
        <w:pStyle w:val="ListBullet2"/>
        <w:numPr>
          <w:ilvl w:val="1"/>
          <w:numId w:val="17"/>
        </w:numPr>
        <w:ind w:left="568" w:hanging="284"/>
        <w:rPr>
          <w:lang w:bidi="fa-IR"/>
        </w:rPr>
      </w:pPr>
      <w:r w:rsidRPr="006C3FC1">
        <w:rPr>
          <w:lang w:bidi="fa-IR"/>
        </w:rPr>
        <w:t>Whether the opportunity cost of additional space requirements has been measured correctly</w:t>
      </w:r>
      <w:r w:rsidR="00B844DC">
        <w:rPr>
          <w:lang w:bidi="fa-IR"/>
        </w:rPr>
        <w:t xml:space="preserve"> — </w:t>
      </w:r>
      <w:r>
        <w:rPr>
          <w:lang w:bidi="fa-IR"/>
        </w:rPr>
        <w:t>some stakeholders argued that any loss of amenity could be minimised through better design. To test the extent to which the opportunity cost of space affect the CBA results, we test a scenario that excludes the opportunity cost of space.</w:t>
      </w:r>
    </w:p>
    <w:p w:rsidR="007C6A5F" w:rsidRDefault="007C6A5F" w:rsidP="005A6F87">
      <w:pPr>
        <w:pStyle w:val="ListBullet2"/>
        <w:numPr>
          <w:ilvl w:val="1"/>
          <w:numId w:val="17"/>
        </w:numPr>
        <w:ind w:left="568" w:hanging="284"/>
        <w:rPr>
          <w:lang w:bidi="fa-IR"/>
        </w:rPr>
      </w:pPr>
      <w:r>
        <w:rPr>
          <w:lang w:bidi="fa-IR"/>
        </w:rPr>
        <w:t xml:space="preserve">It is also unclear whether excavation costs to meet accessibility requirements has been fully taken into account. </w:t>
      </w:r>
      <w:r w:rsidRPr="006C3FC1">
        <w:rPr>
          <w:lang w:bidi="fa-IR"/>
        </w:rPr>
        <w:t>We therefore test the impact of including the excavation cost estimates provided by HIA in addition to the construction cost estimates provided by DCWC.</w:t>
      </w:r>
    </w:p>
    <w:p w:rsidR="007C6A5F" w:rsidRDefault="007C6A5F" w:rsidP="005A6F87">
      <w:pPr>
        <w:pStyle w:val="ListBullet"/>
        <w:numPr>
          <w:ilvl w:val="0"/>
          <w:numId w:val="17"/>
        </w:numPr>
        <w:ind w:right="-568"/>
        <w:rPr>
          <w:lang w:bidi="fa-IR"/>
        </w:rPr>
      </w:pPr>
      <w:r>
        <w:rPr>
          <w:lang w:bidi="fa-IR"/>
        </w:rPr>
        <w:t>On the benefits side, key uncertainties and additional scenarios tested include the following.</w:t>
      </w:r>
    </w:p>
    <w:p w:rsidR="007C6A5F" w:rsidRDefault="007C6A5F" w:rsidP="005A6F87">
      <w:pPr>
        <w:pStyle w:val="ListBullet2"/>
        <w:numPr>
          <w:ilvl w:val="1"/>
          <w:numId w:val="17"/>
        </w:numPr>
        <w:ind w:left="568" w:hanging="284"/>
        <w:rPr>
          <w:lang w:bidi="fa-IR"/>
        </w:rPr>
      </w:pPr>
      <w:r>
        <w:rPr>
          <w:lang w:bidi="fa-IR"/>
        </w:rPr>
        <w:lastRenderedPageBreak/>
        <w:t>For some of the problems identified, we provided a range. We therefore test an alternative scenarios, using the low and high estimates.</w:t>
      </w:r>
    </w:p>
    <w:p w:rsidR="007C6A5F" w:rsidRDefault="007C6A5F" w:rsidP="005A6F87">
      <w:pPr>
        <w:pStyle w:val="ListBullet2"/>
        <w:numPr>
          <w:ilvl w:val="1"/>
          <w:numId w:val="17"/>
        </w:numPr>
        <w:ind w:left="568" w:hanging="284"/>
        <w:rPr>
          <w:lang w:bidi="fa-IR"/>
        </w:rPr>
      </w:pPr>
      <w:r>
        <w:rPr>
          <w:lang w:bidi="fa-IR"/>
        </w:rPr>
        <w:t>A significant share of the benefits relate to the community’s preference for more equitable outcomes for all members of the community, including those with mobility</w:t>
      </w:r>
      <w:r>
        <w:rPr>
          <w:lang w:bidi="fa-IR"/>
        </w:rPr>
        <w:noBreakHyphen/>
        <w:t>related disabilities. We estimate the net benefits under a scenario where these societal benefits are excluded, so the benefits reflect only the tangible improvements in housing</w:t>
      </w:r>
      <w:r>
        <w:rPr>
          <w:lang w:bidi="fa-IR"/>
        </w:rPr>
        <w:noBreakHyphen/>
        <w:t>related outcomes.</w:t>
      </w:r>
    </w:p>
    <w:p w:rsidR="007C6A5F" w:rsidRDefault="007C6A5F" w:rsidP="005A6F87">
      <w:pPr>
        <w:pStyle w:val="ListBullet2"/>
        <w:numPr>
          <w:ilvl w:val="1"/>
          <w:numId w:val="17"/>
        </w:numPr>
        <w:ind w:left="568" w:hanging="284"/>
        <w:rPr>
          <w:lang w:bidi="fa-IR"/>
        </w:rPr>
      </w:pPr>
      <w:r>
        <w:rPr>
          <w:lang w:bidi="fa-IR"/>
        </w:rPr>
        <w:t xml:space="preserve">To take into account the fact that a significant proportion of new housing built under the current code will have some accessibility features (although relatively few houses will have all of features in the proposed standard), </w:t>
      </w:r>
      <w:r w:rsidRPr="006C3FC1">
        <w:rPr>
          <w:lang w:bidi="fa-IR"/>
        </w:rPr>
        <w:t xml:space="preserve">we </w:t>
      </w:r>
      <w:r w:rsidR="00B844DC">
        <w:rPr>
          <w:lang w:bidi="fa-IR"/>
        </w:rPr>
        <w:t xml:space="preserve">also </w:t>
      </w:r>
      <w:r w:rsidRPr="006C3FC1">
        <w:rPr>
          <w:lang w:bidi="fa-IR"/>
        </w:rPr>
        <w:t>reduced the benefits.</w:t>
      </w:r>
      <w:r>
        <w:rPr>
          <w:lang w:bidi="fa-IR"/>
        </w:rPr>
        <w:t xml:space="preserve"> However, the extent to which the benefits should be reduced is highly uncertain. We therefore consider two alternative scenarios:</w:t>
      </w:r>
    </w:p>
    <w:p w:rsidR="007C6A5F" w:rsidRDefault="007C6A5F" w:rsidP="005A6F87">
      <w:pPr>
        <w:pStyle w:val="ListBullet3"/>
        <w:numPr>
          <w:ilvl w:val="2"/>
          <w:numId w:val="17"/>
        </w:numPr>
        <w:rPr>
          <w:lang w:bidi="fa-IR"/>
        </w:rPr>
      </w:pPr>
      <w:r>
        <w:rPr>
          <w:lang w:bidi="fa-IR"/>
        </w:rPr>
        <w:t xml:space="preserve">Where the benefits are reduced by 15 per cent (reflecting a lower bound of the analysis </w:t>
      </w:r>
    </w:p>
    <w:p w:rsidR="007C6A5F" w:rsidRDefault="007C6A5F" w:rsidP="005A6F87">
      <w:pPr>
        <w:pStyle w:val="ListBullet3"/>
        <w:numPr>
          <w:ilvl w:val="2"/>
          <w:numId w:val="17"/>
        </w:numPr>
        <w:rPr>
          <w:lang w:bidi="fa-IR"/>
        </w:rPr>
      </w:pPr>
      <w:r w:rsidRPr="006C3FC1">
        <w:rPr>
          <w:lang w:bidi="fa-IR"/>
        </w:rPr>
        <w:t>Where the benefits are not reduced at all</w:t>
      </w:r>
      <w:r>
        <w:rPr>
          <w:lang w:bidi="fa-IR"/>
        </w:rPr>
        <w:t>. This would reflect a view that all of the accessibility features are required to make a dwelling accessible.</w:t>
      </w:r>
    </w:p>
    <w:p w:rsidR="007C6A5F" w:rsidRDefault="007C6A5F" w:rsidP="005A6F87">
      <w:pPr>
        <w:pStyle w:val="ListBullet2"/>
        <w:numPr>
          <w:ilvl w:val="1"/>
          <w:numId w:val="17"/>
        </w:numPr>
        <w:ind w:left="568" w:hanging="284"/>
        <w:rPr>
          <w:lang w:bidi="fa-IR"/>
        </w:rPr>
      </w:pPr>
      <w:r>
        <w:rPr>
          <w:lang w:bidi="fa-IR"/>
        </w:rPr>
        <w:t>A significant share of the benefits are from the increased availability of accessible rental properties. However, the extent to which these accessible rental properties would be allocated to renters with accessibility needs is not known. We assumed that the probability that a renter with accessibility needs moves to a new accessible rental property is around 12.6 per cent higher than the share of new accessible rental properties in the stock (based on our analysis of the survey data).</w:t>
      </w:r>
    </w:p>
    <w:p w:rsidR="007C6A5F" w:rsidRDefault="007C6A5F" w:rsidP="005A6F87">
      <w:pPr>
        <w:pStyle w:val="ListBullet3"/>
        <w:numPr>
          <w:ilvl w:val="2"/>
          <w:numId w:val="17"/>
        </w:numPr>
        <w:rPr>
          <w:lang w:bidi="fa-IR"/>
        </w:rPr>
      </w:pPr>
      <w:r>
        <w:rPr>
          <w:lang w:bidi="fa-IR"/>
        </w:rPr>
        <w:t>As a lower bound scenario, we assume</w:t>
      </w:r>
      <w:r w:rsidRPr="006C3FC1">
        <w:rPr>
          <w:lang w:bidi="fa-IR"/>
        </w:rPr>
        <w:t xml:space="preserve"> the probability of a renter with accessibility needs moving to a new accessible rental property is the same as the share of new accessible rental properties in the stock</w:t>
      </w:r>
      <w:r>
        <w:rPr>
          <w:lang w:bidi="fa-IR"/>
        </w:rPr>
        <w:t xml:space="preserve"> (implying random allocation).</w:t>
      </w:r>
    </w:p>
    <w:p w:rsidR="007C6A5F" w:rsidRDefault="007C6A5F" w:rsidP="005A6F87">
      <w:pPr>
        <w:pStyle w:val="ListBullet3"/>
        <w:numPr>
          <w:ilvl w:val="2"/>
          <w:numId w:val="17"/>
        </w:numPr>
        <w:rPr>
          <w:lang w:bidi="fa-IR"/>
        </w:rPr>
      </w:pPr>
      <w:r>
        <w:rPr>
          <w:lang w:bidi="fa-IR"/>
        </w:rPr>
        <w:t>As an upper bound scenario, we assume the probability of a renter with accessibility needs moving to a new accessible rental property is 25 per cent higher than the share of new accessible rental properties in the stock.</w:t>
      </w:r>
    </w:p>
    <w:p w:rsidR="007C6A5F" w:rsidRDefault="007C6A5F" w:rsidP="005A6F87">
      <w:pPr>
        <w:pStyle w:val="ListBullet"/>
        <w:numPr>
          <w:ilvl w:val="0"/>
          <w:numId w:val="17"/>
        </w:numPr>
        <w:rPr>
          <w:lang w:bidi="fa-IR"/>
        </w:rPr>
      </w:pPr>
      <w:r>
        <w:rPr>
          <w:lang w:bidi="fa-IR"/>
        </w:rPr>
        <w:t>Consistent with OBPR requirements, we also calculate the net benefits under alternative discount rates, 3 per cent and 10 per cent.</w:t>
      </w:r>
    </w:p>
    <w:p w:rsidR="007C6A5F" w:rsidRDefault="007C6A5F" w:rsidP="007C6A5F">
      <w:pPr>
        <w:pStyle w:val="BodyText"/>
        <w:rPr>
          <w:lang w:bidi="fa-IR"/>
        </w:rPr>
      </w:pPr>
      <w:r>
        <w:rPr>
          <w:lang w:bidi="fa-IR"/>
        </w:rPr>
        <w:t>Table </w:t>
      </w:r>
      <w:r>
        <w:rPr>
          <w:lang w:bidi="fa-IR"/>
        </w:rPr>
        <w:fldChar w:fldCharType="begin"/>
      </w:r>
      <w:r>
        <w:rPr>
          <w:lang w:bidi="fa-IR"/>
        </w:rPr>
        <w:instrText xml:space="preserve"> REF _Caption2050 </w:instrText>
      </w:r>
      <w:r>
        <w:rPr>
          <w:lang w:bidi="fa-IR"/>
        </w:rPr>
        <w:fldChar w:fldCharType="separate"/>
      </w:r>
      <w:r>
        <w:rPr>
          <w:noProof/>
        </w:rPr>
        <w:t>7</w:t>
      </w:r>
      <w:r w:rsidRPr="00695C93">
        <w:rPr>
          <w:noProof/>
        </w:rPr>
        <w:t>.</w:t>
      </w:r>
      <w:r>
        <w:rPr>
          <w:noProof/>
        </w:rPr>
        <w:t>7</w:t>
      </w:r>
      <w:r>
        <w:rPr>
          <w:lang w:bidi="fa-IR"/>
        </w:rPr>
        <w:fldChar w:fldCharType="end"/>
      </w:r>
      <w:r>
        <w:rPr>
          <w:lang w:bidi="fa-IR"/>
        </w:rPr>
        <w:t xml:space="preserve"> shows the estimated net benefit under the alternative input assumptions/parameters.</w:t>
      </w:r>
    </w:p>
    <w:p w:rsidR="007C6A5F" w:rsidRDefault="007C6A5F" w:rsidP="00C87D2E">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rsidRPr="00695C93">
        <w:instrText xml:space="preserve">." </w:instrText>
      </w:r>
      <w:r w:rsidRPr="00695C93">
        <w:fldChar w:fldCharType="separate"/>
      </w:r>
      <w:r>
        <w:rPr>
          <w:noProof/>
        </w:rPr>
        <w:instrText>7</w:instrText>
      </w:r>
      <w:r w:rsidRPr="00695C93">
        <w:rPr>
          <w:noProof/>
        </w:rPr>
        <w:instrText>.</w:instrText>
      </w:r>
      <w:r w:rsidRPr="00695C93">
        <w:fldChar w:fldCharType="end"/>
      </w:r>
      <w:r w:rsidRPr="00695C93">
        <w:instrText>" "</w:instrText>
      </w:r>
      <w:r w:rsidR="00F56BFF">
        <w:fldChar w:fldCharType="begin"/>
      </w:r>
      <w:r w:rsidR="00F56BFF">
        <w:instrText xml:space="preserve"> STYLEREF "Heading 6" \l \n </w:instrText>
      </w:r>
      <w:r w:rsidR="00F56BFF">
        <w:fldChar w:fldCharType="separate"/>
      </w:r>
      <w:r w:rsidRPr="00695C93">
        <w:instrText>B</w:instrText>
      </w:r>
      <w:r w:rsidR="00F56BFF">
        <w:fldChar w:fldCharType="end"/>
      </w:r>
      <w:r w:rsidRPr="00695C93">
        <w:instrText xml:space="preserve">." </w:instrText>
      </w:r>
      <w:r w:rsidRPr="00695C93">
        <w:fldChar w:fldCharType="separate"/>
      </w:r>
      <w:r w:rsidR="00272AF3">
        <w:rPr>
          <w:noProof/>
        </w:rPr>
        <w:instrText>7</w:instrText>
      </w:r>
      <w:r w:rsidR="00272AF3"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rsidRPr="00695C93">
        <w:instrText xml:space="preserve"> = 0 "" "1" </w:instrText>
      </w:r>
      <w:r w:rsidRPr="00695C93">
        <w:fldChar w:fldCharType="separate"/>
      </w:r>
      <w:r w:rsidR="00272AF3" w:rsidRPr="00695C93">
        <w:rPr>
          <w:noProof/>
        </w:rPr>
        <w:instrText>1</w:instrText>
      </w:r>
      <w:r w:rsidRPr="00695C93">
        <w:fldChar w:fldCharType="end"/>
      </w:r>
      <w:r w:rsidRPr="00695C93">
        <w:instrText xml:space="preserve">" "6" </w:instrText>
      </w:r>
      <w:r w:rsidRPr="00695C93">
        <w:fldChar w:fldCharType="separate"/>
      </w:r>
      <w:r w:rsidR="00272AF3" w:rsidRPr="00695C93">
        <w:rPr>
          <w:noProof/>
        </w:rPr>
        <w:instrText>1</w:instrText>
      </w:r>
      <w:r w:rsidRPr="00695C93">
        <w:fldChar w:fldCharType="end"/>
      </w:r>
      <w:r w:rsidRPr="00695C93">
        <w:instrText xml:space="preserve"> </w:instrText>
      </w:r>
      <w:r w:rsidRPr="00695C93">
        <w:fldChar w:fldCharType="separate"/>
      </w:r>
      <w:r>
        <w:rPr>
          <w:noProof/>
        </w:rPr>
        <w:instrText>7</w:instrText>
      </w:r>
      <w:r w:rsidRPr="00695C93">
        <w:fldChar w:fldCharType="end"/>
      </w:r>
      <w:r w:rsidRPr="00695C93">
        <w:instrText xml:space="preserve">" "" </w:instrText>
      </w:r>
      <w:r w:rsidRPr="00695C93">
        <w:fldChar w:fldCharType="separate"/>
      </w:r>
      <w:bookmarkStart w:id="6356" w:name="_Caption4427"/>
      <w:bookmarkStart w:id="6357" w:name="_Caption4904"/>
      <w:bookmarkStart w:id="6358" w:name="_Caption2122"/>
      <w:bookmarkStart w:id="6359" w:name="_Caption3216"/>
      <w:bookmarkStart w:id="6360" w:name="_Caption1555"/>
      <w:bookmarkStart w:id="6361" w:name="_Caption4279"/>
      <w:bookmarkStart w:id="6362" w:name="_Caption5966"/>
      <w:bookmarkStart w:id="6363" w:name="_Caption8986"/>
      <w:bookmarkStart w:id="6364" w:name="_Caption2050"/>
      <w:bookmarkStart w:id="6365" w:name="_Caption7766"/>
      <w:bookmarkStart w:id="6366" w:name="_Caption0622"/>
      <w:bookmarkStart w:id="6367" w:name="_Caption9109"/>
      <w:bookmarkStart w:id="6368" w:name="_Toc44598560"/>
      <w:bookmarkStart w:id="6369" w:name="_Toc45654191"/>
      <w:r w:rsidR="00272AF3">
        <w:rPr>
          <w:noProof/>
        </w:rPr>
        <w:t>7</w:t>
      </w:r>
      <w:r w:rsidR="00272AF3" w:rsidRPr="00695C93">
        <w:rPr>
          <w:noProof/>
        </w:rPr>
        <w:t>.</w:t>
      </w:r>
      <w:r w:rsidR="00272AF3">
        <w:rPr>
          <w:noProof/>
        </w:rPr>
        <w:t>7</w:t>
      </w:r>
      <w:bookmarkEnd w:id="6356"/>
      <w:bookmarkEnd w:id="6357"/>
      <w:bookmarkEnd w:id="6358"/>
      <w:bookmarkEnd w:id="6359"/>
      <w:bookmarkEnd w:id="6360"/>
      <w:bookmarkEnd w:id="6361"/>
      <w:bookmarkEnd w:id="6362"/>
      <w:bookmarkEnd w:id="6363"/>
      <w:bookmarkEnd w:id="6364"/>
      <w:bookmarkEnd w:id="6365"/>
      <w:bookmarkEnd w:id="6366"/>
      <w:bookmarkEnd w:id="6367"/>
      <w:r w:rsidRPr="00695C93">
        <w:fldChar w:fldCharType="end"/>
      </w:r>
      <w:r w:rsidRPr="00695C93">
        <w:tab/>
      </w:r>
      <w:r>
        <w:t>Sensitivity analysis — benefit-cost ratio under alternative assumptions</w:t>
      </w:r>
      <w:bookmarkEnd w:id="6368"/>
      <w:bookmarkEnd w:id="6369"/>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7.7"/>
        <w:tblDescription w:val="Sensitivity analysis — benefit-cost ratio under alternative assumptions"/>
      </w:tblPr>
      <w:tblGrid>
        <w:gridCol w:w="3506"/>
        <w:gridCol w:w="872"/>
        <w:gridCol w:w="908"/>
        <w:gridCol w:w="907"/>
        <w:gridCol w:w="873"/>
        <w:gridCol w:w="872"/>
      </w:tblGrid>
      <w:tr w:rsidR="007C6A5F" w:rsidRPr="006D6FC6" w:rsidTr="00215F5C">
        <w:trPr>
          <w:trHeight w:val="230"/>
          <w:tblHeader/>
        </w:trPr>
        <w:tc>
          <w:tcPr>
            <w:tcW w:w="3506" w:type="dxa"/>
            <w:tcBorders>
              <w:bottom w:val="single" w:sz="8" w:space="0" w:color="FFFFFF" w:themeColor="background1"/>
            </w:tcBorders>
            <w:shd w:val="clear" w:color="auto" w:fill="6F6652" w:themeFill="text2"/>
          </w:tcPr>
          <w:p w:rsidR="007C6A5F" w:rsidRPr="006D6FC6" w:rsidRDefault="00290DC7" w:rsidP="00C36DA4">
            <w:pPr>
              <w:pStyle w:val="TableDataColumnHeading"/>
              <w:jc w:val="left"/>
              <w:rPr>
                <w:lang w:val="en-GB"/>
              </w:rPr>
            </w:pPr>
            <w:r>
              <w:rPr>
                <w:lang w:val="en-GB"/>
              </w:rPr>
              <w:t>Analysis type</w:t>
            </w:r>
          </w:p>
        </w:tc>
        <w:tc>
          <w:tcPr>
            <w:tcW w:w="872" w:type="dxa"/>
            <w:tcBorders>
              <w:bottom w:val="single" w:sz="8" w:space="0" w:color="FFFFFF" w:themeColor="background1"/>
            </w:tcBorders>
            <w:shd w:val="clear" w:color="auto" w:fill="6F6652" w:themeFill="text2"/>
          </w:tcPr>
          <w:p w:rsidR="007C6A5F" w:rsidRPr="006D6FC6" w:rsidRDefault="007C6A5F" w:rsidP="00C36DA4">
            <w:pPr>
              <w:pStyle w:val="TableDataColumnHeading"/>
              <w:rPr>
                <w:lang w:val="en-GB"/>
              </w:rPr>
            </w:pPr>
            <w:r w:rsidRPr="006D6FC6">
              <w:rPr>
                <w:lang w:val="en-GB"/>
              </w:rPr>
              <w:t>Option 1</w:t>
            </w:r>
          </w:p>
        </w:tc>
        <w:tc>
          <w:tcPr>
            <w:tcW w:w="908" w:type="dxa"/>
            <w:tcBorders>
              <w:bottom w:val="single" w:sz="8" w:space="0" w:color="FFFFFF" w:themeColor="background1"/>
            </w:tcBorders>
            <w:shd w:val="clear" w:color="auto" w:fill="6F6652" w:themeFill="text2"/>
          </w:tcPr>
          <w:p w:rsidR="007C6A5F" w:rsidRPr="006D6FC6" w:rsidRDefault="007C6A5F" w:rsidP="00C36DA4">
            <w:pPr>
              <w:pStyle w:val="TableDataColumnHeading"/>
              <w:rPr>
                <w:lang w:val="en-GB"/>
              </w:rPr>
            </w:pPr>
            <w:r w:rsidRPr="006D6FC6">
              <w:rPr>
                <w:lang w:val="en-GB"/>
              </w:rPr>
              <w:t>Option 2</w:t>
            </w:r>
          </w:p>
        </w:tc>
        <w:tc>
          <w:tcPr>
            <w:tcW w:w="907" w:type="dxa"/>
            <w:tcBorders>
              <w:bottom w:val="single" w:sz="8" w:space="0" w:color="FFFFFF" w:themeColor="background1"/>
            </w:tcBorders>
            <w:shd w:val="clear" w:color="auto" w:fill="6F6652" w:themeFill="text2"/>
          </w:tcPr>
          <w:p w:rsidR="007C6A5F" w:rsidRPr="006D6FC6" w:rsidRDefault="007C6A5F" w:rsidP="00C36DA4">
            <w:pPr>
              <w:pStyle w:val="TableDataColumnHeading"/>
              <w:rPr>
                <w:lang w:val="en-GB"/>
              </w:rPr>
            </w:pPr>
            <w:r w:rsidRPr="006D6FC6">
              <w:rPr>
                <w:lang w:val="en-GB"/>
              </w:rPr>
              <w:t>Option 3</w:t>
            </w:r>
          </w:p>
        </w:tc>
        <w:tc>
          <w:tcPr>
            <w:tcW w:w="873" w:type="dxa"/>
            <w:tcBorders>
              <w:bottom w:val="single" w:sz="8" w:space="0" w:color="FFFFFF" w:themeColor="background1"/>
            </w:tcBorders>
            <w:shd w:val="clear" w:color="auto" w:fill="6F6652" w:themeFill="text2"/>
          </w:tcPr>
          <w:p w:rsidR="007C6A5F" w:rsidRPr="006D6FC6" w:rsidRDefault="007C6A5F" w:rsidP="00C36DA4">
            <w:pPr>
              <w:pStyle w:val="TableDataColumnHeading"/>
              <w:rPr>
                <w:lang w:val="en-GB"/>
              </w:rPr>
            </w:pPr>
            <w:r w:rsidRPr="006D6FC6">
              <w:rPr>
                <w:lang w:val="en-GB"/>
              </w:rPr>
              <w:t>Option 4</w:t>
            </w:r>
          </w:p>
        </w:tc>
        <w:tc>
          <w:tcPr>
            <w:tcW w:w="872" w:type="dxa"/>
            <w:tcBorders>
              <w:bottom w:val="single" w:sz="8" w:space="0" w:color="FFFFFF" w:themeColor="background1"/>
            </w:tcBorders>
            <w:shd w:val="clear" w:color="auto" w:fill="6F6652" w:themeFill="text2"/>
          </w:tcPr>
          <w:p w:rsidR="007C6A5F" w:rsidRPr="006D6FC6" w:rsidRDefault="007C6A5F" w:rsidP="00C36DA4">
            <w:pPr>
              <w:pStyle w:val="TableDataColumnHeading"/>
              <w:rPr>
                <w:lang w:val="en-GB"/>
              </w:rPr>
            </w:pPr>
            <w:r w:rsidRPr="006D6FC6">
              <w:rPr>
                <w:lang w:val="en-GB"/>
              </w:rPr>
              <w:t>Option 5</w:t>
            </w:r>
          </w:p>
        </w:tc>
      </w:tr>
      <w:tr w:rsidR="007C6A5F" w:rsidTr="0055459B">
        <w:trPr>
          <w:trHeight w:val="230"/>
        </w:trPr>
        <w:tc>
          <w:tcPr>
            <w:tcW w:w="3506" w:type="dxa"/>
            <w:tcBorders>
              <w:top w:val="single" w:sz="8" w:space="0" w:color="FFFFFF" w:themeColor="background1"/>
              <w:bottom w:val="single" w:sz="8" w:space="0" w:color="FFFFFF" w:themeColor="background1"/>
            </w:tcBorders>
            <w:shd w:val="clear" w:color="auto" w:fill="E9E8E5" w:themeFill="background2"/>
          </w:tcPr>
          <w:p w:rsidR="007C6A5F" w:rsidRDefault="00EE69D2" w:rsidP="00C36DA4">
            <w:pPr>
              <w:pStyle w:val="TableDataEntries"/>
              <w:jc w:val="left"/>
              <w:rPr>
                <w:lang w:val="en-GB"/>
              </w:rPr>
            </w:pPr>
            <w:r w:rsidRPr="00997BC1">
              <w:rPr>
                <w:lang w:val="en-GB"/>
              </w:rPr>
              <w:t>Break-even analysis</w:t>
            </w:r>
            <w:r>
              <w:rPr>
                <w:lang w:val="en-GB"/>
              </w:rPr>
              <w:t xml:space="preserve">: </w:t>
            </w:r>
            <w:r w:rsidR="007C6A5F">
              <w:rPr>
                <w:lang w:val="en-GB"/>
              </w:rPr>
              <w:t>Change in cost per dwelling to break-even ($)</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- 538</w:t>
            </w:r>
          </w:p>
        </w:tc>
        <w:tc>
          <w:tcPr>
            <w:tcW w:w="908"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-12 576</w:t>
            </w:r>
          </w:p>
        </w:tc>
        <w:tc>
          <w:tcPr>
            <w:tcW w:w="907"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-16 533</w:t>
            </w:r>
          </w:p>
        </w:tc>
        <w:tc>
          <w:tcPr>
            <w:tcW w:w="873"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-22 184</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290DC7">
            <w:pPr>
              <w:pStyle w:val="TableDataEntries"/>
            </w:pPr>
            <w:r>
              <w:t>n.a.</w:t>
            </w:r>
          </w:p>
        </w:tc>
      </w:tr>
      <w:tr w:rsidR="007C6A5F" w:rsidTr="0055459B">
        <w:trPr>
          <w:trHeight w:val="230"/>
        </w:trPr>
        <w:tc>
          <w:tcPr>
            <w:tcW w:w="350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Central case</w:t>
            </w:r>
            <w:r w:rsidR="00EE69D2">
              <w:rPr>
                <w:lang w:val="en-GB"/>
              </w:rPr>
              <w:t xml:space="preserve"> (BCR)</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0.77</w:t>
            </w:r>
          </w:p>
        </w:tc>
        <w:tc>
          <w:tcPr>
            <w:tcW w:w="908"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0.14</w:t>
            </w:r>
          </w:p>
        </w:tc>
        <w:tc>
          <w:tcPr>
            <w:tcW w:w="907"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0.11</w:t>
            </w:r>
          </w:p>
        </w:tc>
        <w:tc>
          <w:tcPr>
            <w:tcW w:w="873"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0.09</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290DC7">
            <w:pPr>
              <w:pStyle w:val="TableDataEntries"/>
            </w:pPr>
            <w:r>
              <w:t xml:space="preserve"> 1.00</w:t>
            </w:r>
          </w:p>
        </w:tc>
      </w:tr>
      <w:tr w:rsidR="007C6A5F" w:rsidTr="0055459B">
        <w:trPr>
          <w:trHeight w:val="230"/>
        </w:trPr>
        <w:tc>
          <w:tcPr>
            <w:tcW w:w="350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Opportunity cost of space excluded</w:t>
            </w:r>
            <w:r w:rsidR="00EE69D2">
              <w:rPr>
                <w:lang w:val="en-GB"/>
              </w:rPr>
              <w:t xml:space="preserve"> (BCR)</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1.42</w:t>
            </w:r>
          </w:p>
        </w:tc>
        <w:tc>
          <w:tcPr>
            <w:tcW w:w="908"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0.24</w:t>
            </w:r>
          </w:p>
        </w:tc>
        <w:tc>
          <w:tcPr>
            <w:tcW w:w="907"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0.19</w:t>
            </w:r>
          </w:p>
        </w:tc>
        <w:tc>
          <w:tcPr>
            <w:tcW w:w="873"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0.24</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290DC7">
            <w:pPr>
              <w:pStyle w:val="TableDataEntries"/>
            </w:pPr>
            <w:r>
              <w:t xml:space="preserve"> 1.00</w:t>
            </w:r>
          </w:p>
        </w:tc>
      </w:tr>
      <w:tr w:rsidR="007C6A5F" w:rsidTr="0055459B">
        <w:trPr>
          <w:trHeight w:val="230"/>
        </w:trPr>
        <w:tc>
          <w:tcPr>
            <w:tcW w:w="350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Excavation costs included</w:t>
            </w:r>
            <w:r w:rsidR="00EE69D2">
              <w:rPr>
                <w:lang w:val="en-GB"/>
              </w:rPr>
              <w:t xml:space="preserve"> (BCR)</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0.47</w:t>
            </w:r>
          </w:p>
        </w:tc>
        <w:tc>
          <w:tcPr>
            <w:tcW w:w="908"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0.13</w:t>
            </w:r>
          </w:p>
        </w:tc>
        <w:tc>
          <w:tcPr>
            <w:tcW w:w="907"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0.10</w:t>
            </w:r>
          </w:p>
        </w:tc>
        <w:tc>
          <w:tcPr>
            <w:tcW w:w="873"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0.09</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290DC7">
            <w:pPr>
              <w:pStyle w:val="TableDataEntries"/>
            </w:pPr>
            <w:r>
              <w:t xml:space="preserve"> 1.00</w:t>
            </w:r>
          </w:p>
        </w:tc>
      </w:tr>
      <w:tr w:rsidR="007C6A5F" w:rsidTr="0055459B">
        <w:trPr>
          <w:trHeight w:val="230"/>
        </w:trPr>
        <w:tc>
          <w:tcPr>
            <w:tcW w:w="350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Societal benefits excluded</w:t>
            </w:r>
            <w:r w:rsidR="00EE69D2">
              <w:rPr>
                <w:lang w:val="en-GB"/>
              </w:rPr>
              <w:t xml:space="preserve"> (BCR)</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EF1E61" w:rsidDel="00B659CA" w:rsidRDefault="007C6A5F" w:rsidP="00290DC7">
            <w:pPr>
              <w:pStyle w:val="TableDataEntries"/>
              <w:rPr>
                <w:szCs w:val="16"/>
              </w:rPr>
            </w:pPr>
            <w:r>
              <w:t xml:space="preserve"> 0.48</w:t>
            </w:r>
          </w:p>
        </w:tc>
        <w:tc>
          <w:tcPr>
            <w:tcW w:w="908" w:type="dxa"/>
            <w:tcBorders>
              <w:top w:val="single" w:sz="8" w:space="0" w:color="FFFFFF" w:themeColor="background1"/>
              <w:bottom w:val="single" w:sz="8" w:space="0" w:color="FFFFFF" w:themeColor="background1"/>
            </w:tcBorders>
            <w:shd w:val="clear" w:color="auto" w:fill="E9E8E5" w:themeFill="background2"/>
          </w:tcPr>
          <w:p w:rsidR="007C6A5F" w:rsidRPr="00EF1E61" w:rsidDel="00B659CA" w:rsidRDefault="007C6A5F" w:rsidP="00290DC7">
            <w:pPr>
              <w:pStyle w:val="TableDataEntries"/>
              <w:rPr>
                <w:szCs w:val="16"/>
              </w:rPr>
            </w:pPr>
            <w:r>
              <w:t xml:space="preserve"> 0.09</w:t>
            </w:r>
          </w:p>
        </w:tc>
        <w:tc>
          <w:tcPr>
            <w:tcW w:w="907" w:type="dxa"/>
            <w:tcBorders>
              <w:top w:val="single" w:sz="8" w:space="0" w:color="FFFFFF" w:themeColor="background1"/>
              <w:bottom w:val="single" w:sz="8" w:space="0" w:color="FFFFFF" w:themeColor="background1"/>
            </w:tcBorders>
            <w:shd w:val="clear" w:color="auto" w:fill="E9E8E5" w:themeFill="background2"/>
          </w:tcPr>
          <w:p w:rsidR="007C6A5F" w:rsidRPr="00EF1E61" w:rsidDel="00B659CA" w:rsidRDefault="007C6A5F" w:rsidP="00290DC7">
            <w:pPr>
              <w:pStyle w:val="TableDataEntries"/>
              <w:rPr>
                <w:szCs w:val="16"/>
              </w:rPr>
            </w:pPr>
            <w:r>
              <w:t xml:space="preserve"> 0.07</w:t>
            </w:r>
          </w:p>
        </w:tc>
        <w:tc>
          <w:tcPr>
            <w:tcW w:w="873" w:type="dxa"/>
            <w:tcBorders>
              <w:top w:val="single" w:sz="8" w:space="0" w:color="FFFFFF" w:themeColor="background1"/>
              <w:bottom w:val="single" w:sz="8" w:space="0" w:color="FFFFFF" w:themeColor="background1"/>
            </w:tcBorders>
            <w:shd w:val="clear" w:color="auto" w:fill="E9E8E5" w:themeFill="background2"/>
          </w:tcPr>
          <w:p w:rsidR="007C6A5F" w:rsidRPr="00EF1E61" w:rsidDel="00B659CA" w:rsidRDefault="007C6A5F" w:rsidP="00290DC7">
            <w:pPr>
              <w:pStyle w:val="TableDataEntries"/>
              <w:rPr>
                <w:szCs w:val="16"/>
              </w:rPr>
            </w:pPr>
            <w:r>
              <w:t xml:space="preserve"> 0.05</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DF7B3F" w:rsidDel="00B659CA" w:rsidRDefault="007C6A5F" w:rsidP="00290DC7">
            <w:pPr>
              <w:pStyle w:val="TableDataEntries"/>
            </w:pPr>
            <w:r>
              <w:t xml:space="preserve"> 0.75</w:t>
            </w:r>
          </w:p>
        </w:tc>
      </w:tr>
      <w:tr w:rsidR="007C6A5F" w:rsidTr="0055459B">
        <w:trPr>
          <w:trHeight w:val="230"/>
        </w:trPr>
        <w:tc>
          <w:tcPr>
            <w:tcW w:w="350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Low ‘problem’ scenario</w:t>
            </w:r>
            <w:r w:rsidR="00EE69D2">
              <w:rPr>
                <w:lang w:val="en-GB"/>
              </w:rPr>
              <w:t xml:space="preserve"> (BCR)</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0.72</w:t>
            </w:r>
          </w:p>
        </w:tc>
        <w:tc>
          <w:tcPr>
            <w:tcW w:w="908"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0.13</w:t>
            </w:r>
          </w:p>
        </w:tc>
        <w:tc>
          <w:tcPr>
            <w:tcW w:w="907"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0.11</w:t>
            </w:r>
          </w:p>
        </w:tc>
        <w:tc>
          <w:tcPr>
            <w:tcW w:w="873"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0.08</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290DC7">
            <w:pPr>
              <w:pStyle w:val="TableDataEntries"/>
            </w:pPr>
            <w:r>
              <w:t xml:space="preserve"> 0.92</w:t>
            </w:r>
          </w:p>
        </w:tc>
      </w:tr>
      <w:tr w:rsidR="007C6A5F" w:rsidTr="0055459B">
        <w:trPr>
          <w:trHeight w:val="230"/>
        </w:trPr>
        <w:tc>
          <w:tcPr>
            <w:tcW w:w="350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High ‘problem’ scenario</w:t>
            </w:r>
            <w:r w:rsidR="00EE69D2">
              <w:rPr>
                <w:lang w:val="en-GB"/>
              </w:rPr>
              <w:t xml:space="preserve"> (BCR)</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EF1E61" w:rsidDel="00B659CA" w:rsidRDefault="007C6A5F" w:rsidP="00290DC7">
            <w:pPr>
              <w:pStyle w:val="TableDataEntries"/>
              <w:rPr>
                <w:szCs w:val="16"/>
              </w:rPr>
            </w:pPr>
            <w:r>
              <w:t xml:space="preserve"> 0.83</w:t>
            </w:r>
          </w:p>
        </w:tc>
        <w:tc>
          <w:tcPr>
            <w:tcW w:w="908" w:type="dxa"/>
            <w:tcBorders>
              <w:top w:val="single" w:sz="8" w:space="0" w:color="FFFFFF" w:themeColor="background1"/>
              <w:bottom w:val="single" w:sz="8" w:space="0" w:color="FFFFFF" w:themeColor="background1"/>
            </w:tcBorders>
            <w:shd w:val="clear" w:color="auto" w:fill="E9E8E5" w:themeFill="background2"/>
          </w:tcPr>
          <w:p w:rsidR="007C6A5F" w:rsidRPr="00EF1E61" w:rsidDel="00B659CA" w:rsidRDefault="007C6A5F" w:rsidP="00290DC7">
            <w:pPr>
              <w:pStyle w:val="TableDataEntries"/>
              <w:rPr>
                <w:szCs w:val="16"/>
              </w:rPr>
            </w:pPr>
            <w:r>
              <w:t xml:space="preserve"> 0.15</w:t>
            </w:r>
          </w:p>
        </w:tc>
        <w:tc>
          <w:tcPr>
            <w:tcW w:w="907" w:type="dxa"/>
            <w:tcBorders>
              <w:top w:val="single" w:sz="8" w:space="0" w:color="FFFFFF" w:themeColor="background1"/>
              <w:bottom w:val="single" w:sz="8" w:space="0" w:color="FFFFFF" w:themeColor="background1"/>
            </w:tcBorders>
            <w:shd w:val="clear" w:color="auto" w:fill="E9E8E5" w:themeFill="background2"/>
          </w:tcPr>
          <w:p w:rsidR="007C6A5F" w:rsidRPr="00EF1E61" w:rsidDel="00B659CA" w:rsidRDefault="007C6A5F" w:rsidP="00290DC7">
            <w:pPr>
              <w:pStyle w:val="TableDataEntries"/>
              <w:rPr>
                <w:szCs w:val="16"/>
              </w:rPr>
            </w:pPr>
            <w:r>
              <w:t xml:space="preserve"> 0.12</w:t>
            </w:r>
          </w:p>
        </w:tc>
        <w:tc>
          <w:tcPr>
            <w:tcW w:w="873" w:type="dxa"/>
            <w:tcBorders>
              <w:top w:val="single" w:sz="8" w:space="0" w:color="FFFFFF" w:themeColor="background1"/>
              <w:bottom w:val="single" w:sz="8" w:space="0" w:color="FFFFFF" w:themeColor="background1"/>
            </w:tcBorders>
            <w:shd w:val="clear" w:color="auto" w:fill="E9E8E5" w:themeFill="background2"/>
          </w:tcPr>
          <w:p w:rsidR="007C6A5F" w:rsidRPr="00EF1E61" w:rsidDel="00B659CA" w:rsidRDefault="007C6A5F" w:rsidP="00290DC7">
            <w:pPr>
              <w:pStyle w:val="TableDataEntries"/>
              <w:rPr>
                <w:szCs w:val="16"/>
              </w:rPr>
            </w:pPr>
            <w:r>
              <w:t xml:space="preserve"> 0.09</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DF7B3F" w:rsidDel="00B659CA" w:rsidRDefault="007C6A5F" w:rsidP="00290DC7">
            <w:pPr>
              <w:pStyle w:val="TableDataEntries"/>
            </w:pPr>
            <w:r>
              <w:t xml:space="preserve"> 1.10</w:t>
            </w:r>
          </w:p>
        </w:tc>
      </w:tr>
      <w:tr w:rsidR="007C6A5F" w:rsidTr="0055459B">
        <w:trPr>
          <w:trHeight w:val="230"/>
        </w:trPr>
        <w:tc>
          <w:tcPr>
            <w:tcW w:w="350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lastRenderedPageBreak/>
              <w:t>Random allocation for renters</w:t>
            </w:r>
            <w:r w:rsidR="00EE69D2">
              <w:rPr>
                <w:lang w:val="en-GB"/>
              </w:rPr>
              <w:t xml:space="preserve"> (BCR)</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0.71</w:t>
            </w:r>
          </w:p>
        </w:tc>
        <w:tc>
          <w:tcPr>
            <w:tcW w:w="908"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0.13</w:t>
            </w:r>
          </w:p>
        </w:tc>
        <w:tc>
          <w:tcPr>
            <w:tcW w:w="907"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0.10</w:t>
            </w:r>
          </w:p>
        </w:tc>
        <w:tc>
          <w:tcPr>
            <w:tcW w:w="873"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0.08</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290DC7">
            <w:pPr>
              <w:pStyle w:val="TableDataEntries"/>
            </w:pPr>
            <w:r>
              <w:t xml:space="preserve"> 1.00</w:t>
            </w:r>
          </w:p>
        </w:tc>
      </w:tr>
      <w:tr w:rsidR="007C6A5F" w:rsidTr="0055459B">
        <w:trPr>
          <w:trHeight w:val="230"/>
        </w:trPr>
        <w:tc>
          <w:tcPr>
            <w:tcW w:w="350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High allocation for renters (25% higher than random allocation)</w:t>
            </w:r>
            <w:r w:rsidR="00EE69D2">
              <w:rPr>
                <w:lang w:val="en-GB"/>
              </w:rPr>
              <w:t xml:space="preserve"> (BCR) </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EF1E61" w:rsidDel="00B659CA" w:rsidRDefault="007C6A5F" w:rsidP="00290DC7">
            <w:pPr>
              <w:pStyle w:val="TableDataEntries"/>
              <w:rPr>
                <w:szCs w:val="16"/>
              </w:rPr>
            </w:pPr>
            <w:r>
              <w:t xml:space="preserve"> 0.84</w:t>
            </w:r>
          </w:p>
        </w:tc>
        <w:tc>
          <w:tcPr>
            <w:tcW w:w="908" w:type="dxa"/>
            <w:tcBorders>
              <w:top w:val="single" w:sz="8" w:space="0" w:color="FFFFFF" w:themeColor="background1"/>
              <w:bottom w:val="single" w:sz="8" w:space="0" w:color="FFFFFF" w:themeColor="background1"/>
            </w:tcBorders>
            <w:shd w:val="clear" w:color="auto" w:fill="E9E8E5" w:themeFill="background2"/>
          </w:tcPr>
          <w:p w:rsidR="007C6A5F" w:rsidRPr="00EF1E61" w:rsidDel="00B659CA" w:rsidRDefault="007C6A5F" w:rsidP="00290DC7">
            <w:pPr>
              <w:pStyle w:val="TableDataEntries"/>
              <w:rPr>
                <w:szCs w:val="16"/>
              </w:rPr>
            </w:pPr>
            <w:r>
              <w:t xml:space="preserve"> 0.15</w:t>
            </w:r>
          </w:p>
        </w:tc>
        <w:tc>
          <w:tcPr>
            <w:tcW w:w="907" w:type="dxa"/>
            <w:tcBorders>
              <w:top w:val="single" w:sz="8" w:space="0" w:color="FFFFFF" w:themeColor="background1"/>
              <w:bottom w:val="single" w:sz="8" w:space="0" w:color="FFFFFF" w:themeColor="background1"/>
            </w:tcBorders>
            <w:shd w:val="clear" w:color="auto" w:fill="E9E8E5" w:themeFill="background2"/>
          </w:tcPr>
          <w:p w:rsidR="007C6A5F" w:rsidRPr="00EF1E61" w:rsidDel="00B659CA" w:rsidRDefault="007C6A5F" w:rsidP="00290DC7">
            <w:pPr>
              <w:pStyle w:val="TableDataEntries"/>
              <w:rPr>
                <w:szCs w:val="16"/>
              </w:rPr>
            </w:pPr>
            <w:r>
              <w:t xml:space="preserve"> 0.12</w:t>
            </w:r>
          </w:p>
        </w:tc>
        <w:tc>
          <w:tcPr>
            <w:tcW w:w="873" w:type="dxa"/>
            <w:tcBorders>
              <w:top w:val="single" w:sz="8" w:space="0" w:color="FFFFFF" w:themeColor="background1"/>
              <w:bottom w:val="single" w:sz="8" w:space="0" w:color="FFFFFF" w:themeColor="background1"/>
            </w:tcBorders>
            <w:shd w:val="clear" w:color="auto" w:fill="E9E8E5" w:themeFill="background2"/>
          </w:tcPr>
          <w:p w:rsidR="007C6A5F" w:rsidRPr="00EF1E61" w:rsidDel="00B659CA" w:rsidRDefault="007C6A5F" w:rsidP="00290DC7">
            <w:pPr>
              <w:pStyle w:val="TableDataEntries"/>
              <w:rPr>
                <w:szCs w:val="16"/>
              </w:rPr>
            </w:pPr>
            <w:r>
              <w:t xml:space="preserve"> 0.09</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DF7B3F" w:rsidDel="00B659CA" w:rsidRDefault="007C6A5F" w:rsidP="00290DC7">
            <w:pPr>
              <w:pStyle w:val="TableDataEntries"/>
            </w:pPr>
            <w:r>
              <w:t xml:space="preserve"> 1.00</w:t>
            </w:r>
          </w:p>
        </w:tc>
      </w:tr>
      <w:tr w:rsidR="007C6A5F" w:rsidTr="0055459B">
        <w:trPr>
          <w:trHeight w:val="230"/>
        </w:trPr>
        <w:tc>
          <w:tcPr>
            <w:tcW w:w="350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Benefits reduced by 15% for baseline effects</w:t>
            </w:r>
            <w:r w:rsidR="00EE69D2">
              <w:rPr>
                <w:lang w:val="en-GB"/>
              </w:rPr>
              <w:t xml:space="preserve"> (BCR)</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0.89</w:t>
            </w:r>
          </w:p>
        </w:tc>
        <w:tc>
          <w:tcPr>
            <w:tcW w:w="908"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0.15</w:t>
            </w:r>
          </w:p>
        </w:tc>
        <w:tc>
          <w:tcPr>
            <w:tcW w:w="907"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0.12</w:t>
            </w:r>
          </w:p>
        </w:tc>
        <w:tc>
          <w:tcPr>
            <w:tcW w:w="873"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0.09</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290DC7">
            <w:pPr>
              <w:pStyle w:val="TableDataEntries"/>
            </w:pPr>
            <w:r>
              <w:t xml:space="preserve"> 1.00</w:t>
            </w:r>
          </w:p>
        </w:tc>
      </w:tr>
      <w:tr w:rsidR="007C6A5F" w:rsidTr="0055459B">
        <w:trPr>
          <w:trHeight w:val="230"/>
        </w:trPr>
        <w:tc>
          <w:tcPr>
            <w:tcW w:w="350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Benefits not reduced for baseline effects</w:t>
            </w:r>
            <w:r w:rsidR="00EE69D2">
              <w:rPr>
                <w:lang w:val="en-GB"/>
              </w:rPr>
              <w:t xml:space="preserve"> (BCR)</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0.99</w:t>
            </w:r>
          </w:p>
        </w:tc>
        <w:tc>
          <w:tcPr>
            <w:tcW w:w="908"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0.17</w:t>
            </w:r>
          </w:p>
        </w:tc>
        <w:tc>
          <w:tcPr>
            <w:tcW w:w="907"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0.14</w:t>
            </w:r>
          </w:p>
        </w:tc>
        <w:tc>
          <w:tcPr>
            <w:tcW w:w="873"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0.10</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290DC7">
            <w:pPr>
              <w:pStyle w:val="TableDataEntries"/>
            </w:pPr>
            <w:r>
              <w:t xml:space="preserve"> 1.00</w:t>
            </w:r>
          </w:p>
        </w:tc>
      </w:tr>
      <w:tr w:rsidR="007C6A5F" w:rsidTr="0055459B">
        <w:trPr>
          <w:trHeight w:val="230"/>
        </w:trPr>
        <w:tc>
          <w:tcPr>
            <w:tcW w:w="350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10% discount rate</w:t>
            </w:r>
            <w:r w:rsidR="00EE69D2">
              <w:rPr>
                <w:lang w:val="en-GB"/>
              </w:rPr>
              <w:t xml:space="preserve"> (BCR)</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0.59</w:t>
            </w:r>
          </w:p>
        </w:tc>
        <w:tc>
          <w:tcPr>
            <w:tcW w:w="908"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0.11</w:t>
            </w:r>
          </w:p>
        </w:tc>
        <w:tc>
          <w:tcPr>
            <w:tcW w:w="907"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0.09</w:t>
            </w:r>
          </w:p>
        </w:tc>
        <w:tc>
          <w:tcPr>
            <w:tcW w:w="873"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0.07</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290DC7">
            <w:pPr>
              <w:pStyle w:val="TableDataEntries"/>
            </w:pPr>
            <w:r>
              <w:t xml:space="preserve"> 0.95</w:t>
            </w:r>
          </w:p>
        </w:tc>
      </w:tr>
      <w:tr w:rsidR="007C6A5F" w:rsidTr="00B5160B">
        <w:trPr>
          <w:trHeight w:val="230"/>
        </w:trPr>
        <w:tc>
          <w:tcPr>
            <w:tcW w:w="350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5% discount rate</w:t>
            </w:r>
            <w:r w:rsidR="00EE69D2">
              <w:rPr>
                <w:lang w:val="en-GB"/>
              </w:rPr>
              <w:t xml:space="preserve"> (BCR)</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0.97</w:t>
            </w:r>
          </w:p>
        </w:tc>
        <w:tc>
          <w:tcPr>
            <w:tcW w:w="908"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0.18</w:t>
            </w:r>
          </w:p>
        </w:tc>
        <w:tc>
          <w:tcPr>
            <w:tcW w:w="907"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0.14</w:t>
            </w:r>
          </w:p>
        </w:tc>
        <w:tc>
          <w:tcPr>
            <w:tcW w:w="873" w:type="dxa"/>
            <w:tcBorders>
              <w:top w:val="single" w:sz="8" w:space="0" w:color="FFFFFF" w:themeColor="background1"/>
              <w:bottom w:val="single" w:sz="8" w:space="0" w:color="FFFFFF" w:themeColor="background1"/>
            </w:tcBorders>
            <w:shd w:val="clear" w:color="auto" w:fill="E9E8E5" w:themeFill="background2"/>
          </w:tcPr>
          <w:p w:rsidR="007C6A5F" w:rsidRPr="00EF1E61" w:rsidRDefault="007C6A5F" w:rsidP="00290DC7">
            <w:pPr>
              <w:pStyle w:val="TableDataEntries"/>
              <w:rPr>
                <w:szCs w:val="16"/>
              </w:rPr>
            </w:pPr>
            <w:r>
              <w:t xml:space="preserve"> 0.12</w:t>
            </w:r>
          </w:p>
        </w:tc>
        <w:tc>
          <w:tcPr>
            <w:tcW w:w="872" w:type="dxa"/>
            <w:tcBorders>
              <w:top w:val="single" w:sz="8" w:space="0" w:color="FFFFFF" w:themeColor="background1"/>
              <w:bottom w:val="single" w:sz="8" w:space="0" w:color="FFFFFF" w:themeColor="background1"/>
            </w:tcBorders>
            <w:shd w:val="clear" w:color="auto" w:fill="E9E8E5" w:themeFill="background2"/>
          </w:tcPr>
          <w:p w:rsidR="007C6A5F" w:rsidRPr="00DF7B3F" w:rsidRDefault="007C6A5F" w:rsidP="00290DC7">
            <w:pPr>
              <w:pStyle w:val="TableDataEntries"/>
            </w:pPr>
            <w:r>
              <w:t xml:space="preserve"> 1.06</w:t>
            </w:r>
          </w:p>
        </w:tc>
      </w:tr>
      <w:tr w:rsidR="007C6A5F" w:rsidTr="00B5160B">
        <w:trPr>
          <w:trHeight w:val="230"/>
        </w:trPr>
        <w:tc>
          <w:tcPr>
            <w:tcW w:w="3506"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jc w:val="left"/>
              <w:rPr>
                <w:lang w:val="en-GB"/>
              </w:rPr>
            </w:pPr>
            <w:r>
              <w:rPr>
                <w:lang w:val="en-GB"/>
              </w:rPr>
              <w:t>3% discount rate</w:t>
            </w:r>
            <w:r w:rsidR="00EE69D2">
              <w:rPr>
                <w:lang w:val="en-GB"/>
              </w:rPr>
              <w:t xml:space="preserve"> (BCR)</w:t>
            </w:r>
          </w:p>
        </w:tc>
        <w:tc>
          <w:tcPr>
            <w:tcW w:w="872" w:type="dxa"/>
            <w:tcBorders>
              <w:top w:val="single" w:sz="8" w:space="0" w:color="FFFFFF" w:themeColor="background1"/>
              <w:bottom w:val="single" w:sz="4" w:space="0" w:color="6F6652" w:themeColor="accent5"/>
            </w:tcBorders>
            <w:shd w:val="clear" w:color="auto" w:fill="E9E8E5" w:themeFill="background2"/>
          </w:tcPr>
          <w:p w:rsidR="007C6A5F" w:rsidRPr="00EF1E61" w:rsidRDefault="007C6A5F" w:rsidP="00290DC7">
            <w:pPr>
              <w:pStyle w:val="TableDataEntries"/>
              <w:rPr>
                <w:szCs w:val="16"/>
              </w:rPr>
            </w:pPr>
            <w:r>
              <w:t xml:space="preserve"> 1.27</w:t>
            </w:r>
          </w:p>
        </w:tc>
        <w:tc>
          <w:tcPr>
            <w:tcW w:w="908" w:type="dxa"/>
            <w:tcBorders>
              <w:top w:val="single" w:sz="8" w:space="0" w:color="FFFFFF" w:themeColor="background1"/>
              <w:bottom w:val="single" w:sz="4" w:space="0" w:color="6F6652" w:themeColor="accent5"/>
            </w:tcBorders>
            <w:shd w:val="clear" w:color="auto" w:fill="E9E8E5" w:themeFill="background2"/>
          </w:tcPr>
          <w:p w:rsidR="007C6A5F" w:rsidRPr="00EF1E61" w:rsidRDefault="007C6A5F" w:rsidP="00290DC7">
            <w:pPr>
              <w:pStyle w:val="TableDataEntries"/>
              <w:rPr>
                <w:szCs w:val="16"/>
              </w:rPr>
            </w:pPr>
            <w:r>
              <w:t xml:space="preserve"> 0.23</w:t>
            </w:r>
          </w:p>
        </w:tc>
        <w:tc>
          <w:tcPr>
            <w:tcW w:w="907" w:type="dxa"/>
            <w:tcBorders>
              <w:top w:val="single" w:sz="8" w:space="0" w:color="FFFFFF" w:themeColor="background1"/>
              <w:bottom w:val="single" w:sz="4" w:space="0" w:color="6F6652" w:themeColor="accent5"/>
            </w:tcBorders>
            <w:shd w:val="clear" w:color="auto" w:fill="E9E8E5" w:themeFill="background2"/>
          </w:tcPr>
          <w:p w:rsidR="007C6A5F" w:rsidRPr="00EF1E61" w:rsidRDefault="007C6A5F" w:rsidP="00290DC7">
            <w:pPr>
              <w:pStyle w:val="TableDataEntries"/>
              <w:rPr>
                <w:szCs w:val="16"/>
              </w:rPr>
            </w:pPr>
            <w:r>
              <w:t xml:space="preserve"> 0.19</w:t>
            </w:r>
          </w:p>
        </w:tc>
        <w:tc>
          <w:tcPr>
            <w:tcW w:w="873" w:type="dxa"/>
            <w:tcBorders>
              <w:top w:val="single" w:sz="8" w:space="0" w:color="FFFFFF" w:themeColor="background1"/>
              <w:bottom w:val="single" w:sz="4" w:space="0" w:color="6F6652" w:themeColor="accent5"/>
            </w:tcBorders>
            <w:shd w:val="clear" w:color="auto" w:fill="E9E8E5" w:themeFill="background2"/>
          </w:tcPr>
          <w:p w:rsidR="007C6A5F" w:rsidRPr="00EF1E61" w:rsidRDefault="007C6A5F" w:rsidP="00290DC7">
            <w:pPr>
              <w:pStyle w:val="TableDataEntries"/>
              <w:rPr>
                <w:szCs w:val="16"/>
              </w:rPr>
            </w:pPr>
            <w:r>
              <w:t xml:space="preserve"> 0.16</w:t>
            </w:r>
          </w:p>
        </w:tc>
        <w:tc>
          <w:tcPr>
            <w:tcW w:w="872" w:type="dxa"/>
            <w:tcBorders>
              <w:top w:val="single" w:sz="8" w:space="0" w:color="FFFFFF" w:themeColor="background1"/>
              <w:bottom w:val="single" w:sz="4" w:space="0" w:color="6F6652" w:themeColor="accent5"/>
            </w:tcBorders>
            <w:shd w:val="clear" w:color="auto" w:fill="E9E8E5" w:themeFill="background2"/>
          </w:tcPr>
          <w:p w:rsidR="007C6A5F" w:rsidRPr="00DF7B3F" w:rsidRDefault="007C6A5F" w:rsidP="00290DC7">
            <w:pPr>
              <w:pStyle w:val="TableDataEntries"/>
            </w:pPr>
            <w:r>
              <w:t xml:space="preserve"> 1.14</w:t>
            </w:r>
          </w:p>
        </w:tc>
      </w:tr>
    </w:tbl>
    <w:p w:rsidR="007C6A5F" w:rsidRDefault="007C6A5F" w:rsidP="007C6A5F">
      <w:pPr>
        <w:pStyle w:val="Source"/>
        <w:rPr>
          <w:lang w:bidi="fa-IR"/>
        </w:rPr>
      </w:pPr>
      <w:r w:rsidRPr="007607E3">
        <w:rPr>
          <w:i/>
          <w:lang w:bidi="fa-IR"/>
        </w:rPr>
        <w:t>Source:</w:t>
      </w:r>
      <w:r>
        <w:rPr>
          <w:lang w:bidi="fa-IR"/>
        </w:rPr>
        <w:t xml:space="preserve"> CIE estimates.</w:t>
      </w:r>
    </w:p>
    <w:p w:rsidR="007C6A5F" w:rsidRDefault="007C6A5F" w:rsidP="007C6A5F">
      <w:pPr>
        <w:pStyle w:val="BodyText"/>
        <w:rPr>
          <w:lang w:bidi="fa-IR"/>
        </w:rPr>
      </w:pPr>
      <w:r>
        <w:rPr>
          <w:lang w:bidi="fa-IR"/>
        </w:rPr>
        <w:t>Key findings from the sensitivity and break-even analysis are as follows.</w:t>
      </w:r>
    </w:p>
    <w:p w:rsidR="007C6A5F" w:rsidRDefault="007C6A5F" w:rsidP="005A6F87">
      <w:pPr>
        <w:pStyle w:val="ListBullet"/>
        <w:numPr>
          <w:ilvl w:val="0"/>
          <w:numId w:val="17"/>
        </w:numPr>
        <w:rPr>
          <w:lang w:bidi="fa-IR"/>
        </w:rPr>
      </w:pPr>
      <w:r>
        <w:rPr>
          <w:lang w:bidi="fa-IR"/>
        </w:rPr>
        <w:t>Based on the evidence available, the costs of Option 2 (Gold) and Option 3 (Gold+) are highly likely to outweigh the benefits.</w:t>
      </w:r>
    </w:p>
    <w:p w:rsidR="007C6A5F" w:rsidRDefault="007C6A5F" w:rsidP="005A6F87">
      <w:pPr>
        <w:pStyle w:val="ListBullet"/>
        <w:numPr>
          <w:ilvl w:val="0"/>
          <w:numId w:val="17"/>
        </w:numPr>
        <w:rPr>
          <w:lang w:bidi="fa-IR"/>
        </w:rPr>
      </w:pPr>
      <w:r>
        <w:rPr>
          <w:lang w:bidi="fa-IR"/>
        </w:rPr>
        <w:t>Although Option 1 (Silver) is also estimated to impose a net cost to the community, there are some scenarios tested (such as using a low discount rate or excluding the opportunity cost of space), where it could possibly deliver a net benefit. Option 1 would also deliver a net benefit if construction costs or associated space impacts have been over</w:t>
      </w:r>
      <w:r>
        <w:rPr>
          <w:lang w:bidi="fa-IR"/>
        </w:rPr>
        <w:noBreakHyphen/>
        <w:t>estimated by more than around $538 per dwelling</w:t>
      </w:r>
      <w:r w:rsidRPr="00317781">
        <w:rPr>
          <w:lang w:bidi="fa-IR"/>
        </w:rPr>
        <w:t>.</w:t>
      </w:r>
    </w:p>
    <w:p w:rsidR="007C6A5F" w:rsidRDefault="007C6A5F" w:rsidP="005A6F87">
      <w:pPr>
        <w:pStyle w:val="ListBullet"/>
        <w:numPr>
          <w:ilvl w:val="0"/>
          <w:numId w:val="17"/>
        </w:numPr>
        <w:rPr>
          <w:lang w:bidi="fa-IR"/>
        </w:rPr>
      </w:pPr>
      <w:r>
        <w:rPr>
          <w:lang w:bidi="fa-IR"/>
        </w:rPr>
        <w:t>It is also notable that nearly 40 per cent of the estimated benefits relate to the community’s preference for more equitable outcomes. Even under Option 1, the cost of the proposed minimum accessibility standards is likely to significantly outweigh the benefits in terms of tangible improvements in housing outcomes for people with mobility</w:t>
      </w:r>
      <w:r>
        <w:rPr>
          <w:lang w:bidi="fa-IR"/>
        </w:rPr>
        <w:noBreakHyphen/>
        <w:t>related disabilities.</w:t>
      </w:r>
    </w:p>
    <w:p w:rsidR="007C6A5F" w:rsidRDefault="007C6A5F" w:rsidP="007C6A5F">
      <w:pPr>
        <w:pStyle w:val="BodyText"/>
        <w:rPr>
          <w:lang w:bidi="fa-IR"/>
        </w:rPr>
      </w:pPr>
    </w:p>
    <w:p w:rsidR="007C6A5F" w:rsidRDefault="007C6A5F" w:rsidP="007C6A5F">
      <w:pPr>
        <w:pStyle w:val="Heading1"/>
        <w:numPr>
          <w:ilvl w:val="0"/>
          <w:numId w:val="5"/>
        </w:numPr>
      </w:pPr>
      <w:bookmarkStart w:id="6370" w:name="_Toc32321771"/>
      <w:bookmarkStart w:id="6371" w:name="_Toc44598460"/>
      <w:bookmarkStart w:id="6372" w:name="_Toc45654091"/>
      <w:r>
        <w:lastRenderedPageBreak/>
        <w:t>Conclusions</w:t>
      </w:r>
      <w:bookmarkEnd w:id="6370"/>
      <w:bookmarkEnd w:id="6371"/>
      <w:bookmarkEnd w:id="6372"/>
    </w:p>
    <w:p w:rsidR="007C6A5F" w:rsidRDefault="007C6A5F" w:rsidP="007C6A5F">
      <w:pPr>
        <w:pStyle w:val="Heading2"/>
        <w:numPr>
          <w:ilvl w:val="1"/>
          <w:numId w:val="5"/>
        </w:numPr>
      </w:pPr>
      <w:bookmarkStart w:id="6373" w:name="_Toc32321772"/>
      <w:bookmarkStart w:id="6374" w:name="_Toc44598461"/>
      <w:bookmarkStart w:id="6375" w:name="_Toc45654092"/>
      <w:r>
        <w:t>Interpretation of the CBA results</w:t>
      </w:r>
      <w:bookmarkEnd w:id="6373"/>
      <w:bookmarkEnd w:id="6374"/>
      <w:bookmarkEnd w:id="6375"/>
    </w:p>
    <w:p w:rsidR="007C6A5F" w:rsidRDefault="007C6A5F" w:rsidP="007C6A5F">
      <w:pPr>
        <w:pStyle w:val="BodyText"/>
        <w:rPr>
          <w:lang w:bidi="fa-IR"/>
        </w:rPr>
      </w:pPr>
      <w:r>
        <w:rPr>
          <w:lang w:bidi="fa-IR"/>
        </w:rPr>
        <w:t>A key finding is that the CBA results (and the policy conclusions drawn from them) depend critically on the approach used to measure the benefits.</w:t>
      </w:r>
    </w:p>
    <w:p w:rsidR="007C6A5F" w:rsidRDefault="007C6A5F" w:rsidP="005A6F87">
      <w:pPr>
        <w:pStyle w:val="ListBullet"/>
        <w:numPr>
          <w:ilvl w:val="0"/>
          <w:numId w:val="17"/>
        </w:numPr>
        <w:rPr>
          <w:lang w:bidi="fa-IR"/>
        </w:rPr>
      </w:pPr>
      <w:r>
        <w:rPr>
          <w:lang w:bidi="fa-IR"/>
        </w:rPr>
        <w:t>Under the approach based on the extent to which we estimate that the proposed option would address the various ‘‘issues’ created by housing that does not meet the needs of people with mobility</w:t>
      </w:r>
      <w:r>
        <w:rPr>
          <w:lang w:bidi="fa-IR"/>
        </w:rPr>
        <w:noBreakHyphen/>
        <w:t xml:space="preserve">related disabilities, we estimate that all of the regulatory options considered, including Option 1 (Silver) are estimated to impose a net cost to the community (although under some scenarios tested, Option 1 was estimated to deliver a net benefit). </w:t>
      </w:r>
    </w:p>
    <w:p w:rsidR="007C6A5F" w:rsidRDefault="007C6A5F" w:rsidP="005A6F87">
      <w:pPr>
        <w:pStyle w:val="ListBullet"/>
        <w:numPr>
          <w:ilvl w:val="0"/>
          <w:numId w:val="17"/>
        </w:numPr>
        <w:rPr>
          <w:lang w:bidi="fa-IR"/>
        </w:rPr>
      </w:pPr>
      <w:r>
        <w:rPr>
          <w:lang w:bidi="fa-IR"/>
        </w:rPr>
        <w:t>Under the approach based on the methodology used to estimate the community’s stated preference for accessible design features, Option 1 is estimated to deliver a net benefit.</w:t>
      </w:r>
    </w:p>
    <w:p w:rsidR="007C6A5F" w:rsidRDefault="007C6A5F" w:rsidP="007C6A5F">
      <w:pPr>
        <w:pStyle w:val="BodyText"/>
        <w:rPr>
          <w:lang w:bidi="fa-IR"/>
        </w:rPr>
      </w:pPr>
      <w:r>
        <w:rPr>
          <w:lang w:bidi="fa-IR"/>
        </w:rPr>
        <w:t>A key difference between these approaches is on the issue of whether there are benefits from accessible housing that flow to households that do not have specific accessibility needs.</w:t>
      </w:r>
    </w:p>
    <w:p w:rsidR="007C6A5F" w:rsidRDefault="007C6A5F" w:rsidP="005A6F87">
      <w:pPr>
        <w:pStyle w:val="ListBullet"/>
        <w:numPr>
          <w:ilvl w:val="0"/>
          <w:numId w:val="17"/>
        </w:numPr>
        <w:rPr>
          <w:lang w:bidi="fa-IR"/>
        </w:rPr>
      </w:pPr>
      <w:r>
        <w:rPr>
          <w:lang w:bidi="fa-IR"/>
        </w:rPr>
        <w:t>Under the ‘problem reduction’ approach, there are implicitly no benefits accruing to households that do not have current accessibility needs, as this does not contribute to reducing ‘the problem’.</w:t>
      </w:r>
    </w:p>
    <w:p w:rsidR="007C6A5F" w:rsidRDefault="007C6A5F" w:rsidP="005A6F87">
      <w:pPr>
        <w:pStyle w:val="ListBullet"/>
        <w:numPr>
          <w:ilvl w:val="0"/>
          <w:numId w:val="17"/>
        </w:numPr>
        <w:rPr>
          <w:lang w:bidi="fa-IR"/>
        </w:rPr>
      </w:pPr>
      <w:r>
        <w:rPr>
          <w:lang w:bidi="fa-IR"/>
        </w:rPr>
        <w:t>On the other hand, households indicated in the stated preference survey that they have a relatively high ‘willingness to pay’ for accessibility features, even if their household does not currently contain anyone with a mobility limitation.</w:t>
      </w:r>
    </w:p>
    <w:p w:rsidR="007C6A5F" w:rsidRDefault="007C6A5F" w:rsidP="007C6A5F">
      <w:pPr>
        <w:pStyle w:val="BodyText"/>
        <w:rPr>
          <w:lang w:bidi="fa-IR"/>
        </w:rPr>
      </w:pPr>
      <w:r>
        <w:rPr>
          <w:lang w:bidi="fa-IR"/>
        </w:rPr>
        <w:t xml:space="preserve">However, a relatively high willingness to pay for accessibility features across the broader population does not align with anecdotal feedback from industry stakeholders. Industry stakeholders noted that although there was growing interest (and willingness to pay) for accessibility features among older homebuyers, there was little interest from younger buyers. </w:t>
      </w:r>
    </w:p>
    <w:p w:rsidR="007C6A5F" w:rsidRDefault="007C6A5F" w:rsidP="007C6A5F">
      <w:pPr>
        <w:pStyle w:val="BodyText"/>
        <w:rPr>
          <w:lang w:bidi="fa-IR"/>
        </w:rPr>
      </w:pPr>
      <w:r>
        <w:rPr>
          <w:lang w:bidi="fa-IR"/>
        </w:rPr>
        <w:t>According to OBPR guidance material:</w:t>
      </w:r>
    </w:p>
    <w:p w:rsidR="007C6A5F" w:rsidRDefault="007C6A5F" w:rsidP="007C6A5F">
      <w:pPr>
        <w:pStyle w:val="Quote"/>
        <w:rPr>
          <w:lang w:bidi="fa-IR"/>
        </w:rPr>
      </w:pPr>
      <w:r>
        <w:t>“As a general rule, estimates of individuals’ valuations of goods and services derived from observing their behaviour in markets tend to be more credible than those from survey questionnaires (Boardman et al. 2010). Observing purchasing decisions directly reveals preferences, whereas surveys elicit statements about preferences.”</w:t>
      </w:r>
      <w:r>
        <w:rPr>
          <w:rStyle w:val="FootnoteReference"/>
        </w:rPr>
        <w:footnoteReference w:id="67"/>
      </w:r>
    </w:p>
    <w:p w:rsidR="007C6A5F" w:rsidRDefault="007C6A5F" w:rsidP="007C6A5F">
      <w:pPr>
        <w:pStyle w:val="BodyText"/>
        <w:rPr>
          <w:lang w:bidi="fa-IR"/>
        </w:rPr>
      </w:pPr>
      <w:r>
        <w:rPr>
          <w:lang w:bidi="fa-IR"/>
        </w:rPr>
        <w:t xml:space="preserve">Furthermore, the survey results raise the question: if people place a high value on the various accessible design features, why are they not reflected in market outcomes? </w:t>
      </w:r>
      <w:r>
        <w:rPr>
          <w:lang w:bidi="fa-IR"/>
        </w:rPr>
        <w:lastRenderedPageBreak/>
        <w:t>Various barriers to the adoption of universal design principles have been identified in the literature.</w:t>
      </w:r>
    </w:p>
    <w:p w:rsidR="007C6A5F" w:rsidRDefault="007C6A5F" w:rsidP="005A6F87">
      <w:pPr>
        <w:pStyle w:val="ListBullet"/>
        <w:numPr>
          <w:ilvl w:val="0"/>
          <w:numId w:val="17"/>
        </w:numPr>
        <w:rPr>
          <w:lang w:bidi="fa-IR"/>
        </w:rPr>
      </w:pPr>
      <w:r>
        <w:rPr>
          <w:lang w:bidi="fa-IR"/>
        </w:rPr>
        <w:t xml:space="preserve">One set of barriers identified in the literature relates to the characteristics of the home building industry, which mean that homes do not always reflect consumer preferences. Industry stakeholders argued that industry practices are changing, albeit not as quickly as to meet </w:t>
      </w:r>
      <w:r w:rsidR="00B844DC">
        <w:rPr>
          <w:lang w:bidi="fa-IR"/>
        </w:rPr>
        <w:t xml:space="preserve">the </w:t>
      </w:r>
      <w:r>
        <w:rPr>
          <w:lang w:bidi="fa-IR"/>
        </w:rPr>
        <w:t>aspirations of some advocates. Industry stakeholders claim many volume builders are incorporating universal design principles into their designs and offering design options that comply with the LHDGs. This suggests that industry practices are becoming less of an issue over time.</w:t>
      </w:r>
    </w:p>
    <w:p w:rsidR="007C6A5F" w:rsidRDefault="007C6A5F" w:rsidP="005A6F87">
      <w:pPr>
        <w:pStyle w:val="ListBullet"/>
        <w:numPr>
          <w:ilvl w:val="0"/>
          <w:numId w:val="17"/>
        </w:numPr>
        <w:rPr>
          <w:lang w:bidi="fa-IR"/>
        </w:rPr>
      </w:pPr>
      <w:r>
        <w:rPr>
          <w:lang w:bidi="fa-IR"/>
        </w:rPr>
        <w:t>Another potential barrier relates to a lack of consumer awareness of the benefits of universal design (i.e. bounded rationality). One interpretation of the survey results is that the (limited) information provided in the questionnaire on the benefits of accessibility features and the focus on those features in housing choice questions overcame consumers’ bounded rationality and the survey results reflect consumers’ true preferences. However, even under this interpretation, non</w:t>
      </w:r>
      <w:r>
        <w:rPr>
          <w:lang w:bidi="fa-IR"/>
        </w:rPr>
        <w:noBreakHyphen/>
        <w:t>regulatory approaches, such as providing material on the benefits of accessible housing at the point of sale could help overcome this barrier.</w:t>
      </w:r>
    </w:p>
    <w:p w:rsidR="007C6A5F" w:rsidRDefault="007C6A5F" w:rsidP="007C6A5F">
      <w:pPr>
        <w:pStyle w:val="BodyText"/>
        <w:rPr>
          <w:lang w:bidi="fa-IR"/>
        </w:rPr>
      </w:pPr>
      <w:r>
        <w:rPr>
          <w:lang w:bidi="fa-IR"/>
        </w:rPr>
        <w:t xml:space="preserve">Given these considerations, it is possible that the survey may have overstated willingness to pay for accessible design features due to the questions being hypothetical, though it is also possible that willingness to pay revealed by the market is understated due to information barriers. Although every effort has been made to minimise potential biases introduced by the survey design (consistent with best practice approaches), the home choice questions were necessarily hypothetical and we could not credibly claim that the responses would impact outcomes for respondents. (The question designed to estimate societal altruism was more consequential, since it focussed on a potential change in government policy and rates and taxes). </w:t>
      </w:r>
    </w:p>
    <w:p w:rsidR="007C6A5F" w:rsidRDefault="007C6A5F" w:rsidP="007C6A5F">
      <w:pPr>
        <w:pStyle w:val="BodyText"/>
        <w:rPr>
          <w:lang w:bidi="fa-IR"/>
        </w:rPr>
      </w:pPr>
      <w:r>
        <w:rPr>
          <w:lang w:bidi="fa-IR"/>
        </w:rPr>
        <w:t xml:space="preserve">We therefore lean towards the approach based on our estimates of the extent to which the proposed changes to the NCC will address the various issues associated with a lack of accessible housing. </w:t>
      </w:r>
    </w:p>
    <w:p w:rsidR="007C6A5F" w:rsidRDefault="007C6A5F" w:rsidP="007C6A5F">
      <w:pPr>
        <w:pStyle w:val="BodyText"/>
        <w:rPr>
          <w:lang w:bidi="fa-IR"/>
        </w:rPr>
      </w:pPr>
      <w:r>
        <w:rPr>
          <w:lang w:bidi="fa-IR"/>
        </w:rPr>
        <w:t xml:space="preserve">Based on the (in some cases limited) information available, we estimate that the various costs associated with a lack of accessible housing are significant. However, these are complex issues and the indicators used to identify the number of people affected and other information relied to estimate the size of the problem are imperfect. </w:t>
      </w:r>
    </w:p>
    <w:p w:rsidR="007C6A5F" w:rsidRDefault="007C6A5F" w:rsidP="007C6A5F">
      <w:pPr>
        <w:pStyle w:val="BodyText"/>
        <w:rPr>
          <w:lang w:bidi="fa-IR"/>
        </w:rPr>
      </w:pPr>
      <w:r>
        <w:rPr>
          <w:lang w:bidi="fa-IR"/>
        </w:rPr>
        <w:t xml:space="preserve">Furthermore, including an accessibility standard in the NCC would address these issues relatively slowly, as accessible housing as a share of the total housing stock increases over time. We estimate that the main near to medium terms benefits arise from the increased availability of accessible rental properties. </w:t>
      </w:r>
    </w:p>
    <w:p w:rsidR="007C6A5F" w:rsidRDefault="007C6A5F" w:rsidP="007C6A5F">
      <w:pPr>
        <w:pStyle w:val="BodyText"/>
        <w:rPr>
          <w:lang w:bidi="fa-IR"/>
        </w:rPr>
      </w:pPr>
      <w:r>
        <w:rPr>
          <w:lang w:bidi="fa-IR"/>
        </w:rPr>
        <w:t>Renters are a group that have limited options for meeting their accessibility needs. However, a subsidy program (similar in design to the SDA, but targeting a different group) could help to address the particular issues faced by renters in a more targeted way. That said, subsidising accessible housing specifically for people with accessibility needs would not meet the broader aspirations of many advocates of:</w:t>
      </w:r>
    </w:p>
    <w:p w:rsidR="007C6A5F" w:rsidRDefault="007C6A5F" w:rsidP="005A6F87">
      <w:pPr>
        <w:pStyle w:val="ListBullet"/>
        <w:numPr>
          <w:ilvl w:val="0"/>
          <w:numId w:val="17"/>
        </w:numPr>
        <w:rPr>
          <w:lang w:bidi="fa-IR"/>
        </w:rPr>
      </w:pPr>
      <w:r>
        <w:rPr>
          <w:lang w:bidi="fa-IR"/>
        </w:rPr>
        <w:lastRenderedPageBreak/>
        <w:t>ensuring people with accessibility needs have the same housing choices available to them as other members of the community</w:t>
      </w:r>
      <w:r w:rsidR="00C87D2E">
        <w:rPr>
          <w:lang w:bidi="fa-IR"/>
        </w:rPr>
        <w:t>,</w:t>
      </w:r>
      <w:r>
        <w:rPr>
          <w:lang w:bidi="fa-IR"/>
        </w:rPr>
        <w:t xml:space="preserve"> and</w:t>
      </w:r>
    </w:p>
    <w:p w:rsidR="007C6A5F" w:rsidRDefault="007C6A5F" w:rsidP="005A6F87">
      <w:pPr>
        <w:pStyle w:val="ListBullet"/>
        <w:numPr>
          <w:ilvl w:val="0"/>
          <w:numId w:val="17"/>
        </w:numPr>
        <w:rPr>
          <w:lang w:bidi="fa-IR"/>
        </w:rPr>
      </w:pPr>
      <w:r>
        <w:rPr>
          <w:lang w:bidi="fa-IR"/>
        </w:rPr>
        <w:t>increasing the opportunities of people with accessibility needs to visit family and friends.</w:t>
      </w:r>
      <w:r w:rsidRPr="00DE1BE8">
        <w:rPr>
          <w:lang w:bidi="fa-IR"/>
        </w:rPr>
        <w:t xml:space="preserve"> </w:t>
      </w:r>
    </w:p>
    <w:p w:rsidR="007C6A5F" w:rsidRDefault="007C6A5F" w:rsidP="007C6A5F">
      <w:pPr>
        <w:pStyle w:val="ListBullet"/>
        <w:numPr>
          <w:ilvl w:val="0"/>
          <w:numId w:val="0"/>
        </w:numPr>
        <w:tabs>
          <w:tab w:val="left" w:pos="0"/>
        </w:tabs>
        <w:rPr>
          <w:lang w:bidi="fa-IR"/>
        </w:rPr>
      </w:pPr>
      <w:r>
        <w:rPr>
          <w:lang w:bidi="fa-IR"/>
        </w:rPr>
        <w:t>Although we have not been able to estimate the costs and benefits of an enhanced voluntary guidance, the proposal developed by ABCB could be included in a voluntary handbook at minimal cost. Together with some other relatively low</w:t>
      </w:r>
      <w:r>
        <w:rPr>
          <w:lang w:bidi="fa-IR"/>
        </w:rPr>
        <w:noBreakHyphen/>
        <w:t>cost measures to overcome barriers to the uptake of universal design principles, this approach could encourage additional uptake, with lower risk of imposing excessive costs on some new dwellings.</w:t>
      </w:r>
    </w:p>
    <w:p w:rsidR="007C6A5F" w:rsidRDefault="007C6A5F" w:rsidP="007C6A5F">
      <w:pPr>
        <w:pStyle w:val="Heading2"/>
        <w:numPr>
          <w:ilvl w:val="1"/>
          <w:numId w:val="5"/>
        </w:numPr>
        <w:rPr>
          <w:lang w:bidi="fa-IR"/>
        </w:rPr>
      </w:pPr>
      <w:bookmarkStart w:id="6376" w:name="_Toc32321773"/>
      <w:bookmarkStart w:id="6377" w:name="_Toc44598462"/>
      <w:bookmarkStart w:id="6378" w:name="_Toc45654093"/>
      <w:r>
        <w:rPr>
          <w:lang w:bidi="fa-IR"/>
        </w:rPr>
        <w:t>Preliminary recommendation</w:t>
      </w:r>
      <w:bookmarkEnd w:id="6376"/>
      <w:bookmarkEnd w:id="6377"/>
      <w:bookmarkEnd w:id="6378"/>
    </w:p>
    <w:p w:rsidR="007C6A5F" w:rsidRDefault="007C6A5F" w:rsidP="007C6A5F">
      <w:pPr>
        <w:pStyle w:val="KeyPoint"/>
        <w:rPr>
          <w:lang w:bidi="fa-IR"/>
        </w:rPr>
      </w:pPr>
      <w:r>
        <w:rPr>
          <w:lang w:bidi="fa-IR"/>
        </w:rPr>
        <w:t>Based on the preliminary evidence gathered for the Consultation RIS, the costs associated with including an accessible housing standard in the NCC are estimated to outweigh the benefits under the central estimates for all of the Options tested.</w:t>
      </w:r>
    </w:p>
    <w:p w:rsidR="007C6A5F" w:rsidRDefault="007C6A5F" w:rsidP="007C6A5F">
      <w:pPr>
        <w:pStyle w:val="KeyPoint"/>
        <w:rPr>
          <w:lang w:bidi="fa-IR"/>
        </w:rPr>
      </w:pPr>
      <w:r>
        <w:rPr>
          <w:lang w:bidi="fa-IR"/>
        </w:rPr>
        <w:t xml:space="preserve">Given the uncertainty around the feasibility of some Options, we recommend that consultation be used to seek feedback and more information on the assumptions, methods and suitability of alternative. </w:t>
      </w:r>
    </w:p>
    <w:p w:rsidR="007C6A5F" w:rsidRDefault="007C6A5F" w:rsidP="007C6A5F">
      <w:pPr>
        <w:pStyle w:val="Heading6"/>
        <w:numPr>
          <w:ilvl w:val="5"/>
          <w:numId w:val="5"/>
        </w:numPr>
      </w:pPr>
      <w:bookmarkStart w:id="6379" w:name="_Toc32321774"/>
      <w:bookmarkStart w:id="6380" w:name="_Toc44598463"/>
      <w:bookmarkStart w:id="6381" w:name="_Toc45654094"/>
      <w:r>
        <w:lastRenderedPageBreak/>
        <w:t>Approach to estimating safety impacts</w:t>
      </w:r>
      <w:bookmarkEnd w:id="6379"/>
      <w:bookmarkEnd w:id="6380"/>
      <w:bookmarkEnd w:id="6381"/>
    </w:p>
    <w:p w:rsidR="007C6A5F" w:rsidRPr="002A62E1" w:rsidRDefault="007C6A5F" w:rsidP="007C6A5F">
      <w:pPr>
        <w:pStyle w:val="Heading7"/>
        <w:numPr>
          <w:ilvl w:val="6"/>
          <w:numId w:val="5"/>
        </w:numPr>
        <w:rPr>
          <w:lang w:bidi="fa-IR"/>
        </w:rPr>
      </w:pPr>
      <w:r>
        <w:rPr>
          <w:lang w:bidi="fa-IR"/>
        </w:rPr>
        <w:t>People at risk of falls due to inaccessible housing</w:t>
      </w:r>
    </w:p>
    <w:p w:rsidR="007C6A5F" w:rsidRDefault="007C6A5F" w:rsidP="007C6A5F">
      <w:pPr>
        <w:pStyle w:val="BodyText"/>
        <w:rPr>
          <w:lang w:bidi="fa-IR"/>
        </w:rPr>
      </w:pPr>
      <w:r>
        <w:rPr>
          <w:lang w:bidi="fa-IR"/>
        </w:rPr>
        <w:t xml:space="preserve">There is </w:t>
      </w:r>
      <w:r w:rsidRPr="006C3FC1">
        <w:rPr>
          <w:lang w:bidi="fa-IR"/>
        </w:rPr>
        <w:t>no comprehensive source of data on the extent to which accessibility needs are being met in existing dwellings.</w:t>
      </w:r>
      <w:r>
        <w:rPr>
          <w:lang w:bidi="fa-IR"/>
        </w:rPr>
        <w:t xml:space="preserve"> The SDAC does not explicitly ask respondents with a mobility limitation whether their current residence meets their accessibility needs. Nevertheless, there are some relevant </w:t>
      </w:r>
      <w:r w:rsidRPr="006C3FC1">
        <w:rPr>
          <w:lang w:bidi="fa-IR"/>
        </w:rPr>
        <w:t>indicators</w:t>
      </w:r>
      <w:r>
        <w:rPr>
          <w:lang w:bidi="fa-IR"/>
        </w:rPr>
        <w:t>.</w:t>
      </w:r>
    </w:p>
    <w:p w:rsidR="007C6A5F" w:rsidRDefault="007C6A5F" w:rsidP="007C6A5F">
      <w:pPr>
        <w:pStyle w:val="BodyText"/>
        <w:rPr>
          <w:lang w:bidi="fa-IR"/>
        </w:rPr>
      </w:pPr>
      <w:r w:rsidRPr="006C3FC1">
        <w:rPr>
          <w:lang w:bidi="fa-IR"/>
        </w:rPr>
        <w:t>One relevant indicator</w:t>
      </w:r>
      <w:r>
        <w:rPr>
          <w:lang w:bidi="fa-IR"/>
        </w:rPr>
        <w:t xml:space="preserve"> on the extent to which accessibility needs are being met is the level of assistance required moving around the residence. This question is relevant to accessibility features within the home, but not necessarily features relating to entering and leaving the residence (such as level access).</w:t>
      </w:r>
    </w:p>
    <w:p w:rsidR="007C6A5F" w:rsidRDefault="007C6A5F" w:rsidP="005A6F87">
      <w:pPr>
        <w:pStyle w:val="ListBullet"/>
        <w:numPr>
          <w:ilvl w:val="0"/>
          <w:numId w:val="17"/>
        </w:numPr>
        <w:rPr>
          <w:lang w:bidi="fa-IR"/>
        </w:rPr>
      </w:pPr>
      <w:r>
        <w:rPr>
          <w:lang w:bidi="fa-IR"/>
        </w:rPr>
        <w:t>The 2018 SDAC suggests that around 78 per cent of those identifying as having a mobility limitation report having no difficulty moving around the residence (table </w:t>
      </w:r>
      <w:r>
        <w:rPr>
          <w:lang w:bidi="fa-IR"/>
        </w:rPr>
        <w:fldChar w:fldCharType="begin"/>
      </w:r>
      <w:r>
        <w:rPr>
          <w:lang w:bidi="fa-IR"/>
        </w:rPr>
        <w:instrText xml:space="preserve"> REF _Caption5829 </w:instrText>
      </w:r>
      <w:r>
        <w:rPr>
          <w:lang w:bidi="fa-IR"/>
        </w:rPr>
        <w:fldChar w:fldCharType="separate"/>
      </w:r>
      <w:r>
        <w:rPr>
          <w:noProof/>
        </w:rPr>
        <w:t>A</w:t>
      </w:r>
      <w:r w:rsidRPr="00695C93">
        <w:rPr>
          <w:noProof/>
        </w:rPr>
        <w:t>.</w:t>
      </w:r>
      <w:r>
        <w:rPr>
          <w:noProof/>
        </w:rPr>
        <w:t>1</w:t>
      </w:r>
      <w:r>
        <w:rPr>
          <w:lang w:bidi="fa-IR"/>
        </w:rPr>
        <w:fldChar w:fldCharType="end"/>
      </w:r>
      <w:r>
        <w:rPr>
          <w:lang w:bidi="fa-IR"/>
        </w:rPr>
        <w:t xml:space="preserve">). </w:t>
      </w:r>
    </w:p>
    <w:p w:rsidR="007C6A5F" w:rsidRDefault="007C6A5F" w:rsidP="005A6F87">
      <w:pPr>
        <w:pStyle w:val="ListBullet2"/>
        <w:numPr>
          <w:ilvl w:val="1"/>
          <w:numId w:val="17"/>
        </w:numPr>
        <w:ind w:left="568" w:hanging="284"/>
        <w:rPr>
          <w:lang w:bidi="fa-IR"/>
        </w:rPr>
      </w:pPr>
      <w:r>
        <w:rPr>
          <w:lang w:bidi="fa-IR"/>
        </w:rPr>
        <w:t>In some cases, the disability may not be severe enough to restrict movement around the residence.</w:t>
      </w:r>
    </w:p>
    <w:p w:rsidR="007C6A5F" w:rsidRDefault="007C6A5F" w:rsidP="005A6F87">
      <w:pPr>
        <w:pStyle w:val="ListBullet2"/>
        <w:numPr>
          <w:ilvl w:val="1"/>
          <w:numId w:val="17"/>
        </w:numPr>
        <w:ind w:left="568" w:hanging="284"/>
        <w:rPr>
          <w:lang w:bidi="fa-IR"/>
        </w:rPr>
      </w:pPr>
      <w:r>
        <w:rPr>
          <w:lang w:bidi="fa-IR"/>
        </w:rPr>
        <w:t>Alternatively, this could reflect the home environment already meeting any accessibility needs.</w:t>
      </w:r>
    </w:p>
    <w:p w:rsidR="007C6A5F" w:rsidRDefault="007C6A5F" w:rsidP="005A6F87">
      <w:pPr>
        <w:pStyle w:val="ListBullet"/>
        <w:numPr>
          <w:ilvl w:val="0"/>
          <w:numId w:val="17"/>
        </w:numPr>
        <w:rPr>
          <w:lang w:bidi="fa-IR"/>
        </w:rPr>
      </w:pPr>
      <w:r>
        <w:rPr>
          <w:lang w:bidi="fa-IR"/>
        </w:rPr>
        <w:t>There are around 653 400 people that either require assistance moving around the residence, or have some difficulty.</w:t>
      </w:r>
    </w:p>
    <w:p w:rsidR="007C6A5F" w:rsidRDefault="007C6A5F" w:rsidP="005A6F87">
      <w:pPr>
        <w:pStyle w:val="ListBullet2"/>
        <w:numPr>
          <w:ilvl w:val="1"/>
          <w:numId w:val="17"/>
        </w:numPr>
        <w:ind w:left="568" w:hanging="284"/>
        <w:rPr>
          <w:lang w:bidi="fa-IR"/>
        </w:rPr>
      </w:pPr>
      <w:r>
        <w:rPr>
          <w:lang w:bidi="fa-IR"/>
        </w:rPr>
        <w:t>Of these, around 163 100 live in establishments (including aged care facilities, retirement villages or hospitals).</w:t>
      </w:r>
    </w:p>
    <w:p w:rsidR="007C6A5F" w:rsidRDefault="007C6A5F" w:rsidP="005A6F87">
      <w:pPr>
        <w:pStyle w:val="ListBullet2"/>
        <w:numPr>
          <w:ilvl w:val="1"/>
          <w:numId w:val="17"/>
        </w:numPr>
        <w:ind w:left="568" w:hanging="284"/>
        <w:rPr>
          <w:lang w:bidi="fa-IR"/>
        </w:rPr>
      </w:pPr>
      <w:r>
        <w:rPr>
          <w:lang w:bidi="fa-IR"/>
        </w:rPr>
        <w:t>The remaining 490 700 live in households.</w:t>
      </w:r>
    </w:p>
    <w:p w:rsidR="007C6A5F" w:rsidRDefault="007C6A5F" w:rsidP="005A6F87">
      <w:pPr>
        <w:pStyle w:val="ListBullet3"/>
        <w:numPr>
          <w:ilvl w:val="2"/>
          <w:numId w:val="17"/>
        </w:numPr>
        <w:rPr>
          <w:lang w:bidi="fa-IR"/>
        </w:rPr>
      </w:pPr>
      <w:r>
        <w:rPr>
          <w:lang w:bidi="fa-IR"/>
        </w:rPr>
        <w:t>Of these, around 167 900 live in dwellings that have been modified because of the resident’s condition or age. This could indicate that the dwelling is accessible, but the disability is severe enough that they require assistance or have difficulty anyway. Alternatively, it is possible that the modifications were inadequate, such that the dwelling did not meet the resident’s accessibility needs.</w:t>
      </w:r>
    </w:p>
    <w:p w:rsidR="007C6A5F" w:rsidRDefault="007C6A5F" w:rsidP="005A6F87">
      <w:pPr>
        <w:pStyle w:val="ListBullet3"/>
        <w:numPr>
          <w:ilvl w:val="2"/>
          <w:numId w:val="17"/>
        </w:numPr>
        <w:rPr>
          <w:lang w:bidi="fa-IR"/>
        </w:rPr>
      </w:pPr>
      <w:r>
        <w:rPr>
          <w:lang w:bidi="fa-IR"/>
        </w:rPr>
        <w:t>The remaining 322 300 live in dwellings that have not been modified.</w:t>
      </w:r>
    </w:p>
    <w:p w:rsidR="007C6A5F" w:rsidRDefault="007C6A5F" w:rsidP="007C6A5F">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Pr>
          <w:noProof/>
        </w:rPr>
        <w:instrText>A</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w:instrText>
      </w:r>
      <w:r w:rsidRPr="00695C93">
        <w:fldChar w:fldCharType="end"/>
      </w:r>
      <w:r w:rsidRPr="00695C93">
        <w:instrText xml:space="preserve">" "" </w:instrText>
      </w:r>
      <w:r w:rsidRPr="00695C93">
        <w:fldChar w:fldCharType="separate"/>
      </w:r>
      <w:bookmarkStart w:id="6382" w:name="_Caption0239"/>
      <w:bookmarkStart w:id="6383" w:name="_Caption3232"/>
      <w:bookmarkStart w:id="6384" w:name="_Caption7038"/>
      <w:bookmarkStart w:id="6385" w:name="_Caption1280"/>
      <w:bookmarkStart w:id="6386" w:name="_Caption6090"/>
      <w:bookmarkStart w:id="6387" w:name="_Caption3712"/>
      <w:bookmarkStart w:id="6388" w:name="_Caption4589"/>
      <w:bookmarkStart w:id="6389" w:name="_Caption6597"/>
      <w:bookmarkStart w:id="6390" w:name="_Caption1222"/>
      <w:bookmarkStart w:id="6391" w:name="_Caption3960"/>
      <w:bookmarkStart w:id="6392" w:name="_Caption8159"/>
      <w:bookmarkStart w:id="6393" w:name="_Caption5829"/>
      <w:bookmarkStart w:id="6394" w:name="_Caption2555"/>
      <w:bookmarkStart w:id="6395" w:name="_Caption3916"/>
      <w:bookmarkStart w:id="6396" w:name="_Caption2481"/>
      <w:bookmarkStart w:id="6397" w:name="_Caption6688"/>
      <w:bookmarkStart w:id="6398" w:name="_Caption4626"/>
      <w:bookmarkStart w:id="6399" w:name="_Caption6395"/>
      <w:bookmarkStart w:id="6400" w:name="_Caption5319"/>
      <w:bookmarkStart w:id="6401" w:name="_Caption8067"/>
      <w:bookmarkStart w:id="6402" w:name="_Toc44598561"/>
      <w:bookmarkStart w:id="6403" w:name="_Toc45654192"/>
      <w:r w:rsidR="00272AF3">
        <w:rPr>
          <w:noProof/>
        </w:rPr>
        <w:t>A</w:t>
      </w:r>
      <w:r w:rsidR="00272AF3" w:rsidRPr="00695C93">
        <w:rPr>
          <w:noProof/>
        </w:rPr>
        <w:t>.</w:t>
      </w:r>
      <w:r w:rsidR="00272AF3">
        <w:rPr>
          <w:noProof/>
        </w:rPr>
        <w:t>1</w:t>
      </w:r>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r w:rsidRPr="00695C93">
        <w:fldChar w:fldCharType="end"/>
      </w:r>
      <w:r w:rsidRPr="00695C93">
        <w:tab/>
      </w:r>
      <w:r>
        <w:t>Assistance required moving around residence</w:t>
      </w:r>
      <w:bookmarkEnd w:id="6402"/>
      <w:bookmarkEnd w:id="6403"/>
    </w:p>
    <w:tbl>
      <w:tblPr>
        <w:tblStyle w:val="TableGridLight"/>
        <w:tblW w:w="7938" w:type="dxa"/>
        <w:tblLayout w:type="fixed"/>
        <w:tblLook w:val="0020" w:firstRow="1" w:lastRow="0" w:firstColumn="0" w:lastColumn="0" w:noHBand="0" w:noVBand="0"/>
        <w:tblCaption w:val="Table A.1"/>
        <w:tblDescription w:val="Assistance required moving around residence"/>
      </w:tblPr>
      <w:tblGrid>
        <w:gridCol w:w="1560"/>
        <w:gridCol w:w="1417"/>
        <w:gridCol w:w="1117"/>
        <w:gridCol w:w="1009"/>
        <w:gridCol w:w="1134"/>
        <w:gridCol w:w="993"/>
        <w:gridCol w:w="708"/>
      </w:tblGrid>
      <w:tr w:rsidR="001C18B4" w:rsidTr="00461D2B">
        <w:trPr>
          <w:trHeight w:val="1590"/>
          <w:tblHeader/>
        </w:trPr>
        <w:tc>
          <w:tcPr>
            <w:tcW w:w="1560" w:type="dxa"/>
            <w:tcBorders>
              <w:top w:val="nil"/>
              <w:left w:val="nil"/>
              <w:right w:val="nil"/>
            </w:tcBorders>
            <w:shd w:val="clear" w:color="auto" w:fill="6F6652" w:themeFill="text2"/>
          </w:tcPr>
          <w:p w:rsidR="001C18B4" w:rsidRDefault="001C18B4" w:rsidP="003A3CDF">
            <w:pPr>
              <w:pStyle w:val="TableDataColumnHeading"/>
              <w:jc w:val="left"/>
              <w:rPr>
                <w:lang w:val="en-GB"/>
              </w:rPr>
            </w:pPr>
            <w:r>
              <w:rPr>
                <w:lang w:val="en-GB"/>
              </w:rPr>
              <w:t>Assistance needs</w:t>
            </w:r>
          </w:p>
        </w:tc>
        <w:tc>
          <w:tcPr>
            <w:tcW w:w="1417" w:type="dxa"/>
            <w:tcBorders>
              <w:top w:val="nil"/>
              <w:left w:val="nil"/>
              <w:right w:val="nil"/>
            </w:tcBorders>
            <w:shd w:val="clear" w:color="auto" w:fill="6F6652" w:themeFill="text2"/>
          </w:tcPr>
          <w:p w:rsidR="001C18B4" w:rsidRDefault="001C18B4" w:rsidP="003A3CDF">
            <w:pPr>
              <w:pStyle w:val="TableDataColumnHeading"/>
              <w:rPr>
                <w:lang w:val="en-GB"/>
              </w:rPr>
            </w:pPr>
            <w:r w:rsidRPr="006D6FC6">
              <w:rPr>
                <w:lang w:val="en-GB"/>
              </w:rPr>
              <w:t>Living in establishments</w:t>
            </w:r>
          </w:p>
          <w:p w:rsidR="001C18B4" w:rsidRDefault="001C18B4" w:rsidP="003A3CDF">
            <w:pPr>
              <w:pStyle w:val="TableDataColumnHeading"/>
              <w:rPr>
                <w:lang w:val="en-GB"/>
              </w:rPr>
            </w:pPr>
          </w:p>
          <w:p w:rsidR="001C18B4" w:rsidRDefault="001C18B4" w:rsidP="003A3CDF">
            <w:pPr>
              <w:pStyle w:val="TableDataColumnHeading"/>
              <w:rPr>
                <w:lang w:val="en-GB"/>
              </w:rPr>
            </w:pPr>
          </w:p>
          <w:p w:rsidR="001C18B4" w:rsidRDefault="001C18B4" w:rsidP="003A3CDF">
            <w:pPr>
              <w:pStyle w:val="TableDataColumnHeading"/>
              <w:rPr>
                <w:lang w:val="en-GB"/>
              </w:rPr>
            </w:pPr>
            <w:r>
              <w:rPr>
                <w:lang w:val="en-GB"/>
              </w:rPr>
              <w:t>(‘000)</w:t>
            </w:r>
          </w:p>
        </w:tc>
        <w:tc>
          <w:tcPr>
            <w:tcW w:w="1117" w:type="dxa"/>
            <w:tcBorders>
              <w:top w:val="nil"/>
              <w:left w:val="nil"/>
              <w:right w:val="nil"/>
            </w:tcBorders>
            <w:shd w:val="clear" w:color="auto" w:fill="6F6652" w:themeFill="text2"/>
          </w:tcPr>
          <w:p w:rsidR="001C18B4" w:rsidRDefault="001C18B4" w:rsidP="003A3CDF">
            <w:pPr>
              <w:pStyle w:val="TableDataColumnHeading"/>
              <w:rPr>
                <w:lang w:val="en-GB"/>
              </w:rPr>
            </w:pPr>
            <w:r>
              <w:rPr>
                <w:lang w:val="en-GB"/>
              </w:rPr>
              <w:t>Living in households: Dwelling modified</w:t>
            </w:r>
            <w:r>
              <w:rPr>
                <w:lang w:val="en-GB"/>
              </w:rPr>
              <w:br/>
            </w:r>
            <w:r>
              <w:rPr>
                <w:lang w:val="en-GB"/>
              </w:rPr>
              <w:br/>
              <w:t>(‘000)</w:t>
            </w:r>
          </w:p>
        </w:tc>
        <w:tc>
          <w:tcPr>
            <w:tcW w:w="1009" w:type="dxa"/>
            <w:tcBorders>
              <w:top w:val="nil"/>
              <w:left w:val="nil"/>
              <w:right w:val="nil"/>
            </w:tcBorders>
            <w:shd w:val="clear" w:color="auto" w:fill="6F6652" w:themeFill="text2"/>
          </w:tcPr>
          <w:p w:rsidR="001C18B4" w:rsidRDefault="001C18B4" w:rsidP="003A3CDF">
            <w:pPr>
              <w:pStyle w:val="TableDataColumnHeading"/>
              <w:rPr>
                <w:lang w:val="en-GB"/>
              </w:rPr>
            </w:pPr>
            <w:r>
              <w:rPr>
                <w:lang w:val="en-GB"/>
              </w:rPr>
              <w:t>Living in households: Dwelling not modified</w:t>
            </w:r>
            <w:r>
              <w:rPr>
                <w:lang w:val="en-GB"/>
              </w:rPr>
              <w:br/>
              <w:t>(‘000)</w:t>
            </w:r>
          </w:p>
        </w:tc>
        <w:tc>
          <w:tcPr>
            <w:tcW w:w="1134" w:type="dxa"/>
            <w:tcBorders>
              <w:top w:val="nil"/>
              <w:left w:val="nil"/>
              <w:right w:val="nil"/>
            </w:tcBorders>
            <w:shd w:val="clear" w:color="auto" w:fill="6F6652" w:themeFill="text2"/>
          </w:tcPr>
          <w:p w:rsidR="001C18B4" w:rsidRDefault="001C18B4" w:rsidP="003A3CDF">
            <w:pPr>
              <w:pStyle w:val="TableDataColumnHeading"/>
              <w:rPr>
                <w:lang w:val="en-GB"/>
              </w:rPr>
            </w:pPr>
            <w:r>
              <w:rPr>
                <w:lang w:val="en-GB"/>
              </w:rPr>
              <w:t>Living in households: Total</w:t>
            </w:r>
            <w:r>
              <w:rPr>
                <w:lang w:val="en-GB"/>
              </w:rPr>
              <w:br/>
            </w:r>
            <w:r>
              <w:rPr>
                <w:lang w:val="en-GB"/>
              </w:rPr>
              <w:br/>
            </w:r>
            <w:r>
              <w:rPr>
                <w:lang w:val="en-GB"/>
              </w:rPr>
              <w:br/>
              <w:t>(‘000)</w:t>
            </w:r>
          </w:p>
        </w:tc>
        <w:tc>
          <w:tcPr>
            <w:tcW w:w="993" w:type="dxa"/>
            <w:tcBorders>
              <w:top w:val="nil"/>
              <w:left w:val="nil"/>
              <w:right w:val="nil"/>
            </w:tcBorders>
            <w:shd w:val="clear" w:color="auto" w:fill="6F6652" w:themeFill="text2"/>
          </w:tcPr>
          <w:p w:rsidR="001C18B4" w:rsidRDefault="001C18B4" w:rsidP="003A3CDF">
            <w:pPr>
              <w:pStyle w:val="TableDataColumnHeading"/>
              <w:rPr>
                <w:lang w:val="en-GB"/>
              </w:rPr>
            </w:pPr>
            <w:r w:rsidRPr="006D6FC6">
              <w:rPr>
                <w:lang w:val="en-GB"/>
              </w:rPr>
              <w:t>Total requiring assistance</w:t>
            </w:r>
            <w:r>
              <w:rPr>
                <w:lang w:val="en-GB"/>
              </w:rPr>
              <w:br/>
            </w:r>
            <w:r>
              <w:rPr>
                <w:lang w:val="en-GB"/>
              </w:rPr>
              <w:br/>
            </w:r>
            <w:r>
              <w:rPr>
                <w:lang w:val="en-GB"/>
              </w:rPr>
              <w:br/>
              <w:t>(‘000)</w:t>
            </w:r>
          </w:p>
        </w:tc>
        <w:tc>
          <w:tcPr>
            <w:tcW w:w="708" w:type="dxa"/>
            <w:tcBorders>
              <w:top w:val="nil"/>
              <w:left w:val="nil"/>
              <w:right w:val="nil"/>
            </w:tcBorders>
            <w:shd w:val="clear" w:color="auto" w:fill="6F6652" w:themeFill="text2"/>
          </w:tcPr>
          <w:p w:rsidR="001C18B4" w:rsidRDefault="001C18B4" w:rsidP="003A3CDF">
            <w:pPr>
              <w:pStyle w:val="TableDataColumnHeading"/>
              <w:rPr>
                <w:lang w:val="en-GB"/>
              </w:rPr>
            </w:pPr>
            <w:r w:rsidRPr="006D6FC6">
              <w:rPr>
                <w:lang w:val="en-GB"/>
              </w:rPr>
              <w:t>Share of total</w:t>
            </w:r>
            <w:r>
              <w:rPr>
                <w:lang w:val="en-GB"/>
              </w:rPr>
              <w:br/>
            </w:r>
            <w:r>
              <w:rPr>
                <w:lang w:val="en-GB"/>
              </w:rPr>
              <w:br/>
              <w:t>(per cent)</w:t>
            </w:r>
          </w:p>
        </w:tc>
      </w:tr>
      <w:tr w:rsidR="007C6A5F" w:rsidTr="00290DC7">
        <w:trPr>
          <w:trHeight w:val="230"/>
        </w:trPr>
        <w:tc>
          <w:tcPr>
            <w:tcW w:w="1560"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Always needs help</w:t>
            </w:r>
          </w:p>
        </w:tc>
        <w:tc>
          <w:tcPr>
            <w:tcW w:w="141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121.6</w:t>
            </w:r>
          </w:p>
        </w:tc>
        <w:tc>
          <w:tcPr>
            <w:tcW w:w="111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32.8</w:t>
            </w:r>
          </w:p>
        </w:tc>
        <w:tc>
          <w:tcPr>
            <w:tcW w:w="10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40.1</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71.3</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194.2</w:t>
            </w:r>
          </w:p>
        </w:tc>
        <w:tc>
          <w:tcPr>
            <w:tcW w:w="70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6.5</w:t>
            </w:r>
          </w:p>
        </w:tc>
      </w:tr>
      <w:tr w:rsidR="007C6A5F" w:rsidTr="00290DC7">
        <w:trPr>
          <w:trHeight w:val="230"/>
        </w:trPr>
        <w:tc>
          <w:tcPr>
            <w:tcW w:w="1560"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Sometimes needs help</w:t>
            </w:r>
          </w:p>
        </w:tc>
        <w:tc>
          <w:tcPr>
            <w:tcW w:w="141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35.1</w:t>
            </w:r>
          </w:p>
        </w:tc>
        <w:tc>
          <w:tcPr>
            <w:tcW w:w="111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58.0</w:t>
            </w:r>
          </w:p>
        </w:tc>
        <w:tc>
          <w:tcPr>
            <w:tcW w:w="10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113.0</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171.0</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205.7</w:t>
            </w:r>
          </w:p>
        </w:tc>
        <w:tc>
          <w:tcPr>
            <w:tcW w:w="70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6.9</w:t>
            </w:r>
          </w:p>
        </w:tc>
      </w:tr>
      <w:tr w:rsidR="007C6A5F" w:rsidTr="00290DC7">
        <w:trPr>
          <w:trHeight w:val="230"/>
        </w:trPr>
        <w:tc>
          <w:tcPr>
            <w:tcW w:w="1560"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Does not need help, but has difficulty</w:t>
            </w:r>
          </w:p>
        </w:tc>
        <w:tc>
          <w:tcPr>
            <w:tcW w:w="141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6.4</w:t>
            </w:r>
          </w:p>
        </w:tc>
        <w:tc>
          <w:tcPr>
            <w:tcW w:w="111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77.1</w:t>
            </w:r>
          </w:p>
        </w:tc>
        <w:tc>
          <w:tcPr>
            <w:tcW w:w="10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169.2</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248.4</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253.5</w:t>
            </w:r>
          </w:p>
        </w:tc>
        <w:tc>
          <w:tcPr>
            <w:tcW w:w="70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8.5</w:t>
            </w:r>
          </w:p>
        </w:tc>
      </w:tr>
      <w:tr w:rsidR="007C6A5F" w:rsidTr="00290DC7">
        <w:trPr>
          <w:trHeight w:val="230"/>
        </w:trPr>
        <w:tc>
          <w:tcPr>
            <w:tcW w:w="1560"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Total requiring help or has difficulty</w:t>
            </w:r>
          </w:p>
        </w:tc>
        <w:tc>
          <w:tcPr>
            <w:tcW w:w="141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163.1</w:t>
            </w:r>
          </w:p>
        </w:tc>
        <w:tc>
          <w:tcPr>
            <w:tcW w:w="111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167.9</w:t>
            </w:r>
          </w:p>
        </w:tc>
        <w:tc>
          <w:tcPr>
            <w:tcW w:w="10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322.3</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490.7</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653.4</w:t>
            </w:r>
          </w:p>
        </w:tc>
        <w:tc>
          <w:tcPr>
            <w:tcW w:w="70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21.9</w:t>
            </w:r>
          </w:p>
        </w:tc>
      </w:tr>
      <w:tr w:rsidR="007C6A5F" w:rsidTr="00290DC7">
        <w:trPr>
          <w:trHeight w:val="230"/>
        </w:trPr>
        <w:tc>
          <w:tcPr>
            <w:tcW w:w="1560"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Does not move around residence</w:t>
            </w:r>
          </w:p>
        </w:tc>
        <w:tc>
          <w:tcPr>
            <w:tcW w:w="141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9.5</w:t>
            </w:r>
          </w:p>
        </w:tc>
        <w:tc>
          <w:tcPr>
            <w:tcW w:w="111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0.0</w:t>
            </w:r>
          </w:p>
        </w:tc>
        <w:tc>
          <w:tcPr>
            <w:tcW w:w="10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7.2</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4.8</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15.6</w:t>
            </w:r>
          </w:p>
        </w:tc>
        <w:tc>
          <w:tcPr>
            <w:tcW w:w="70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0.5</w:t>
            </w:r>
          </w:p>
        </w:tc>
      </w:tr>
      <w:tr w:rsidR="007C6A5F" w:rsidTr="00290DC7">
        <w:trPr>
          <w:trHeight w:val="230"/>
        </w:trPr>
        <w:tc>
          <w:tcPr>
            <w:tcW w:w="1560"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Has no difficulty</w:t>
            </w:r>
          </w:p>
        </w:tc>
        <w:tc>
          <w:tcPr>
            <w:tcW w:w="141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11.7</w:t>
            </w:r>
          </w:p>
        </w:tc>
        <w:tc>
          <w:tcPr>
            <w:tcW w:w="111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309.9</w:t>
            </w:r>
          </w:p>
        </w:tc>
        <w:tc>
          <w:tcPr>
            <w:tcW w:w="10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1 992.3</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2 301.9</w:t>
            </w:r>
          </w:p>
        </w:tc>
        <w:tc>
          <w:tcPr>
            <w:tcW w:w="993"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2 313.9</w:t>
            </w:r>
          </w:p>
        </w:tc>
        <w:tc>
          <w:tcPr>
            <w:tcW w:w="70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77.6</w:t>
            </w:r>
          </w:p>
        </w:tc>
      </w:tr>
      <w:tr w:rsidR="007C6A5F" w:rsidRPr="00B308C0" w:rsidTr="00290DC7">
        <w:trPr>
          <w:trHeight w:val="230"/>
        </w:trPr>
        <w:tc>
          <w:tcPr>
            <w:tcW w:w="1560"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53773C" w:rsidRDefault="007C6A5F" w:rsidP="00C36DA4">
            <w:pPr>
              <w:pStyle w:val="TableDataEntries"/>
              <w:jc w:val="left"/>
              <w:rPr>
                <w:rFonts w:ascii="Franklin Gothic Demi" w:hAnsi="Franklin Gothic Demi"/>
                <w:lang w:val="en-GB"/>
              </w:rPr>
            </w:pPr>
            <w:r w:rsidRPr="0053773C">
              <w:rPr>
                <w:rFonts w:ascii="Franklin Gothic Demi" w:hAnsi="Franklin Gothic Demi"/>
                <w:lang w:val="en-GB"/>
              </w:rPr>
              <w:t>Total</w:t>
            </w:r>
          </w:p>
        </w:tc>
        <w:tc>
          <w:tcPr>
            <w:tcW w:w="1417"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53773C" w:rsidRDefault="007C6A5F" w:rsidP="00C36DA4">
            <w:pPr>
              <w:pStyle w:val="TableDataEntries"/>
              <w:rPr>
                <w:rFonts w:ascii="Franklin Gothic Demi" w:hAnsi="Franklin Gothic Demi"/>
                <w:lang w:val="en-GB"/>
              </w:rPr>
            </w:pPr>
            <w:r w:rsidRPr="0053773C">
              <w:rPr>
                <w:rFonts w:ascii="Franklin Gothic Demi" w:hAnsi="Franklin Gothic Demi"/>
                <w:lang w:val="en-GB"/>
              </w:rPr>
              <w:t xml:space="preserve"> 184.3</w:t>
            </w:r>
          </w:p>
        </w:tc>
        <w:tc>
          <w:tcPr>
            <w:tcW w:w="1117"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53773C" w:rsidRDefault="007C6A5F" w:rsidP="00C36DA4">
            <w:pPr>
              <w:pStyle w:val="TableDataEntries"/>
              <w:rPr>
                <w:rFonts w:ascii="Franklin Gothic Demi" w:hAnsi="Franklin Gothic Demi"/>
                <w:lang w:val="en-GB"/>
              </w:rPr>
            </w:pPr>
            <w:r w:rsidRPr="0053773C">
              <w:rPr>
                <w:rFonts w:ascii="Franklin Gothic Demi" w:hAnsi="Franklin Gothic Demi"/>
                <w:lang w:val="en-GB"/>
              </w:rPr>
              <w:t xml:space="preserve"> 477.8</w:t>
            </w:r>
          </w:p>
        </w:tc>
        <w:tc>
          <w:tcPr>
            <w:tcW w:w="1009"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53773C" w:rsidRDefault="007C6A5F" w:rsidP="00C36DA4">
            <w:pPr>
              <w:pStyle w:val="TableDataEntries"/>
              <w:rPr>
                <w:rFonts w:ascii="Franklin Gothic Demi" w:hAnsi="Franklin Gothic Demi"/>
                <w:lang w:val="en-GB"/>
              </w:rPr>
            </w:pPr>
            <w:r w:rsidRPr="0053773C">
              <w:rPr>
                <w:rFonts w:ascii="Franklin Gothic Demi" w:hAnsi="Franklin Gothic Demi"/>
                <w:lang w:val="en-GB"/>
              </w:rPr>
              <w:t>2 321.8</w:t>
            </w:r>
          </w:p>
        </w:tc>
        <w:tc>
          <w:tcPr>
            <w:tcW w:w="1134"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53773C" w:rsidRDefault="007C6A5F" w:rsidP="00C36DA4">
            <w:pPr>
              <w:pStyle w:val="TableDataEntries"/>
              <w:rPr>
                <w:rFonts w:ascii="Franklin Gothic Demi" w:hAnsi="Franklin Gothic Demi"/>
                <w:lang w:val="en-GB"/>
              </w:rPr>
            </w:pPr>
            <w:r w:rsidRPr="0053773C">
              <w:rPr>
                <w:rFonts w:ascii="Franklin Gothic Demi" w:hAnsi="Franklin Gothic Demi"/>
                <w:lang w:val="en-GB"/>
              </w:rPr>
              <w:t>2 797.4</w:t>
            </w:r>
          </w:p>
        </w:tc>
        <w:tc>
          <w:tcPr>
            <w:tcW w:w="993"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53773C" w:rsidRDefault="007C6A5F" w:rsidP="00C36DA4">
            <w:pPr>
              <w:pStyle w:val="TableDataEntries"/>
              <w:rPr>
                <w:rFonts w:ascii="Franklin Gothic Demi" w:hAnsi="Franklin Gothic Demi"/>
                <w:lang w:val="en-GB"/>
              </w:rPr>
            </w:pPr>
            <w:r w:rsidRPr="0053773C">
              <w:rPr>
                <w:rFonts w:ascii="Franklin Gothic Demi" w:hAnsi="Franklin Gothic Demi"/>
                <w:lang w:val="en-GB"/>
              </w:rPr>
              <w:t>2 982.9</w:t>
            </w:r>
          </w:p>
        </w:tc>
        <w:tc>
          <w:tcPr>
            <w:tcW w:w="708"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53773C" w:rsidRDefault="007C6A5F" w:rsidP="00C36DA4">
            <w:pPr>
              <w:pStyle w:val="TableDataEntries"/>
              <w:rPr>
                <w:rFonts w:ascii="Franklin Gothic Demi" w:hAnsi="Franklin Gothic Demi"/>
                <w:lang w:val="en-GB"/>
              </w:rPr>
            </w:pPr>
            <w:r w:rsidRPr="0053773C">
              <w:rPr>
                <w:rFonts w:ascii="Franklin Gothic Demi" w:hAnsi="Franklin Gothic Demi"/>
                <w:lang w:val="en-GB"/>
              </w:rPr>
              <w:t xml:space="preserve"> 100.0</w:t>
            </w:r>
          </w:p>
        </w:tc>
      </w:tr>
    </w:tbl>
    <w:p w:rsidR="007C6A5F" w:rsidRDefault="007C6A5F" w:rsidP="007C6A5F">
      <w:pPr>
        <w:pStyle w:val="Source"/>
        <w:rPr>
          <w:lang w:bidi="fa-IR"/>
        </w:rPr>
      </w:pPr>
      <w:r w:rsidRPr="00215933">
        <w:rPr>
          <w:i/>
          <w:lang w:bidi="fa-IR"/>
        </w:rPr>
        <w:t>Source:</w:t>
      </w:r>
      <w:r>
        <w:rPr>
          <w:lang w:bidi="fa-IR"/>
        </w:rPr>
        <w:t xml:space="preserve"> </w:t>
      </w:r>
      <w:r>
        <w:t>ABS, Survey of Disabilities, Ageing and Carers, 2018, TableBuilder.</w:t>
      </w:r>
    </w:p>
    <w:p w:rsidR="007C6A5F" w:rsidRDefault="007C6A5F" w:rsidP="007C6A5F">
      <w:pPr>
        <w:pStyle w:val="BodyText"/>
        <w:rPr>
          <w:lang w:eastAsia="en-US" w:bidi="fa-IR"/>
        </w:rPr>
      </w:pPr>
      <w:r>
        <w:rPr>
          <w:lang w:eastAsia="en-US" w:bidi="fa-IR"/>
        </w:rPr>
        <w:t>The SDAC survey suggests that for most people with a mobility limitation, their residence meets their accessibility needs (at least internally). A COTA survey of people over the age of 50 provides some support for these findings. An unpublished analysis of the survey data suggests the following:</w:t>
      </w:r>
      <w:r>
        <w:rPr>
          <w:rStyle w:val="FootnoteReference"/>
          <w:lang w:eastAsia="en-US" w:bidi="fa-IR"/>
        </w:rPr>
        <w:footnoteReference w:id="68"/>
      </w:r>
    </w:p>
    <w:p w:rsidR="007C6A5F" w:rsidRDefault="007C6A5F" w:rsidP="005A6F87">
      <w:pPr>
        <w:pStyle w:val="ListBullet"/>
        <w:numPr>
          <w:ilvl w:val="0"/>
          <w:numId w:val="17"/>
        </w:numPr>
        <w:spacing w:before="50"/>
        <w:rPr>
          <w:lang w:eastAsia="en-US" w:bidi="fa-IR"/>
        </w:rPr>
      </w:pPr>
      <w:r>
        <w:rPr>
          <w:lang w:eastAsia="en-US" w:bidi="fa-IR"/>
        </w:rPr>
        <w:t>27.6 per cent of respondents did not think their home would meet their needs in the future (</w:t>
      </w:r>
      <w:r w:rsidRPr="00FF3A4A">
        <w:rPr>
          <w:lang w:eastAsia="en-US" w:bidi="fa-IR"/>
        </w:rPr>
        <w:t>although close to 20 per cent indicated that they did not know</w:t>
      </w:r>
      <w:r>
        <w:rPr>
          <w:lang w:eastAsia="en-US" w:bidi="fa-IR"/>
        </w:rPr>
        <w:t>)</w:t>
      </w:r>
    </w:p>
    <w:p w:rsidR="007C6A5F" w:rsidRDefault="007C6A5F" w:rsidP="005A6F87">
      <w:pPr>
        <w:pStyle w:val="ListBullet"/>
        <w:numPr>
          <w:ilvl w:val="0"/>
          <w:numId w:val="17"/>
        </w:numPr>
        <w:spacing w:before="50"/>
        <w:rPr>
          <w:lang w:eastAsia="en-US" w:bidi="fa-IR"/>
        </w:rPr>
      </w:pPr>
      <w:r>
        <w:rPr>
          <w:lang w:eastAsia="en-US" w:bidi="fa-IR"/>
        </w:rPr>
        <w:t>of the people who indicated that their home would not meet their needs, around 44 per cent indicated that poor access/accessibility was a reason why</w:t>
      </w:r>
    </w:p>
    <w:p w:rsidR="007C6A5F" w:rsidRDefault="007C6A5F" w:rsidP="005A6F87">
      <w:pPr>
        <w:pStyle w:val="ListBullet"/>
        <w:numPr>
          <w:ilvl w:val="0"/>
          <w:numId w:val="17"/>
        </w:numPr>
        <w:spacing w:before="50"/>
        <w:rPr>
          <w:lang w:eastAsia="en-US" w:bidi="fa-IR"/>
        </w:rPr>
      </w:pPr>
      <w:r>
        <w:rPr>
          <w:lang w:eastAsia="en-US" w:bidi="fa-IR"/>
        </w:rPr>
        <w:t>this implies that only around 12 per cent people believed their house would not meet their future needs due to poor access/accessibility.</w:t>
      </w:r>
    </w:p>
    <w:p w:rsidR="007C6A5F" w:rsidRDefault="007C6A5F" w:rsidP="007C6A5F">
      <w:pPr>
        <w:pStyle w:val="BodyText"/>
        <w:rPr>
          <w:lang w:eastAsia="en-US" w:bidi="fa-IR"/>
        </w:rPr>
      </w:pPr>
      <w:r>
        <w:rPr>
          <w:lang w:eastAsia="en-US" w:bidi="fa-IR"/>
        </w:rPr>
        <w:t>As these survey results are based on future expectations, rather than actual experience they need to be treated with some caution. Many people may not be able to accurately foresee their future accessibility needs.</w:t>
      </w:r>
    </w:p>
    <w:p w:rsidR="007C6A5F" w:rsidRDefault="007C6A5F" w:rsidP="007C6A5F">
      <w:pPr>
        <w:pStyle w:val="KeyPoint"/>
        <w:rPr>
          <w:lang w:bidi="fa-IR"/>
        </w:rPr>
      </w:pPr>
      <w:r>
        <w:rPr>
          <w:lang w:bidi="fa-IR"/>
        </w:rPr>
        <w:t>We assume that the population at greater risk of falling due to housing that lacks accessibility features are those that:</w:t>
      </w:r>
    </w:p>
    <w:p w:rsidR="007C6A5F" w:rsidRDefault="007C6A5F" w:rsidP="007C6A5F">
      <w:pPr>
        <w:pStyle w:val="KeyPoint2"/>
        <w:rPr>
          <w:lang w:bidi="fa-IR"/>
        </w:rPr>
      </w:pPr>
      <w:r>
        <w:rPr>
          <w:lang w:bidi="fa-IR"/>
        </w:rPr>
        <w:t>have a mobility limitation</w:t>
      </w:r>
    </w:p>
    <w:p w:rsidR="007C6A5F" w:rsidRDefault="007C6A5F" w:rsidP="007C6A5F">
      <w:pPr>
        <w:pStyle w:val="KeyPoint2"/>
        <w:rPr>
          <w:lang w:bidi="fa-IR"/>
        </w:rPr>
      </w:pPr>
      <w:r>
        <w:rPr>
          <w:lang w:bidi="fa-IR"/>
        </w:rPr>
        <w:t>live in households</w:t>
      </w:r>
    </w:p>
    <w:p w:rsidR="007C6A5F" w:rsidRDefault="007C6A5F" w:rsidP="007C6A5F">
      <w:pPr>
        <w:pStyle w:val="KeyPoint2"/>
        <w:rPr>
          <w:lang w:bidi="fa-IR"/>
        </w:rPr>
      </w:pPr>
      <w:r>
        <w:rPr>
          <w:lang w:bidi="fa-IR"/>
        </w:rPr>
        <w:t>live in a dwelling that has not been modified as a result of their age or condition</w:t>
      </w:r>
    </w:p>
    <w:p w:rsidR="007C6A5F" w:rsidRDefault="007C6A5F" w:rsidP="000A15C3">
      <w:pPr>
        <w:pStyle w:val="KeyPoint2"/>
        <w:rPr>
          <w:lang w:bidi="fa-IR"/>
        </w:rPr>
      </w:pPr>
      <w:r>
        <w:rPr>
          <w:lang w:bidi="fa-IR"/>
        </w:rPr>
        <w:t>either require assistance or have trouble moving around their residence.</w:t>
      </w:r>
    </w:p>
    <w:p w:rsidR="007C6A5F" w:rsidRDefault="007C6A5F" w:rsidP="007C6A5F">
      <w:pPr>
        <w:pStyle w:val="KeyPoint2"/>
        <w:spacing w:before="60"/>
        <w:rPr>
          <w:lang w:bidi="fa-IR"/>
        </w:rPr>
      </w:pPr>
      <w:r>
        <w:rPr>
          <w:lang w:bidi="fa-IR"/>
        </w:rPr>
        <w:lastRenderedPageBreak/>
        <w:t xml:space="preserve">Based on these criteria, the 2018 SDAC survey suggests there were </w:t>
      </w:r>
      <w:r w:rsidRPr="00F8781E">
        <w:rPr>
          <w:lang w:bidi="fa-IR"/>
        </w:rPr>
        <w:t>around 325 100 people</w:t>
      </w:r>
      <w:r>
        <w:rPr>
          <w:rStyle w:val="FootnoteReference"/>
          <w:lang w:bidi="fa-IR"/>
        </w:rPr>
        <w:footnoteReference w:id="69"/>
      </w:r>
      <w:r>
        <w:rPr>
          <w:lang w:bidi="fa-IR"/>
        </w:rPr>
        <w:t xml:space="preserve"> that are at higher risk of falls due to inaccessible housing</w:t>
      </w:r>
      <w:r w:rsidRPr="00F8781E">
        <w:rPr>
          <w:lang w:bidi="fa-IR"/>
        </w:rPr>
        <w:t>).</w:t>
      </w:r>
    </w:p>
    <w:p w:rsidR="007C6A5F" w:rsidRDefault="007C6A5F" w:rsidP="007C6A5F">
      <w:pPr>
        <w:pStyle w:val="Heading7"/>
        <w:numPr>
          <w:ilvl w:val="6"/>
          <w:numId w:val="5"/>
        </w:numPr>
        <w:spacing w:before="320"/>
        <w:rPr>
          <w:lang w:eastAsia="en-US" w:bidi="fa-IR"/>
        </w:rPr>
      </w:pPr>
      <w:r>
        <w:rPr>
          <w:lang w:eastAsia="en-US" w:bidi="fa-IR"/>
        </w:rPr>
        <w:t>Safety outcomes</w:t>
      </w:r>
    </w:p>
    <w:p w:rsidR="007C6A5F" w:rsidRDefault="007C6A5F" w:rsidP="007C6A5F">
      <w:pPr>
        <w:pStyle w:val="BodyText"/>
        <w:rPr>
          <w:lang w:eastAsia="en-US" w:bidi="fa-IR"/>
        </w:rPr>
      </w:pPr>
      <w:r>
        <w:rPr>
          <w:lang w:eastAsia="en-US" w:bidi="fa-IR"/>
        </w:rPr>
        <w:t xml:space="preserve">To the extent that the accessibility needs of some members of the community are not currently being met, there is some evidence to suggest that this is likely to be leading to higher rates of falls. Based on a review of the literature, the World Health Organisation (WHO) assessed that the strength of evidence that people with functional impairments have reduced fall and injury rates in homes that have been modified is moderate. </w:t>
      </w:r>
    </w:p>
    <w:p w:rsidR="007C6A5F" w:rsidRDefault="007C6A5F" w:rsidP="007C6A5F">
      <w:pPr>
        <w:pStyle w:val="BodyText"/>
        <w:rPr>
          <w:rStyle w:val="DraftingNote"/>
          <w:b w:val="0"/>
          <w:color w:val="auto"/>
          <w:u w:val="none"/>
        </w:rPr>
      </w:pPr>
      <w:r>
        <w:rPr>
          <w:rStyle w:val="DraftingNote"/>
          <w:b w:val="0"/>
          <w:color w:val="auto"/>
          <w:u w:val="none"/>
        </w:rPr>
        <w:t>T</w:t>
      </w:r>
      <w:r w:rsidRPr="004208C3">
        <w:rPr>
          <w:rStyle w:val="DraftingNote"/>
          <w:b w:val="0"/>
          <w:color w:val="auto"/>
          <w:u w:val="none"/>
        </w:rPr>
        <w:t>here are a number of Randomised Control Trials that find home modifications (</w:t>
      </w:r>
      <w:r>
        <w:rPr>
          <w:rStyle w:val="DraftingNote"/>
          <w:b w:val="0"/>
          <w:color w:val="auto"/>
          <w:u w:val="none"/>
        </w:rPr>
        <w:t>amongst other</w:t>
      </w:r>
      <w:r w:rsidRPr="004208C3">
        <w:rPr>
          <w:rStyle w:val="DraftingNote"/>
          <w:b w:val="0"/>
          <w:color w:val="auto"/>
          <w:u w:val="none"/>
        </w:rPr>
        <w:t xml:space="preserve"> interventions) reduce falls.</w:t>
      </w:r>
    </w:p>
    <w:p w:rsidR="007C6A5F" w:rsidRPr="000A5A32" w:rsidRDefault="007C6A5F" w:rsidP="007C6A5F">
      <w:pPr>
        <w:pStyle w:val="KeyPoint"/>
        <w:rPr>
          <w:rStyle w:val="DraftingNote"/>
          <w:rFonts w:ascii="Franklin Gothic Demi" w:hAnsi="Franklin Gothic Demi"/>
          <w:b w:val="0"/>
          <w:color w:val="6F6652" w:themeColor="text2"/>
          <w:u w:val="none"/>
        </w:rPr>
      </w:pPr>
      <w:r w:rsidRPr="000A5A32">
        <w:rPr>
          <w:rStyle w:val="DraftingNote"/>
          <w:rFonts w:ascii="Franklin Gothic Demi" w:hAnsi="Franklin Gothic Demi"/>
          <w:b w:val="0"/>
          <w:color w:val="6F6652" w:themeColor="text2"/>
          <w:u w:val="none"/>
        </w:rPr>
        <w:t xml:space="preserve">In the CBA, we assume that the number of falls </w:t>
      </w:r>
      <w:r>
        <w:rPr>
          <w:rStyle w:val="DraftingNote"/>
          <w:rFonts w:ascii="Franklin Gothic Demi" w:hAnsi="Franklin Gothic Demi"/>
          <w:b w:val="0"/>
          <w:color w:val="6F6652" w:themeColor="text2"/>
          <w:u w:val="none"/>
        </w:rPr>
        <w:t>is</w:t>
      </w:r>
      <w:r w:rsidRPr="000A5A32">
        <w:rPr>
          <w:rStyle w:val="DraftingNote"/>
          <w:rFonts w:ascii="Franklin Gothic Demi" w:hAnsi="Franklin Gothic Demi"/>
          <w:b w:val="0"/>
          <w:color w:val="6F6652" w:themeColor="text2"/>
          <w:u w:val="none"/>
        </w:rPr>
        <w:t xml:space="preserve"> around 37 per cent </w:t>
      </w:r>
      <w:r>
        <w:rPr>
          <w:rStyle w:val="DraftingNote"/>
          <w:rFonts w:ascii="Franklin Gothic Demi" w:hAnsi="Franklin Gothic Demi"/>
          <w:b w:val="0"/>
          <w:color w:val="6F6652" w:themeColor="text2"/>
          <w:u w:val="none"/>
        </w:rPr>
        <w:t xml:space="preserve">higher </w:t>
      </w:r>
      <w:r w:rsidRPr="000A5A32">
        <w:rPr>
          <w:rStyle w:val="DraftingNote"/>
          <w:rFonts w:ascii="Franklin Gothic Demi" w:hAnsi="Franklin Gothic Demi"/>
          <w:b w:val="0"/>
          <w:color w:val="6F6652" w:themeColor="text2"/>
          <w:u w:val="none"/>
        </w:rPr>
        <w:t xml:space="preserve">in </w:t>
      </w:r>
      <w:r>
        <w:rPr>
          <w:rStyle w:val="DraftingNote"/>
          <w:rFonts w:ascii="Franklin Gothic Demi" w:hAnsi="Franklin Gothic Demi"/>
          <w:b w:val="0"/>
          <w:color w:val="6F6652" w:themeColor="text2"/>
          <w:u w:val="none"/>
        </w:rPr>
        <w:t xml:space="preserve">housing without </w:t>
      </w:r>
      <w:r w:rsidRPr="000A5A32">
        <w:rPr>
          <w:rStyle w:val="DraftingNote"/>
          <w:rFonts w:ascii="Franklin Gothic Demi" w:hAnsi="Franklin Gothic Demi"/>
          <w:b w:val="0"/>
          <w:color w:val="6F6652" w:themeColor="text2"/>
          <w:u w:val="none"/>
        </w:rPr>
        <w:t>accessib</w:t>
      </w:r>
      <w:r>
        <w:rPr>
          <w:rStyle w:val="DraftingNote"/>
          <w:rFonts w:ascii="Franklin Gothic Demi" w:hAnsi="Franklin Gothic Demi"/>
          <w:b w:val="0"/>
          <w:color w:val="6F6652" w:themeColor="text2"/>
          <w:u w:val="none"/>
        </w:rPr>
        <w:t xml:space="preserve">ility features </w:t>
      </w:r>
      <w:r w:rsidRPr="000A5A32">
        <w:rPr>
          <w:rStyle w:val="DraftingNote"/>
          <w:rFonts w:ascii="Franklin Gothic Demi" w:hAnsi="Franklin Gothic Demi"/>
          <w:b w:val="0"/>
          <w:color w:val="6F6652" w:themeColor="text2"/>
          <w:u w:val="none"/>
        </w:rPr>
        <w:t xml:space="preserve">(relative to housing that </w:t>
      </w:r>
      <w:r>
        <w:rPr>
          <w:rStyle w:val="DraftingNote"/>
          <w:rFonts w:ascii="Franklin Gothic Demi" w:hAnsi="Franklin Gothic Demi"/>
          <w:b w:val="0"/>
          <w:color w:val="6F6652" w:themeColor="text2"/>
          <w:u w:val="none"/>
        </w:rPr>
        <w:t>has</w:t>
      </w:r>
      <w:r w:rsidRPr="000A5A32">
        <w:rPr>
          <w:rStyle w:val="DraftingNote"/>
          <w:rFonts w:ascii="Franklin Gothic Demi" w:hAnsi="Franklin Gothic Demi"/>
          <w:b w:val="0"/>
          <w:color w:val="6F6652" w:themeColor="text2"/>
          <w:u w:val="none"/>
        </w:rPr>
        <w:t xml:space="preserve"> the relevant accessibility features) based on the average decrease in falls across the studies reviewed.</w:t>
      </w:r>
    </w:p>
    <w:p w:rsidR="007C6A5F" w:rsidRDefault="007C6A5F" w:rsidP="007C6A5F">
      <w:pPr>
        <w:pStyle w:val="KeyPoint"/>
        <w:rPr>
          <w:rStyle w:val="DraftingNote"/>
          <w:rFonts w:ascii="Franklin Gothic Demi" w:hAnsi="Franklin Gothic Demi"/>
          <w:b w:val="0"/>
          <w:color w:val="6F6652" w:themeColor="text2"/>
          <w:u w:val="none"/>
        </w:rPr>
      </w:pPr>
      <w:r>
        <w:rPr>
          <w:rStyle w:val="DraftingNote"/>
          <w:rFonts w:ascii="Franklin Gothic Demi" w:hAnsi="Franklin Gothic Demi"/>
          <w:b w:val="0"/>
          <w:color w:val="6F6652" w:themeColor="text2"/>
          <w:u w:val="none"/>
        </w:rPr>
        <w:t>As alternative low and high assumptions, we assume:</w:t>
      </w:r>
    </w:p>
    <w:p w:rsidR="007C6A5F" w:rsidRDefault="007C6A5F" w:rsidP="007C6A5F">
      <w:pPr>
        <w:pStyle w:val="KeyPoint2"/>
        <w:rPr>
          <w:rStyle w:val="DraftingNote"/>
          <w:rFonts w:ascii="Franklin Gothic Demi" w:hAnsi="Franklin Gothic Demi"/>
          <w:b w:val="0"/>
          <w:color w:val="6F6652" w:themeColor="text2"/>
          <w:u w:val="none"/>
        </w:rPr>
      </w:pPr>
      <w:r>
        <w:rPr>
          <w:rStyle w:val="DraftingNote"/>
          <w:rFonts w:ascii="Franklin Gothic Demi" w:hAnsi="Franklin Gothic Demi"/>
          <w:b w:val="0"/>
          <w:color w:val="6F6652" w:themeColor="text2"/>
          <w:u w:val="none"/>
        </w:rPr>
        <w:t>the number of falls is around 27 per cent higher in housing without accessibility features (relative to housing that has the relevant accessibility features) based on the low end of the range of studies reviewed.</w:t>
      </w:r>
    </w:p>
    <w:p w:rsidR="007C6A5F" w:rsidRDefault="007C6A5F" w:rsidP="007C6A5F">
      <w:pPr>
        <w:pStyle w:val="KeyPoint2"/>
        <w:rPr>
          <w:rStyle w:val="DraftingNote"/>
          <w:rFonts w:ascii="Franklin Gothic Demi" w:hAnsi="Franklin Gothic Demi"/>
          <w:b w:val="0"/>
          <w:color w:val="6F6652" w:themeColor="text2"/>
          <w:u w:val="none"/>
        </w:rPr>
      </w:pPr>
      <w:r>
        <w:rPr>
          <w:rStyle w:val="DraftingNote"/>
          <w:rFonts w:ascii="Franklin Gothic Demi" w:hAnsi="Franklin Gothic Demi"/>
          <w:b w:val="0"/>
          <w:color w:val="6F6652" w:themeColor="text2"/>
          <w:u w:val="none"/>
        </w:rPr>
        <w:t>the number of falls is around 46 per cent higher in housing without accessibility features (relative to housing that has the relevant accessibility features) based on the high end of the range of studies reviewed.</w:t>
      </w:r>
    </w:p>
    <w:p w:rsidR="007C6A5F" w:rsidRDefault="007C6A5F" w:rsidP="007C6A5F">
      <w:pPr>
        <w:pStyle w:val="BodyText"/>
        <w:rPr>
          <w:lang w:eastAsia="en-US" w:bidi="fa-IR"/>
        </w:rPr>
      </w:pPr>
      <w:r w:rsidRPr="00317781">
        <w:rPr>
          <w:lang w:eastAsia="en-US" w:bidi="fa-IR"/>
        </w:rPr>
        <w:t>Table A.2</w:t>
      </w:r>
      <w:r>
        <w:rPr>
          <w:lang w:eastAsia="en-US" w:bidi="fa-IR"/>
        </w:rPr>
        <w:t xml:space="preserve"> summarises some key studies on the impact of home modifications (and other interventions) on the number of falls.</w:t>
      </w:r>
    </w:p>
    <w:p w:rsidR="007C6A5F" w:rsidRDefault="007C6A5F" w:rsidP="007C6A5F">
      <w:pPr>
        <w:pStyle w:val="Caption"/>
        <w:spacing w:before="200"/>
        <w:ind w:left="568" w:hanging="568"/>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Pr>
          <w:noProof/>
        </w:rPr>
        <w:instrText>A</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2</w:instrText>
      </w:r>
      <w:r w:rsidRPr="00695C93">
        <w:fldChar w:fldCharType="end"/>
      </w:r>
      <w:r w:rsidRPr="00695C93">
        <w:instrText xml:space="preserve">" "" </w:instrText>
      </w:r>
      <w:r w:rsidRPr="00695C93">
        <w:fldChar w:fldCharType="separate"/>
      </w:r>
      <w:bookmarkStart w:id="6404" w:name="_Caption9494"/>
      <w:bookmarkStart w:id="6405" w:name="_Caption0127"/>
      <w:bookmarkStart w:id="6406" w:name="_Caption2172"/>
      <w:bookmarkStart w:id="6407" w:name="_Caption0301"/>
      <w:bookmarkStart w:id="6408" w:name="_Caption0587"/>
      <w:bookmarkStart w:id="6409" w:name="_Caption0092"/>
      <w:bookmarkStart w:id="6410" w:name="_Caption6579"/>
      <w:bookmarkStart w:id="6411" w:name="_Caption0649"/>
      <w:bookmarkStart w:id="6412" w:name="_Caption9231"/>
      <w:bookmarkStart w:id="6413" w:name="_Caption2869"/>
      <w:bookmarkStart w:id="6414" w:name="_Caption0425"/>
      <w:bookmarkStart w:id="6415" w:name="_Caption9536"/>
      <w:bookmarkStart w:id="6416" w:name="_Caption4482"/>
      <w:bookmarkStart w:id="6417" w:name="_Caption6650"/>
      <w:bookmarkStart w:id="6418" w:name="_Caption6603"/>
      <w:bookmarkStart w:id="6419" w:name="_Caption1275"/>
      <w:bookmarkStart w:id="6420" w:name="_Caption3125"/>
      <w:bookmarkStart w:id="6421" w:name="_Caption7894"/>
      <w:bookmarkStart w:id="6422" w:name="_Caption9928"/>
      <w:bookmarkStart w:id="6423" w:name="_Caption3901"/>
      <w:bookmarkStart w:id="6424" w:name="_Toc31986668"/>
      <w:bookmarkStart w:id="6425" w:name="_Toc44598562"/>
      <w:bookmarkStart w:id="6426" w:name="_Toc45654193"/>
      <w:r w:rsidR="00272AF3">
        <w:rPr>
          <w:noProof/>
        </w:rPr>
        <w:t>A</w:t>
      </w:r>
      <w:r w:rsidR="00272AF3" w:rsidRPr="00695C93">
        <w:rPr>
          <w:noProof/>
        </w:rPr>
        <w:t>.</w:t>
      </w:r>
      <w:r w:rsidR="00272AF3">
        <w:rPr>
          <w:noProof/>
        </w:rPr>
        <w:t>2</w:t>
      </w:r>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r w:rsidRPr="00695C93">
        <w:fldChar w:fldCharType="end"/>
      </w:r>
      <w:r w:rsidRPr="00695C93">
        <w:tab/>
      </w:r>
      <w:r>
        <w:t>Key results of randomised controlled trials that establish that home modifications and other factors reduce falls</w:t>
      </w:r>
      <w:bookmarkEnd w:id="6424"/>
      <w:bookmarkEnd w:id="6425"/>
      <w:bookmarkEnd w:id="6426"/>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A2"/>
        <w:tblDescription w:val="Key results of randomised controlled trials that establish that home modifications and other factors reduce falls"/>
      </w:tblPr>
      <w:tblGrid>
        <w:gridCol w:w="993"/>
        <w:gridCol w:w="2268"/>
        <w:gridCol w:w="4676"/>
      </w:tblGrid>
      <w:tr w:rsidR="007C6A5F" w:rsidTr="0055459B">
        <w:trPr>
          <w:tblHeader/>
        </w:trPr>
        <w:tc>
          <w:tcPr>
            <w:tcW w:w="993" w:type="dxa"/>
            <w:tcBorders>
              <w:bottom w:val="single" w:sz="8" w:space="0" w:color="FFFFFF" w:themeColor="background1"/>
            </w:tcBorders>
            <w:shd w:val="clear" w:color="auto" w:fill="6F6652" w:themeFill="text2"/>
          </w:tcPr>
          <w:p w:rsidR="007C6A5F" w:rsidRDefault="007C6A5F" w:rsidP="00C36DA4">
            <w:pPr>
              <w:pStyle w:val="TableTextColumnHeading"/>
              <w:rPr>
                <w:lang w:bidi="fa-IR"/>
              </w:rPr>
            </w:pPr>
            <w:r>
              <w:rPr>
                <w:lang w:bidi="fa-IR"/>
              </w:rPr>
              <w:t>Study (location)</w:t>
            </w:r>
          </w:p>
        </w:tc>
        <w:tc>
          <w:tcPr>
            <w:tcW w:w="2268" w:type="dxa"/>
            <w:tcBorders>
              <w:bottom w:val="single" w:sz="8" w:space="0" w:color="FFFFFF" w:themeColor="background1"/>
            </w:tcBorders>
            <w:shd w:val="clear" w:color="auto" w:fill="6F6652" w:themeFill="text2"/>
          </w:tcPr>
          <w:p w:rsidR="007C6A5F" w:rsidRDefault="007C6A5F" w:rsidP="00C36DA4">
            <w:pPr>
              <w:pStyle w:val="TableTextColumnHeading"/>
              <w:rPr>
                <w:lang w:bidi="fa-IR"/>
              </w:rPr>
            </w:pPr>
            <w:r>
              <w:rPr>
                <w:lang w:bidi="fa-IR"/>
              </w:rPr>
              <w:t xml:space="preserve">Key result </w:t>
            </w:r>
            <w:r w:rsidRPr="00F84654">
              <w:rPr>
                <w:rStyle w:val="NoteLabel"/>
                <w:color w:val="FFFFFF" w:themeColor="background1"/>
              </w:rPr>
              <w:t>a</w:t>
            </w:r>
          </w:p>
        </w:tc>
        <w:tc>
          <w:tcPr>
            <w:tcW w:w="4676" w:type="dxa"/>
            <w:tcBorders>
              <w:bottom w:val="single" w:sz="8" w:space="0" w:color="FFFFFF" w:themeColor="background1"/>
            </w:tcBorders>
            <w:shd w:val="clear" w:color="auto" w:fill="6F6652" w:themeFill="text2"/>
          </w:tcPr>
          <w:p w:rsidR="007C6A5F" w:rsidRDefault="007C6A5F" w:rsidP="00C36DA4">
            <w:pPr>
              <w:pStyle w:val="TableTextColumnHeading"/>
              <w:rPr>
                <w:lang w:bidi="fa-IR"/>
              </w:rPr>
            </w:pPr>
            <w:r>
              <w:rPr>
                <w:lang w:bidi="fa-IR"/>
              </w:rPr>
              <w:t>Comment/note</w:t>
            </w:r>
          </w:p>
        </w:tc>
      </w:tr>
      <w:tr w:rsidR="007C6A5F" w:rsidTr="0055459B">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spacing w:before="40" w:after="40"/>
              <w:rPr>
                <w:lang w:bidi="fa-IR"/>
              </w:rPr>
            </w:pPr>
            <w:r>
              <w:rPr>
                <w:lang w:bidi="fa-IR"/>
              </w:rPr>
              <w:t xml:space="preserve">Cumming et al 1999 </w:t>
            </w:r>
          </w:p>
        </w:tc>
        <w:tc>
          <w:tcPr>
            <w:tcW w:w="22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spacing w:before="40" w:after="40"/>
              <w:rPr>
                <w:lang w:bidi="fa-IR"/>
              </w:rPr>
            </w:pPr>
            <w:r>
              <w:rPr>
                <w:lang w:bidi="fa-IR"/>
              </w:rPr>
              <w:t>Falls reduce by 44 per cent.</w:t>
            </w:r>
          </w:p>
        </w:tc>
        <w:tc>
          <w:tcPr>
            <w:tcW w:w="467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ListBullet"/>
              <w:spacing w:before="40" w:after="20"/>
              <w:rPr>
                <w:lang w:bidi="fa-IR"/>
              </w:rPr>
            </w:pPr>
            <w:r>
              <w:rPr>
                <w:lang w:bidi="fa-IR"/>
              </w:rPr>
              <w:t>Study for 65yo and above</w:t>
            </w:r>
          </w:p>
          <w:p w:rsidR="007C6A5F" w:rsidRDefault="007C6A5F" w:rsidP="00C36DA4">
            <w:pPr>
              <w:pStyle w:val="TableListBullet"/>
              <w:spacing w:before="40" w:after="20"/>
              <w:rPr>
                <w:lang w:bidi="fa-IR"/>
              </w:rPr>
            </w:pPr>
            <w:r>
              <w:rPr>
                <w:lang w:bidi="fa-IR"/>
              </w:rPr>
              <w:t xml:space="preserve">Intervention that drives result: </w:t>
            </w:r>
            <w:r>
              <w:t>visit and follow-up by OT, including home modifications</w:t>
            </w:r>
          </w:p>
          <w:p w:rsidR="007C6A5F" w:rsidRDefault="007C6A5F" w:rsidP="00C36DA4">
            <w:pPr>
              <w:pStyle w:val="TableListBullet"/>
              <w:spacing w:before="40" w:after="20"/>
              <w:rPr>
                <w:lang w:bidi="fa-IR"/>
              </w:rPr>
            </w:pPr>
            <w:r>
              <w:rPr>
                <w:lang w:bidi="fa-IR"/>
              </w:rPr>
              <w:t>Result is for sub-group that had a fall prior to study. No significant impact for sub-group that did not have a fall prior to study.</w:t>
            </w:r>
          </w:p>
          <w:p w:rsidR="007C6A5F" w:rsidRDefault="007C6A5F" w:rsidP="00C36DA4">
            <w:pPr>
              <w:pStyle w:val="TableListBullet"/>
              <w:spacing w:before="40" w:after="20"/>
              <w:rPr>
                <w:lang w:bidi="fa-IR"/>
              </w:rPr>
            </w:pPr>
            <w:r>
              <w:rPr>
                <w:lang w:bidi="fa-IR"/>
              </w:rPr>
              <w:t>Authors attribute reduction in falls to Occupational Therapy in general (including home modifications) not to home modifications specifically, because falls outside home also fell</w:t>
            </w:r>
          </w:p>
        </w:tc>
      </w:tr>
      <w:tr w:rsidR="007C6A5F" w:rsidTr="00290DC7">
        <w:trPr>
          <w:cantSplit/>
        </w:trPr>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spacing w:before="40" w:after="40"/>
              <w:rPr>
                <w:lang w:bidi="fa-IR"/>
              </w:rPr>
            </w:pPr>
            <w:r>
              <w:rPr>
                <w:lang w:bidi="fa-IR"/>
              </w:rPr>
              <w:lastRenderedPageBreak/>
              <w:t>Palvanen et al 2014</w:t>
            </w:r>
          </w:p>
        </w:tc>
        <w:tc>
          <w:tcPr>
            <w:tcW w:w="22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spacing w:before="40" w:after="40"/>
              <w:rPr>
                <w:lang w:bidi="fa-IR"/>
              </w:rPr>
            </w:pPr>
            <w:r>
              <w:rPr>
                <w:lang w:bidi="fa-IR"/>
              </w:rPr>
              <w:t>Falls are estimated to reduce by 27 per cent.</w:t>
            </w:r>
          </w:p>
        </w:tc>
        <w:tc>
          <w:tcPr>
            <w:tcW w:w="467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ListBullet"/>
              <w:spacing w:before="40" w:after="20"/>
              <w:rPr>
                <w:lang w:bidi="fa-IR"/>
              </w:rPr>
            </w:pPr>
            <w:r>
              <w:rPr>
                <w:lang w:bidi="fa-IR"/>
              </w:rPr>
              <w:t xml:space="preserve">Study for 70yo and above, who have a high risk of falling </w:t>
            </w:r>
          </w:p>
          <w:p w:rsidR="007C6A5F" w:rsidRDefault="007C6A5F" w:rsidP="00C36DA4">
            <w:pPr>
              <w:pStyle w:val="TableListBullet"/>
              <w:spacing w:before="40" w:after="20"/>
              <w:rPr>
                <w:lang w:bidi="fa-IR"/>
              </w:rPr>
            </w:pPr>
            <w:r>
              <w:rPr>
                <w:lang w:bidi="fa-IR"/>
              </w:rPr>
              <w:t xml:space="preserve">Intervention that drives result: </w:t>
            </w:r>
            <w:r>
              <w:t>12 month</w:t>
            </w:r>
            <w:r w:rsidR="00E80C85">
              <w:t>s</w:t>
            </w:r>
            <w:r>
              <w:t>, multifactorial falls prevention program: strength and balance training, medical review and referrals, medication review, proper nutrition, home hazard assessment and modifications</w:t>
            </w:r>
          </w:p>
        </w:tc>
      </w:tr>
      <w:tr w:rsidR="007C6A5F" w:rsidTr="00B5160B">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spacing w:before="40" w:after="40"/>
              <w:rPr>
                <w:lang w:bidi="fa-IR"/>
              </w:rPr>
            </w:pPr>
            <w:r>
              <w:rPr>
                <w:lang w:bidi="fa-IR"/>
              </w:rPr>
              <w:t>Nikolaus &amp; Bach 2003</w:t>
            </w:r>
          </w:p>
        </w:tc>
        <w:tc>
          <w:tcPr>
            <w:tcW w:w="22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spacing w:before="40" w:after="40"/>
              <w:rPr>
                <w:lang w:bidi="fa-IR"/>
              </w:rPr>
            </w:pPr>
            <w:r>
              <w:rPr>
                <w:lang w:bidi="fa-IR"/>
              </w:rPr>
              <w:t>Falls are estimated to reduce by 37 per cent.</w:t>
            </w:r>
          </w:p>
        </w:tc>
        <w:tc>
          <w:tcPr>
            <w:tcW w:w="467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ListBullet"/>
              <w:spacing w:before="40" w:after="20"/>
              <w:rPr>
                <w:lang w:bidi="fa-IR"/>
              </w:rPr>
            </w:pPr>
            <w:r>
              <w:t>Study of subjects admitted from home to geriatric hospital showing functional decline, especially in mobility</w:t>
            </w:r>
          </w:p>
          <w:p w:rsidR="007C6A5F" w:rsidRDefault="007C6A5F" w:rsidP="00C36DA4">
            <w:pPr>
              <w:pStyle w:val="TableListBullet"/>
              <w:spacing w:before="40" w:after="20"/>
              <w:rPr>
                <w:lang w:bidi="fa-IR"/>
              </w:rPr>
            </w:pPr>
            <w:r>
              <w:rPr>
                <w:lang w:bidi="fa-IR"/>
              </w:rPr>
              <w:t xml:space="preserve">Intervention that drives result: </w:t>
            </w:r>
            <w:r>
              <w:t>diagnostic home visit and home intervention (diagnostic home visit, assessing home for environmental hazards, advice about possible changes, offer of facilities for any necessary home modifications, training on the use of technical and mobility aids); an additional home visit after 3 months to reinforce the recommendations</w:t>
            </w:r>
          </w:p>
        </w:tc>
      </w:tr>
      <w:tr w:rsidR="007C6A5F" w:rsidTr="00B5160B">
        <w:tc>
          <w:tcPr>
            <w:tcW w:w="993"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TextEntries"/>
              <w:spacing w:before="40" w:after="40"/>
              <w:rPr>
                <w:lang w:bidi="fa-IR"/>
              </w:rPr>
            </w:pPr>
            <w:r>
              <w:rPr>
                <w:lang w:bidi="fa-IR"/>
              </w:rPr>
              <w:t>Pighils et al 2011</w:t>
            </w:r>
          </w:p>
        </w:tc>
        <w:tc>
          <w:tcPr>
            <w:tcW w:w="2268"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TextEntries"/>
              <w:spacing w:before="40" w:after="40"/>
              <w:rPr>
                <w:lang w:bidi="fa-IR"/>
              </w:rPr>
            </w:pPr>
            <w:r>
              <w:rPr>
                <w:lang w:bidi="fa-IR"/>
              </w:rPr>
              <w:t>Falls are estimated to reduce by 46 per cent.</w:t>
            </w:r>
          </w:p>
        </w:tc>
        <w:tc>
          <w:tcPr>
            <w:tcW w:w="4676"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ListBullet"/>
              <w:spacing w:before="40" w:after="20"/>
              <w:rPr>
                <w:lang w:bidi="fa-IR"/>
              </w:rPr>
            </w:pPr>
            <w:r>
              <w:t>Study of subject 70yo and above, with a history of falls in the previous year.</w:t>
            </w:r>
          </w:p>
          <w:p w:rsidR="007C6A5F" w:rsidRDefault="007C6A5F" w:rsidP="00C36DA4">
            <w:pPr>
              <w:pStyle w:val="TableListBullet"/>
              <w:spacing w:before="40" w:after="20"/>
              <w:rPr>
                <w:lang w:bidi="fa-IR"/>
              </w:rPr>
            </w:pPr>
            <w:r>
              <w:t xml:space="preserve">Intervention: environmental falls prevention intervention from OT </w:t>
            </w:r>
          </w:p>
        </w:tc>
      </w:tr>
    </w:tbl>
    <w:p w:rsidR="007C6A5F" w:rsidRDefault="007C6A5F" w:rsidP="007C6A5F">
      <w:pPr>
        <w:pStyle w:val="Note"/>
      </w:pPr>
      <w:r w:rsidRPr="00F84654">
        <w:rPr>
          <w:rStyle w:val="NoteLabel"/>
          <w:color w:val="000000" w:themeColor="text1"/>
        </w:rPr>
        <w:t>a</w:t>
      </w:r>
      <w:r>
        <w:t xml:space="preserve"> The key result taken from each study is the r</w:t>
      </w:r>
      <w:r w:rsidRPr="002D3884">
        <w:rPr>
          <w:lang w:bidi="fa-IR"/>
        </w:rPr>
        <w:t xml:space="preserve">ate of falls </w:t>
      </w:r>
      <w:r>
        <w:rPr>
          <w:lang w:bidi="fa-IR"/>
        </w:rPr>
        <w:t xml:space="preserve">in </w:t>
      </w:r>
      <w:r w:rsidRPr="002D3884">
        <w:rPr>
          <w:lang w:bidi="fa-IR"/>
        </w:rPr>
        <w:t>in an environment with home modifications and other factors</w:t>
      </w:r>
      <w:r>
        <w:t xml:space="preserve">, relative to not being such an environment. All noted results are statistically significant. </w:t>
      </w:r>
      <w:r>
        <w:rPr>
          <w:i/>
          <w:iCs/>
        </w:rPr>
        <w:t xml:space="preserve">Note: </w:t>
      </w:r>
      <w:r>
        <w:t xml:space="preserve">In each RCT, the control group generally receives ‘normal’ treatment, which does not involve occupational therapy and home modifications. The specific interventions that drive the results are noted. </w:t>
      </w:r>
    </w:p>
    <w:p w:rsidR="007C6A5F" w:rsidRPr="00F03117" w:rsidRDefault="007C6A5F" w:rsidP="007C6A5F">
      <w:pPr>
        <w:pStyle w:val="Source"/>
        <w:rPr>
          <w:i/>
          <w:iCs/>
          <w:lang w:bidi="fa-IR"/>
        </w:rPr>
      </w:pPr>
      <w:r w:rsidRPr="002D3884">
        <w:rPr>
          <w:i/>
          <w:lang w:bidi="fa-IR"/>
        </w:rPr>
        <w:t>Source:</w:t>
      </w:r>
      <w:r>
        <w:rPr>
          <w:lang w:bidi="fa-IR"/>
        </w:rPr>
        <w:t xml:space="preserve"> Cumming et al 1999, </w:t>
      </w:r>
      <w:r>
        <w:rPr>
          <w:i/>
          <w:iCs/>
          <w:lang w:bidi="fa-IR"/>
        </w:rPr>
        <w:t>Home visits by an Occupational Therapist for Assessment and modification of Environmental Hazards: A Randomised Trial of Falls Prevention</w:t>
      </w:r>
      <w:r>
        <w:rPr>
          <w:lang w:bidi="fa-IR"/>
        </w:rPr>
        <w:t xml:space="preserve">; JAGS 47:1397-1402; Palvanen et al 2014, </w:t>
      </w:r>
      <w:r>
        <w:rPr>
          <w:i/>
          <w:iCs/>
          <w:lang w:bidi="fa-IR"/>
        </w:rPr>
        <w:t>Effectiveness of the Chaos Falls Clinic in preventing falls and injuries of home-dwelling older adults: a randomised controlled trial</w:t>
      </w:r>
      <w:r>
        <w:rPr>
          <w:lang w:bidi="fa-IR"/>
        </w:rPr>
        <w:t xml:space="preserve">, </w:t>
      </w:r>
      <w:hyperlink r:id="rId41" w:tooltip="Injury." w:history="1">
        <w:r w:rsidRPr="00F03117">
          <w:rPr>
            <w:lang w:bidi="fa-IR"/>
          </w:rPr>
          <w:t>Injury.</w:t>
        </w:r>
      </w:hyperlink>
      <w:r w:rsidRPr="00F03117">
        <w:rPr>
          <w:lang w:bidi="fa-IR"/>
        </w:rPr>
        <w:t> 2014 Jan;45(1):265-71. doi: 10.1016/j.injury.2013.03.010</w:t>
      </w:r>
      <w:r>
        <w:rPr>
          <w:lang w:bidi="fa-IR"/>
        </w:rPr>
        <w:t xml:space="preserve">; Nikolaus T and Bach M 2003, </w:t>
      </w:r>
      <w:r>
        <w:rPr>
          <w:i/>
          <w:iCs/>
          <w:lang w:bidi="fa-IR"/>
        </w:rPr>
        <w:t>Preventing falls in community-dwelling frail older people using a home intervention team (HIT): results from the randomised Falls-HIT trial</w:t>
      </w:r>
      <w:r>
        <w:rPr>
          <w:lang w:bidi="fa-IR"/>
        </w:rPr>
        <w:t xml:space="preserve">, </w:t>
      </w:r>
      <w:hyperlink r:id="rId42" w:tooltip="Journal of the American Geriatrics Society." w:history="1">
        <w:r w:rsidRPr="00F03117">
          <w:rPr>
            <w:lang w:bidi="fa-IR"/>
          </w:rPr>
          <w:t>J Am Geriatr Soc.</w:t>
        </w:r>
      </w:hyperlink>
      <w:r w:rsidRPr="00F03117">
        <w:rPr>
          <w:lang w:bidi="fa-IR"/>
        </w:rPr>
        <w:t> 2003 Mar;51(3):300-5</w:t>
      </w:r>
      <w:r>
        <w:rPr>
          <w:lang w:bidi="fa-IR"/>
        </w:rPr>
        <w:t xml:space="preserve">; Pighills et al 2011, </w:t>
      </w:r>
      <w:r>
        <w:rPr>
          <w:i/>
          <w:iCs/>
          <w:lang w:bidi="fa-IR"/>
        </w:rPr>
        <w:t>Envrionmental Assessment and modification to prevent falls in older people</w:t>
      </w:r>
      <w:r>
        <w:rPr>
          <w:lang w:bidi="fa-IR"/>
        </w:rPr>
        <w:t xml:space="preserve">, </w:t>
      </w:r>
      <w:hyperlink r:id="rId43" w:tooltip="Journal of the American Geriatrics Society." w:history="1">
        <w:r w:rsidRPr="00F03117">
          <w:rPr>
            <w:i/>
            <w:iCs/>
            <w:lang w:bidi="fa-IR"/>
          </w:rPr>
          <w:t>J Am Geriatr Soc.</w:t>
        </w:r>
      </w:hyperlink>
      <w:r w:rsidRPr="00F03117">
        <w:rPr>
          <w:i/>
          <w:iCs/>
          <w:lang w:bidi="fa-IR"/>
        </w:rPr>
        <w:t> 2011 Jan;59(1):26-33. doi: 10.1111/j.1532-5415.2010.03221</w:t>
      </w:r>
    </w:p>
    <w:p w:rsidR="007C6A5F" w:rsidRDefault="007C6A5F" w:rsidP="007C6A5F">
      <w:pPr>
        <w:pStyle w:val="BodyText"/>
        <w:rPr>
          <w:lang w:eastAsia="en-US" w:bidi="fa-IR"/>
        </w:rPr>
      </w:pPr>
      <w:r>
        <w:rPr>
          <w:lang w:eastAsia="en-US" w:bidi="fa-IR"/>
        </w:rPr>
        <w:t>Averaged across the studies in Table A.2, the rate of falls in an accessible environment is around 37 per cent lower relative and inaccessible environment.</w:t>
      </w:r>
    </w:p>
    <w:p w:rsidR="007C6A5F" w:rsidRDefault="007C6A5F" w:rsidP="007C6A5F">
      <w:pPr>
        <w:pStyle w:val="BodyText"/>
        <w:rPr>
          <w:lang w:eastAsia="en-US" w:bidi="fa-IR"/>
        </w:rPr>
      </w:pPr>
      <w:r>
        <w:rPr>
          <w:lang w:eastAsia="en-US" w:bidi="fa-IR"/>
        </w:rPr>
        <w:t>Nevertheless, we note the following caveats.</w:t>
      </w:r>
    </w:p>
    <w:p w:rsidR="007C6A5F" w:rsidRDefault="007C6A5F" w:rsidP="005A6F87">
      <w:pPr>
        <w:pStyle w:val="ListBullet"/>
        <w:numPr>
          <w:ilvl w:val="0"/>
          <w:numId w:val="17"/>
        </w:numPr>
        <w:rPr>
          <w:lang w:eastAsia="en-US" w:bidi="fa-IR"/>
        </w:rPr>
      </w:pPr>
      <w:r>
        <w:rPr>
          <w:lang w:eastAsia="en-US" w:bidi="fa-IR"/>
        </w:rPr>
        <w:t>The results in these studies are driven by occupational therapy interventions in general (which includes home modifications) and not home modifications specifically.</w:t>
      </w:r>
    </w:p>
    <w:p w:rsidR="007C6A5F" w:rsidRDefault="007C6A5F" w:rsidP="005A6F87">
      <w:pPr>
        <w:pStyle w:val="ListBullet"/>
        <w:numPr>
          <w:ilvl w:val="0"/>
          <w:numId w:val="17"/>
        </w:numPr>
        <w:rPr>
          <w:lang w:eastAsia="en-US" w:bidi="fa-IR"/>
        </w:rPr>
      </w:pPr>
      <w:r>
        <w:rPr>
          <w:lang w:eastAsia="en-US" w:bidi="fa-IR"/>
        </w:rPr>
        <w:t xml:space="preserve">Some studies find no effect. For example, Day et al 2002 finds that “home hazard reduction” reduces falls in combination with exercise and vision improvement, but does not have a significant impact in isolation. </w:t>
      </w:r>
    </w:p>
    <w:p w:rsidR="007C6A5F" w:rsidRPr="00565327" w:rsidRDefault="007C6A5F" w:rsidP="007C6A5F">
      <w:pPr>
        <w:pStyle w:val="BodyText"/>
      </w:pPr>
      <w:r>
        <w:rPr>
          <w:lang w:eastAsia="en-US" w:bidi="fa-IR"/>
        </w:rPr>
        <w:t>This implies that the estimated impact of accessible housing on the number of falls is likely to be an upper bound estimate.</w:t>
      </w:r>
    </w:p>
    <w:p w:rsidR="007C6A5F" w:rsidRPr="00D04769" w:rsidRDefault="007C6A5F" w:rsidP="007C6A5F">
      <w:pPr>
        <w:pStyle w:val="Heading7"/>
        <w:numPr>
          <w:ilvl w:val="6"/>
          <w:numId w:val="5"/>
        </w:numPr>
        <w:spacing w:before="400"/>
      </w:pPr>
      <w:r>
        <w:t>Estimating the health</w:t>
      </w:r>
      <w:r>
        <w:noBreakHyphen/>
        <w:t>related cost of falls</w:t>
      </w:r>
    </w:p>
    <w:p w:rsidR="007C6A5F" w:rsidRPr="0072081C" w:rsidRDefault="007C6A5F" w:rsidP="007C6A5F">
      <w:pPr>
        <w:pStyle w:val="BodyText"/>
        <w:spacing w:before="100"/>
        <w:rPr>
          <w:lang w:eastAsia="en-US" w:bidi="fa-IR"/>
        </w:rPr>
      </w:pPr>
      <w:r>
        <w:rPr>
          <w:lang w:eastAsia="en-US" w:bidi="fa-IR"/>
        </w:rPr>
        <w:t>Various studies report the prevalence of falls among older people (typically over the age of 65), including several Australian studies (including data from NSW, Victoria and Queensland).</w:t>
      </w:r>
    </w:p>
    <w:p w:rsidR="007C6A5F" w:rsidRDefault="007C6A5F" w:rsidP="007C6A5F">
      <w:pPr>
        <w:pStyle w:val="BodyText"/>
        <w:spacing w:before="100"/>
        <w:rPr>
          <w:lang w:eastAsia="en-US" w:bidi="fa-IR"/>
        </w:rPr>
      </w:pPr>
      <w:r>
        <w:rPr>
          <w:lang w:eastAsia="en-US" w:bidi="fa-IR"/>
        </w:rPr>
        <w:t xml:space="preserve">Although the way the data is reported across the various reports is </w:t>
      </w:r>
      <w:r w:rsidRPr="00FF3A4A">
        <w:rPr>
          <w:lang w:eastAsia="en-US" w:bidi="fa-IR"/>
        </w:rPr>
        <w:t>not always directly comparable</w:t>
      </w:r>
      <w:r>
        <w:rPr>
          <w:lang w:eastAsia="en-US" w:bidi="fa-IR"/>
        </w:rPr>
        <w:t xml:space="preserve"> (i.e. based on different time periods, different age brackets etc.), the hospitalisation rates across age groups appear broadly comparable across states (A.3). This suggests that using data from any of these studies should be broadly representative of national outcomes.</w:t>
      </w:r>
    </w:p>
    <w:p w:rsidR="007C6A5F" w:rsidRDefault="007C6A5F" w:rsidP="007C6A5F">
      <w:pPr>
        <w:pStyle w:val="Caption"/>
        <w:spacing w:before="200"/>
      </w:pPr>
      <w:r w:rsidRPr="00695C93">
        <w:lastRenderedPageBreak/>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Pr>
          <w:noProof/>
        </w:rPr>
        <w:instrText>A</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3</w:instrText>
      </w:r>
      <w:r w:rsidRPr="00695C93">
        <w:fldChar w:fldCharType="end"/>
      </w:r>
      <w:r w:rsidRPr="00695C93">
        <w:instrText xml:space="preserve">" "" </w:instrText>
      </w:r>
      <w:r w:rsidRPr="00695C93">
        <w:fldChar w:fldCharType="separate"/>
      </w:r>
      <w:bookmarkStart w:id="6427" w:name="_Caption1992"/>
      <w:bookmarkStart w:id="6428" w:name="_Caption4771"/>
      <w:bookmarkStart w:id="6429" w:name="_Caption3170"/>
      <w:bookmarkStart w:id="6430" w:name="_Caption2584"/>
      <w:bookmarkStart w:id="6431" w:name="_Caption3148"/>
      <w:bookmarkStart w:id="6432" w:name="_Caption1348"/>
      <w:bookmarkStart w:id="6433" w:name="_Caption4039"/>
      <w:bookmarkStart w:id="6434" w:name="_Caption3718"/>
      <w:bookmarkStart w:id="6435" w:name="_Caption1728"/>
      <w:bookmarkStart w:id="6436" w:name="_Caption1241"/>
      <w:bookmarkStart w:id="6437" w:name="_Caption6284"/>
      <w:bookmarkStart w:id="6438" w:name="_Caption0564"/>
      <w:bookmarkStart w:id="6439" w:name="_Caption3933"/>
      <w:bookmarkStart w:id="6440" w:name="_Caption9137"/>
      <w:bookmarkStart w:id="6441" w:name="_Caption3287"/>
      <w:bookmarkStart w:id="6442" w:name="_Caption0287"/>
      <w:bookmarkStart w:id="6443" w:name="_Caption1283"/>
      <w:bookmarkStart w:id="6444" w:name="_Caption2626"/>
      <w:bookmarkStart w:id="6445" w:name="_Caption3092"/>
      <w:bookmarkStart w:id="6446" w:name="_Caption5309"/>
      <w:bookmarkStart w:id="6447" w:name="_Toc31986669"/>
      <w:bookmarkStart w:id="6448" w:name="_Toc44598563"/>
      <w:bookmarkStart w:id="6449" w:name="_Toc45654194"/>
      <w:r w:rsidR="00272AF3">
        <w:rPr>
          <w:noProof/>
        </w:rPr>
        <w:t>A</w:t>
      </w:r>
      <w:r w:rsidR="00272AF3" w:rsidRPr="00695C93">
        <w:rPr>
          <w:noProof/>
        </w:rPr>
        <w:t>.</w:t>
      </w:r>
      <w:r w:rsidR="00272AF3">
        <w:rPr>
          <w:noProof/>
        </w:rPr>
        <w:t>3</w:t>
      </w:r>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r w:rsidRPr="00695C93">
        <w:fldChar w:fldCharType="end"/>
      </w:r>
      <w:r w:rsidRPr="00695C93">
        <w:tab/>
      </w:r>
      <w:r>
        <w:t>Hospitalisation rates from falls for older Australians</w:t>
      </w:r>
      <w:bookmarkEnd w:id="6447"/>
      <w:bookmarkEnd w:id="6448"/>
      <w:bookmarkEnd w:id="6449"/>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A.3"/>
        <w:tblDescription w:val="Hospitalisation rates from falls for older Australians"/>
      </w:tblPr>
      <w:tblGrid>
        <w:gridCol w:w="3761"/>
        <w:gridCol w:w="1392"/>
        <w:gridCol w:w="1392"/>
        <w:gridCol w:w="1392"/>
      </w:tblGrid>
      <w:tr w:rsidR="007C6A5F" w:rsidTr="0081242E">
        <w:trPr>
          <w:trHeight w:val="230"/>
          <w:tblHeader/>
        </w:trPr>
        <w:tc>
          <w:tcPr>
            <w:tcW w:w="3761" w:type="dxa"/>
            <w:shd w:val="clear" w:color="auto" w:fill="6F6652" w:themeFill="accent5"/>
          </w:tcPr>
          <w:p w:rsidR="007C6A5F" w:rsidRDefault="001C18B4" w:rsidP="00C36DA4">
            <w:pPr>
              <w:pStyle w:val="TableDataColumnHeading"/>
              <w:jc w:val="left"/>
              <w:rPr>
                <w:lang w:val="en-GB"/>
              </w:rPr>
            </w:pPr>
            <w:r>
              <w:rPr>
                <w:lang w:val="en-GB"/>
              </w:rPr>
              <w:t>Age group</w:t>
            </w:r>
          </w:p>
        </w:tc>
        <w:tc>
          <w:tcPr>
            <w:tcW w:w="1392" w:type="dxa"/>
            <w:shd w:val="clear" w:color="auto" w:fill="6F6652" w:themeFill="accent5"/>
          </w:tcPr>
          <w:p w:rsidR="007C6A5F" w:rsidRDefault="007C6A5F" w:rsidP="00C36DA4">
            <w:pPr>
              <w:pStyle w:val="TableDataColumnHeading"/>
              <w:rPr>
                <w:lang w:val="en-GB"/>
              </w:rPr>
            </w:pPr>
            <w:r>
              <w:rPr>
                <w:lang w:val="en-GB"/>
              </w:rPr>
              <w:t>NSW</w:t>
            </w:r>
            <w:r w:rsidR="001C18B4">
              <w:rPr>
                <w:lang w:val="en-GB"/>
              </w:rPr>
              <w:br/>
              <w:t>(Rate per 100 000)</w:t>
            </w:r>
          </w:p>
        </w:tc>
        <w:tc>
          <w:tcPr>
            <w:tcW w:w="1392" w:type="dxa"/>
            <w:shd w:val="clear" w:color="auto" w:fill="6F6652" w:themeFill="accent5"/>
          </w:tcPr>
          <w:p w:rsidR="007C6A5F" w:rsidRDefault="007C6A5F" w:rsidP="00C36DA4">
            <w:pPr>
              <w:pStyle w:val="TableDataColumnHeading"/>
              <w:rPr>
                <w:lang w:val="en-GB"/>
              </w:rPr>
            </w:pPr>
            <w:r>
              <w:rPr>
                <w:lang w:val="en-GB"/>
              </w:rPr>
              <w:t>Queensland</w:t>
            </w:r>
            <w:r w:rsidR="001C18B4">
              <w:rPr>
                <w:lang w:val="en-GB"/>
              </w:rPr>
              <w:br/>
              <w:t>(Rate per 100 000)</w:t>
            </w:r>
          </w:p>
        </w:tc>
        <w:tc>
          <w:tcPr>
            <w:tcW w:w="1392" w:type="dxa"/>
            <w:shd w:val="clear" w:color="auto" w:fill="6F6652" w:themeFill="accent5"/>
          </w:tcPr>
          <w:p w:rsidR="007C6A5F" w:rsidRDefault="007C6A5F" w:rsidP="00C36DA4">
            <w:pPr>
              <w:pStyle w:val="TableDataColumnHeading"/>
              <w:rPr>
                <w:lang w:val="en-GB"/>
              </w:rPr>
            </w:pPr>
            <w:r>
              <w:rPr>
                <w:lang w:val="en-GB"/>
              </w:rPr>
              <w:t>Victoria</w:t>
            </w:r>
            <w:r w:rsidR="001C18B4">
              <w:rPr>
                <w:lang w:val="en-GB"/>
              </w:rPr>
              <w:br/>
              <w:t>(Rate per 100 000)</w:t>
            </w:r>
          </w:p>
        </w:tc>
      </w:tr>
      <w:tr w:rsidR="007C6A5F" w:rsidTr="007B2C93">
        <w:trPr>
          <w:trHeight w:val="230"/>
        </w:trPr>
        <w:tc>
          <w:tcPr>
            <w:tcW w:w="376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65-69</w:t>
            </w:r>
          </w:p>
        </w:tc>
        <w:tc>
          <w:tcPr>
            <w:tcW w:w="13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841.7</w:t>
            </w:r>
          </w:p>
        </w:tc>
        <w:tc>
          <w:tcPr>
            <w:tcW w:w="13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883.0</w:t>
            </w:r>
          </w:p>
        </w:tc>
        <w:tc>
          <w:tcPr>
            <w:tcW w:w="13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984.2</w:t>
            </w:r>
            <w:r w:rsidRPr="00441D06">
              <w:rPr>
                <w:rStyle w:val="NoteLabel"/>
              </w:rPr>
              <w:t xml:space="preserve"> </w:t>
            </w:r>
            <w:r w:rsidRPr="00F84654">
              <w:rPr>
                <w:rStyle w:val="NoteLabel"/>
                <w:color w:val="000000" w:themeColor="text1"/>
              </w:rPr>
              <w:t>b</w:t>
            </w:r>
          </w:p>
        </w:tc>
      </w:tr>
      <w:tr w:rsidR="007C6A5F" w:rsidTr="007B2C93">
        <w:trPr>
          <w:trHeight w:val="230"/>
        </w:trPr>
        <w:tc>
          <w:tcPr>
            <w:tcW w:w="376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70-74</w:t>
            </w:r>
          </w:p>
        </w:tc>
        <w:tc>
          <w:tcPr>
            <w:tcW w:w="13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1 222.4</w:t>
            </w:r>
          </w:p>
        </w:tc>
        <w:tc>
          <w:tcPr>
            <w:tcW w:w="13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1 227.8</w:t>
            </w:r>
          </w:p>
        </w:tc>
        <w:tc>
          <w:tcPr>
            <w:tcW w:w="1392" w:type="dxa"/>
            <w:tcBorders>
              <w:top w:val="single" w:sz="8" w:space="0" w:color="FFFFFF" w:themeColor="background1"/>
              <w:bottom w:val="single" w:sz="8" w:space="0" w:color="FFFFFF" w:themeColor="background1"/>
            </w:tcBorders>
            <w:shd w:val="clear" w:color="auto" w:fill="E9E8E5" w:themeFill="background2"/>
          </w:tcPr>
          <w:p w:rsidR="007C6A5F" w:rsidRDefault="001C18B4" w:rsidP="00C36DA4">
            <w:pPr>
              <w:pStyle w:val="TableDataEntries"/>
              <w:rPr>
                <w:lang w:val="en-GB"/>
              </w:rPr>
            </w:pPr>
            <w:r>
              <w:rPr>
                <w:lang w:val="en-GB"/>
              </w:rPr>
              <w:t>984.2</w:t>
            </w:r>
            <w:r w:rsidRPr="00441D06">
              <w:rPr>
                <w:rStyle w:val="NoteLabel"/>
              </w:rPr>
              <w:t xml:space="preserve"> </w:t>
            </w:r>
            <w:r w:rsidRPr="00F84654">
              <w:rPr>
                <w:rStyle w:val="NoteLabel"/>
                <w:color w:val="000000" w:themeColor="text1"/>
              </w:rPr>
              <w:t>b</w:t>
            </w:r>
          </w:p>
        </w:tc>
      </w:tr>
      <w:tr w:rsidR="007C6A5F" w:rsidTr="007B2C93">
        <w:trPr>
          <w:trHeight w:val="230"/>
        </w:trPr>
        <w:tc>
          <w:tcPr>
            <w:tcW w:w="376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75-79</w:t>
            </w:r>
          </w:p>
        </w:tc>
        <w:tc>
          <w:tcPr>
            <w:tcW w:w="13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2 293.6</w:t>
            </w:r>
          </w:p>
        </w:tc>
        <w:tc>
          <w:tcPr>
            <w:tcW w:w="13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2 164.6</w:t>
            </w:r>
          </w:p>
        </w:tc>
        <w:tc>
          <w:tcPr>
            <w:tcW w:w="13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2 917.0</w:t>
            </w:r>
            <w:r w:rsidRPr="00441D06">
              <w:rPr>
                <w:rStyle w:val="NoteLabel"/>
              </w:rPr>
              <w:t xml:space="preserve"> </w:t>
            </w:r>
            <w:r w:rsidRPr="00F84654">
              <w:rPr>
                <w:rStyle w:val="NoteLabel"/>
                <w:color w:val="000000" w:themeColor="text1"/>
              </w:rPr>
              <w:t>c</w:t>
            </w:r>
          </w:p>
        </w:tc>
      </w:tr>
      <w:tr w:rsidR="007C6A5F" w:rsidTr="007B2C93">
        <w:trPr>
          <w:trHeight w:val="230"/>
        </w:trPr>
        <w:tc>
          <w:tcPr>
            <w:tcW w:w="376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80-84</w:t>
            </w:r>
          </w:p>
        </w:tc>
        <w:tc>
          <w:tcPr>
            <w:tcW w:w="13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4 281.4</w:t>
            </w:r>
          </w:p>
        </w:tc>
        <w:tc>
          <w:tcPr>
            <w:tcW w:w="13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4 150.1</w:t>
            </w:r>
          </w:p>
        </w:tc>
        <w:tc>
          <w:tcPr>
            <w:tcW w:w="1392" w:type="dxa"/>
            <w:tcBorders>
              <w:top w:val="single" w:sz="8" w:space="0" w:color="FFFFFF" w:themeColor="background1"/>
              <w:bottom w:val="single" w:sz="8" w:space="0" w:color="FFFFFF" w:themeColor="background1"/>
            </w:tcBorders>
            <w:shd w:val="clear" w:color="auto" w:fill="E9E8E5" w:themeFill="background2"/>
          </w:tcPr>
          <w:p w:rsidR="007C6A5F" w:rsidRDefault="001C18B4" w:rsidP="00C36DA4">
            <w:pPr>
              <w:pStyle w:val="TableDataEntries"/>
              <w:rPr>
                <w:lang w:val="en-GB"/>
              </w:rPr>
            </w:pPr>
            <w:r>
              <w:rPr>
                <w:lang w:val="en-GB"/>
              </w:rPr>
              <w:t>2 917.0</w:t>
            </w:r>
            <w:r w:rsidRPr="00441D06">
              <w:rPr>
                <w:rStyle w:val="NoteLabel"/>
              </w:rPr>
              <w:t xml:space="preserve"> </w:t>
            </w:r>
            <w:r w:rsidRPr="00F84654">
              <w:rPr>
                <w:rStyle w:val="NoteLabel"/>
                <w:color w:val="000000" w:themeColor="text1"/>
              </w:rPr>
              <w:t>c</w:t>
            </w:r>
          </w:p>
        </w:tc>
      </w:tr>
      <w:tr w:rsidR="007C6A5F" w:rsidTr="007B2C93">
        <w:trPr>
          <w:trHeight w:val="230"/>
        </w:trPr>
        <w:tc>
          <w:tcPr>
            <w:tcW w:w="376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85-89</w:t>
            </w:r>
          </w:p>
        </w:tc>
        <w:tc>
          <w:tcPr>
            <w:tcW w:w="13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7 390.1</w:t>
            </w:r>
          </w:p>
        </w:tc>
        <w:tc>
          <w:tcPr>
            <w:tcW w:w="13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8 209.0 </w:t>
            </w:r>
            <w:r w:rsidRPr="00F84654">
              <w:rPr>
                <w:rStyle w:val="NoteLabel"/>
                <w:color w:val="000000" w:themeColor="text1"/>
              </w:rPr>
              <w:t>a</w:t>
            </w:r>
          </w:p>
        </w:tc>
        <w:tc>
          <w:tcPr>
            <w:tcW w:w="13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7 951.9</w:t>
            </w:r>
            <w:r w:rsidRPr="00441D06">
              <w:rPr>
                <w:rStyle w:val="NoteLabel"/>
              </w:rPr>
              <w:t xml:space="preserve"> </w:t>
            </w:r>
            <w:r w:rsidRPr="00F84654">
              <w:rPr>
                <w:rStyle w:val="NoteLabel"/>
                <w:color w:val="000000" w:themeColor="text1"/>
              </w:rPr>
              <w:t>d</w:t>
            </w:r>
          </w:p>
        </w:tc>
      </w:tr>
      <w:tr w:rsidR="001C18B4" w:rsidTr="007B2C93">
        <w:trPr>
          <w:trHeight w:val="230"/>
        </w:trPr>
        <w:tc>
          <w:tcPr>
            <w:tcW w:w="3761" w:type="dxa"/>
            <w:tcBorders>
              <w:top w:val="single" w:sz="8" w:space="0" w:color="FFFFFF" w:themeColor="background1"/>
              <w:bottom w:val="single" w:sz="8" w:space="0" w:color="FFFFFF" w:themeColor="background1"/>
            </w:tcBorders>
            <w:shd w:val="clear" w:color="auto" w:fill="E9E8E5" w:themeFill="background2"/>
          </w:tcPr>
          <w:p w:rsidR="001C18B4" w:rsidRDefault="001C18B4" w:rsidP="001C18B4">
            <w:pPr>
              <w:pStyle w:val="TableDataEntries"/>
              <w:jc w:val="left"/>
              <w:rPr>
                <w:lang w:val="en-GB"/>
              </w:rPr>
            </w:pPr>
            <w:r>
              <w:rPr>
                <w:lang w:val="en-GB"/>
              </w:rPr>
              <w:t>90-94</w:t>
            </w:r>
          </w:p>
        </w:tc>
        <w:tc>
          <w:tcPr>
            <w:tcW w:w="1392" w:type="dxa"/>
            <w:tcBorders>
              <w:top w:val="single" w:sz="8" w:space="0" w:color="FFFFFF" w:themeColor="background1"/>
              <w:bottom w:val="single" w:sz="8" w:space="0" w:color="FFFFFF" w:themeColor="background1"/>
            </w:tcBorders>
            <w:shd w:val="clear" w:color="auto" w:fill="E9E8E5" w:themeFill="background2"/>
          </w:tcPr>
          <w:p w:rsidR="001C18B4" w:rsidRDefault="001C18B4" w:rsidP="001C18B4">
            <w:pPr>
              <w:pStyle w:val="TableDataEntries"/>
              <w:rPr>
                <w:lang w:val="en-GB"/>
              </w:rPr>
            </w:pPr>
            <w:r>
              <w:rPr>
                <w:lang w:val="en-GB"/>
              </w:rPr>
              <w:t>11 373.3</w:t>
            </w:r>
          </w:p>
        </w:tc>
        <w:tc>
          <w:tcPr>
            <w:tcW w:w="1392" w:type="dxa"/>
            <w:tcBorders>
              <w:top w:val="single" w:sz="8" w:space="0" w:color="FFFFFF" w:themeColor="background1"/>
              <w:bottom w:val="single" w:sz="8" w:space="0" w:color="FFFFFF" w:themeColor="background1"/>
            </w:tcBorders>
            <w:shd w:val="clear" w:color="auto" w:fill="E9E8E5" w:themeFill="background2"/>
          </w:tcPr>
          <w:p w:rsidR="001C18B4" w:rsidRDefault="001C18B4" w:rsidP="001C18B4">
            <w:pPr>
              <w:pStyle w:val="TableDataEntries"/>
              <w:rPr>
                <w:lang w:val="en-GB"/>
              </w:rPr>
            </w:pPr>
            <w:r w:rsidRPr="00C21FE9">
              <w:rPr>
                <w:lang w:val="en-GB"/>
              </w:rPr>
              <w:t xml:space="preserve">8 209.0 </w:t>
            </w:r>
            <w:r w:rsidRPr="00C21FE9">
              <w:rPr>
                <w:rStyle w:val="NoteLabel"/>
                <w:color w:val="000000" w:themeColor="text1"/>
              </w:rPr>
              <w:t>a</w:t>
            </w:r>
          </w:p>
        </w:tc>
        <w:tc>
          <w:tcPr>
            <w:tcW w:w="1392" w:type="dxa"/>
            <w:tcBorders>
              <w:top w:val="single" w:sz="8" w:space="0" w:color="FFFFFF" w:themeColor="background1"/>
              <w:bottom w:val="single" w:sz="8" w:space="0" w:color="FFFFFF" w:themeColor="background1"/>
            </w:tcBorders>
            <w:shd w:val="clear" w:color="auto" w:fill="E9E8E5" w:themeFill="background2"/>
          </w:tcPr>
          <w:p w:rsidR="001C18B4" w:rsidRDefault="001C18B4" w:rsidP="001C18B4">
            <w:pPr>
              <w:pStyle w:val="TableDataEntries"/>
              <w:rPr>
                <w:lang w:val="en-GB"/>
              </w:rPr>
            </w:pPr>
            <w:r>
              <w:rPr>
                <w:lang w:val="en-GB"/>
              </w:rPr>
              <w:t>7 951.9</w:t>
            </w:r>
            <w:r w:rsidRPr="00441D06">
              <w:rPr>
                <w:rStyle w:val="NoteLabel"/>
              </w:rPr>
              <w:t xml:space="preserve"> </w:t>
            </w:r>
            <w:r w:rsidRPr="00F84654">
              <w:rPr>
                <w:rStyle w:val="NoteLabel"/>
                <w:color w:val="000000" w:themeColor="text1"/>
              </w:rPr>
              <w:t>d</w:t>
            </w:r>
          </w:p>
        </w:tc>
      </w:tr>
      <w:tr w:rsidR="001C18B4" w:rsidTr="00B5160B">
        <w:trPr>
          <w:trHeight w:val="230"/>
        </w:trPr>
        <w:tc>
          <w:tcPr>
            <w:tcW w:w="3761" w:type="dxa"/>
            <w:tcBorders>
              <w:top w:val="single" w:sz="8" w:space="0" w:color="FFFFFF" w:themeColor="background1"/>
              <w:bottom w:val="single" w:sz="8" w:space="0" w:color="FFFFFF" w:themeColor="background1"/>
            </w:tcBorders>
            <w:shd w:val="clear" w:color="auto" w:fill="E9E8E5" w:themeFill="background2"/>
          </w:tcPr>
          <w:p w:rsidR="001C18B4" w:rsidRDefault="001C18B4" w:rsidP="001C18B4">
            <w:pPr>
              <w:pStyle w:val="TableDataEntries"/>
              <w:jc w:val="left"/>
              <w:rPr>
                <w:lang w:val="en-GB"/>
              </w:rPr>
            </w:pPr>
            <w:r>
              <w:rPr>
                <w:lang w:val="en-GB"/>
              </w:rPr>
              <w:t>95+</w:t>
            </w:r>
          </w:p>
        </w:tc>
        <w:tc>
          <w:tcPr>
            <w:tcW w:w="1392" w:type="dxa"/>
            <w:tcBorders>
              <w:top w:val="single" w:sz="8" w:space="0" w:color="FFFFFF" w:themeColor="background1"/>
              <w:bottom w:val="single" w:sz="8" w:space="0" w:color="FFFFFF" w:themeColor="background1"/>
            </w:tcBorders>
            <w:shd w:val="clear" w:color="auto" w:fill="E9E8E5" w:themeFill="background2"/>
          </w:tcPr>
          <w:p w:rsidR="001C18B4" w:rsidRDefault="001C18B4" w:rsidP="001C18B4">
            <w:pPr>
              <w:pStyle w:val="TableDataEntries"/>
              <w:rPr>
                <w:lang w:val="en-GB"/>
              </w:rPr>
            </w:pPr>
            <w:r>
              <w:rPr>
                <w:lang w:val="en-GB"/>
              </w:rPr>
              <w:t>13 582.6</w:t>
            </w:r>
          </w:p>
        </w:tc>
        <w:tc>
          <w:tcPr>
            <w:tcW w:w="1392" w:type="dxa"/>
            <w:tcBorders>
              <w:top w:val="single" w:sz="8" w:space="0" w:color="FFFFFF" w:themeColor="background1"/>
              <w:bottom w:val="single" w:sz="8" w:space="0" w:color="FFFFFF" w:themeColor="background1"/>
            </w:tcBorders>
            <w:shd w:val="clear" w:color="auto" w:fill="E9E8E5" w:themeFill="background2"/>
          </w:tcPr>
          <w:p w:rsidR="001C18B4" w:rsidRDefault="001C18B4" w:rsidP="001C18B4">
            <w:pPr>
              <w:pStyle w:val="TableDataEntries"/>
              <w:rPr>
                <w:lang w:val="en-GB"/>
              </w:rPr>
            </w:pPr>
            <w:r w:rsidRPr="00C21FE9">
              <w:rPr>
                <w:lang w:val="en-GB"/>
              </w:rPr>
              <w:t xml:space="preserve">8 209.0 </w:t>
            </w:r>
            <w:r w:rsidRPr="00C21FE9">
              <w:rPr>
                <w:rStyle w:val="NoteLabel"/>
                <w:color w:val="000000" w:themeColor="text1"/>
              </w:rPr>
              <w:t>a</w:t>
            </w:r>
          </w:p>
        </w:tc>
        <w:tc>
          <w:tcPr>
            <w:tcW w:w="1392" w:type="dxa"/>
            <w:tcBorders>
              <w:top w:val="single" w:sz="8" w:space="0" w:color="FFFFFF" w:themeColor="background1"/>
              <w:bottom w:val="single" w:sz="8" w:space="0" w:color="FFFFFF" w:themeColor="background1"/>
            </w:tcBorders>
            <w:shd w:val="clear" w:color="auto" w:fill="E9E8E5" w:themeFill="background2"/>
          </w:tcPr>
          <w:p w:rsidR="001C18B4" w:rsidRDefault="001C18B4" w:rsidP="001C18B4">
            <w:pPr>
              <w:pStyle w:val="TableDataEntries"/>
              <w:rPr>
                <w:lang w:val="en-GB"/>
              </w:rPr>
            </w:pPr>
            <w:r>
              <w:rPr>
                <w:lang w:val="en-GB"/>
              </w:rPr>
              <w:t>13 279.3</w:t>
            </w:r>
          </w:p>
        </w:tc>
      </w:tr>
      <w:tr w:rsidR="007C6A5F" w:rsidRPr="004D0ED8" w:rsidTr="00B5160B">
        <w:trPr>
          <w:trHeight w:val="230"/>
        </w:trPr>
        <w:tc>
          <w:tcPr>
            <w:tcW w:w="3761" w:type="dxa"/>
            <w:tcBorders>
              <w:top w:val="single" w:sz="8" w:space="0" w:color="FFFFFF" w:themeColor="background1"/>
              <w:bottom w:val="single" w:sz="4" w:space="0" w:color="6F6652" w:themeColor="accent5"/>
            </w:tcBorders>
            <w:shd w:val="clear" w:color="auto" w:fill="C2DADB" w:themeFill="accent6" w:themeFillTint="99"/>
          </w:tcPr>
          <w:p w:rsidR="007C6A5F" w:rsidRPr="004D0ED8" w:rsidRDefault="007C6A5F" w:rsidP="00C36DA4">
            <w:pPr>
              <w:pStyle w:val="TableDataEntries"/>
              <w:jc w:val="left"/>
              <w:rPr>
                <w:rFonts w:ascii="Franklin Gothic Demi" w:hAnsi="Franklin Gothic Demi"/>
                <w:lang w:val="en-GB"/>
              </w:rPr>
            </w:pPr>
            <w:r w:rsidRPr="004D0ED8">
              <w:rPr>
                <w:rFonts w:ascii="Franklin Gothic Demi" w:hAnsi="Franklin Gothic Demi"/>
                <w:lang w:val="en-GB"/>
              </w:rPr>
              <w:t>Total</w:t>
            </w:r>
          </w:p>
        </w:tc>
        <w:tc>
          <w:tcPr>
            <w:tcW w:w="1392" w:type="dxa"/>
            <w:tcBorders>
              <w:top w:val="single" w:sz="8" w:space="0" w:color="FFFFFF" w:themeColor="background1"/>
              <w:bottom w:val="single" w:sz="4" w:space="0" w:color="6F6652" w:themeColor="accent5"/>
            </w:tcBorders>
            <w:shd w:val="clear" w:color="auto" w:fill="C2DADB" w:themeFill="accent6" w:themeFillTint="99"/>
          </w:tcPr>
          <w:p w:rsidR="007C6A5F" w:rsidRPr="004D0ED8" w:rsidRDefault="007C6A5F" w:rsidP="00C36DA4">
            <w:pPr>
              <w:pStyle w:val="TableDataEntries"/>
              <w:rPr>
                <w:rFonts w:ascii="Franklin Gothic Demi" w:hAnsi="Franklin Gothic Demi"/>
                <w:lang w:val="en-GB"/>
              </w:rPr>
            </w:pPr>
            <w:r w:rsidRPr="004D0ED8">
              <w:rPr>
                <w:rFonts w:ascii="Franklin Gothic Demi" w:hAnsi="Franklin Gothic Demi"/>
                <w:lang w:val="en-GB"/>
              </w:rPr>
              <w:t>2 744.6</w:t>
            </w:r>
          </w:p>
        </w:tc>
        <w:tc>
          <w:tcPr>
            <w:tcW w:w="1392" w:type="dxa"/>
            <w:tcBorders>
              <w:top w:val="single" w:sz="8" w:space="0" w:color="FFFFFF" w:themeColor="background1"/>
              <w:bottom w:val="single" w:sz="4" w:space="0" w:color="6F6652" w:themeColor="accent5"/>
            </w:tcBorders>
            <w:shd w:val="clear" w:color="auto" w:fill="C2DADB" w:themeFill="accent6" w:themeFillTint="99"/>
          </w:tcPr>
          <w:p w:rsidR="007C6A5F" w:rsidRPr="004D0ED8" w:rsidRDefault="007C6A5F" w:rsidP="00C36DA4">
            <w:pPr>
              <w:pStyle w:val="TableDataEntries"/>
              <w:rPr>
                <w:rFonts w:ascii="Franklin Gothic Demi" w:hAnsi="Franklin Gothic Demi"/>
                <w:lang w:val="en-GB"/>
              </w:rPr>
            </w:pPr>
            <w:r w:rsidRPr="004D0ED8">
              <w:rPr>
                <w:rFonts w:ascii="Franklin Gothic Demi" w:hAnsi="Franklin Gothic Demi"/>
                <w:lang w:val="en-GB"/>
              </w:rPr>
              <w:t>2 548.6</w:t>
            </w:r>
          </w:p>
        </w:tc>
        <w:tc>
          <w:tcPr>
            <w:tcW w:w="1392" w:type="dxa"/>
            <w:tcBorders>
              <w:top w:val="single" w:sz="8" w:space="0" w:color="FFFFFF" w:themeColor="background1"/>
              <w:bottom w:val="single" w:sz="4" w:space="0" w:color="6F6652" w:themeColor="accent5"/>
            </w:tcBorders>
            <w:shd w:val="clear" w:color="auto" w:fill="C2DADB" w:themeFill="accent6" w:themeFillTint="99"/>
          </w:tcPr>
          <w:p w:rsidR="007C6A5F" w:rsidRPr="004D0ED8" w:rsidRDefault="007C6A5F" w:rsidP="00C36DA4">
            <w:pPr>
              <w:pStyle w:val="TableDataEntries"/>
              <w:rPr>
                <w:rFonts w:ascii="Franklin Gothic Demi" w:hAnsi="Franklin Gothic Demi"/>
                <w:lang w:val="en-GB"/>
              </w:rPr>
            </w:pPr>
            <w:r w:rsidRPr="004D0ED8">
              <w:rPr>
                <w:rFonts w:ascii="Franklin Gothic Demi" w:hAnsi="Franklin Gothic Demi"/>
                <w:lang w:val="en-GB"/>
              </w:rPr>
              <w:t>2 597.2</w:t>
            </w:r>
          </w:p>
        </w:tc>
      </w:tr>
    </w:tbl>
    <w:p w:rsidR="007C6A5F" w:rsidRPr="00E4232C" w:rsidRDefault="007C6A5F" w:rsidP="007C6A5F">
      <w:pPr>
        <w:pStyle w:val="Note"/>
      </w:pPr>
      <w:r w:rsidRPr="00F84654">
        <w:rPr>
          <w:rStyle w:val="NoteLabel"/>
          <w:color w:val="000000" w:themeColor="text1"/>
        </w:rPr>
        <w:t>a</w:t>
      </w:r>
      <w:r>
        <w:t xml:space="preserve"> Relates to 85+ age group. </w:t>
      </w:r>
      <w:r w:rsidRPr="00F84654">
        <w:rPr>
          <w:rStyle w:val="NoteLabel"/>
          <w:color w:val="000000" w:themeColor="text1"/>
        </w:rPr>
        <w:t>b</w:t>
      </w:r>
      <w:r>
        <w:t xml:space="preserve"> Relates to 65</w:t>
      </w:r>
      <w:r>
        <w:noBreakHyphen/>
        <w:t xml:space="preserve">74 age group. </w:t>
      </w:r>
      <w:r w:rsidRPr="00F84654">
        <w:rPr>
          <w:rStyle w:val="NoteLabel"/>
          <w:color w:val="000000" w:themeColor="text1"/>
        </w:rPr>
        <w:t>c</w:t>
      </w:r>
      <w:r>
        <w:t xml:space="preserve"> Relates to 75</w:t>
      </w:r>
      <w:r>
        <w:noBreakHyphen/>
        <w:t xml:space="preserve">84 age group. </w:t>
      </w:r>
      <w:r w:rsidRPr="00F84654">
        <w:rPr>
          <w:rStyle w:val="NoteLabel"/>
          <w:color w:val="000000" w:themeColor="text1"/>
        </w:rPr>
        <w:t>d</w:t>
      </w:r>
      <w:r>
        <w:t xml:space="preserve"> Relates to 85</w:t>
      </w:r>
      <w:r>
        <w:noBreakHyphen/>
        <w:t>94 age group.</w:t>
      </w:r>
    </w:p>
    <w:p w:rsidR="007C6A5F" w:rsidRDefault="007C6A5F" w:rsidP="007C6A5F">
      <w:pPr>
        <w:pStyle w:val="Source"/>
        <w:rPr>
          <w:lang w:bidi="fa-IR"/>
        </w:rPr>
      </w:pPr>
      <w:r w:rsidRPr="00CB25B0">
        <w:rPr>
          <w:i/>
          <w:lang w:bidi="fa-IR"/>
        </w:rPr>
        <w:t>Source:</w:t>
      </w:r>
      <w:r w:rsidRPr="00CB25B0">
        <w:rPr>
          <w:lang w:bidi="fa-IR"/>
        </w:rPr>
        <w:t xml:space="preserve"> </w:t>
      </w:r>
      <w:r w:rsidRPr="00CB25B0">
        <w:t>Stathakis, V. Gray, S. and Berecki</w:t>
      </w:r>
      <w:r w:rsidRPr="00CB25B0">
        <w:noBreakHyphen/>
        <w:t>Gisolf, J. 2015, “Fall</w:t>
      </w:r>
      <w:r w:rsidRPr="00CB25B0">
        <w:noBreakHyphen/>
        <w:t xml:space="preserve">related injury profile for Victorians aged 65 years and older”, </w:t>
      </w:r>
      <w:r w:rsidRPr="00CB25B0">
        <w:rPr>
          <w:i/>
          <w:iCs/>
        </w:rPr>
        <w:t>Hazard</w:t>
      </w:r>
      <w:r w:rsidRPr="00CB25B0">
        <w:t>,</w:t>
      </w:r>
      <w:r>
        <w:t xml:space="preserve"> Edition No. 80, Summer 2015, Victorian Injury Surveillance Unit, Monash University Accident Research Centre; University of NSW, </w:t>
      </w:r>
      <w:r w:rsidRPr="00FB0C5C">
        <w:rPr>
          <w:i/>
          <w:iCs/>
        </w:rPr>
        <w:t>The Incidence and Cost of Falls Injury Among Older People in New South Wales 2006/07</w:t>
      </w:r>
      <w:r>
        <w:t>, A Report to NSW Health, September 2010,</w:t>
      </w:r>
    </w:p>
    <w:p w:rsidR="007C6A5F" w:rsidRDefault="007C6A5F" w:rsidP="007C6A5F">
      <w:pPr>
        <w:pStyle w:val="Heading8"/>
        <w:numPr>
          <w:ilvl w:val="7"/>
          <w:numId w:val="5"/>
        </w:numPr>
        <w:rPr>
          <w:lang w:eastAsia="en-US" w:bidi="fa-IR"/>
        </w:rPr>
      </w:pPr>
      <w:r>
        <w:rPr>
          <w:lang w:eastAsia="en-US" w:bidi="fa-IR"/>
        </w:rPr>
        <w:t>Deaths</w:t>
      </w:r>
    </w:p>
    <w:p w:rsidR="007C6A5F" w:rsidRDefault="007C6A5F" w:rsidP="007C6A5F">
      <w:pPr>
        <w:pStyle w:val="BodyText"/>
        <w:rPr>
          <w:lang w:bidi="fa-IR"/>
        </w:rPr>
      </w:pPr>
      <w:r>
        <w:rPr>
          <w:lang w:bidi="fa-IR"/>
        </w:rPr>
        <w:t>Our approach to estimating the cost to the community of additional deaths from falls due to people with accessibility needs living in inaccessible housing is set out below.</w:t>
      </w:r>
    </w:p>
    <w:p w:rsidR="007C6A5F" w:rsidRDefault="007C6A5F" w:rsidP="007C6A5F">
      <w:pPr>
        <w:pStyle w:val="Heading9"/>
        <w:rPr>
          <w:lang w:eastAsia="en-US" w:bidi="fa-IR"/>
        </w:rPr>
      </w:pPr>
      <w:r>
        <w:rPr>
          <w:lang w:eastAsia="en-US" w:bidi="fa-IR"/>
        </w:rPr>
        <w:t>Additional fall</w:t>
      </w:r>
      <w:r>
        <w:rPr>
          <w:lang w:eastAsia="en-US" w:bidi="fa-IR"/>
        </w:rPr>
        <w:noBreakHyphen/>
        <w:t>related deaths due to inaccessible housing</w:t>
      </w:r>
    </w:p>
    <w:p w:rsidR="007C6A5F" w:rsidRDefault="007C6A5F" w:rsidP="007C6A5F">
      <w:pPr>
        <w:pStyle w:val="BodyText"/>
        <w:rPr>
          <w:lang w:eastAsia="en-US" w:bidi="fa-IR"/>
        </w:rPr>
      </w:pPr>
      <w:r>
        <w:rPr>
          <w:lang w:eastAsia="en-US" w:bidi="fa-IR"/>
        </w:rPr>
        <w:t>We estimate that there could be between around 15 and 27 additional deaths from falls per year as a result of people with accessibility needs living in inaccessible housing, with. a central case estimate of around 21 additional deaths per year (table A.4).</w:t>
      </w:r>
      <w:r w:rsidR="00012DBB">
        <w:rPr>
          <w:lang w:eastAsia="en-US" w:bidi="fa-IR"/>
        </w:rPr>
        <w:t xml:space="preserve"> </w:t>
      </w:r>
      <w:r>
        <w:rPr>
          <w:lang w:eastAsia="en-US" w:bidi="fa-IR"/>
        </w:rPr>
        <w:t>These estimates are based on the following.</w:t>
      </w:r>
    </w:p>
    <w:p w:rsidR="007C6A5F" w:rsidRDefault="007C6A5F" w:rsidP="005A6F87">
      <w:pPr>
        <w:pStyle w:val="ListBullet"/>
        <w:numPr>
          <w:ilvl w:val="0"/>
          <w:numId w:val="17"/>
        </w:numPr>
        <w:rPr>
          <w:lang w:bidi="fa-IR"/>
        </w:rPr>
      </w:pPr>
      <w:r>
        <w:rPr>
          <w:lang w:bidi="fa-IR"/>
        </w:rPr>
        <w:t>The population at risk of falls due to inaccessible housing are as defined above.</w:t>
      </w:r>
    </w:p>
    <w:p w:rsidR="007C6A5F" w:rsidRDefault="007C6A5F" w:rsidP="005A6F87">
      <w:pPr>
        <w:pStyle w:val="ListBullet"/>
        <w:numPr>
          <w:ilvl w:val="0"/>
          <w:numId w:val="17"/>
        </w:numPr>
        <w:rPr>
          <w:lang w:bidi="fa-IR"/>
        </w:rPr>
      </w:pPr>
      <w:r>
        <w:rPr>
          <w:lang w:bidi="fa-IR"/>
        </w:rPr>
        <w:t>The incidence of falls causing death is based on Victorian data from the 2010</w:t>
      </w:r>
      <w:r>
        <w:rPr>
          <w:lang w:bidi="fa-IR"/>
        </w:rPr>
        <w:noBreakHyphen/>
        <w:t>12 period reported by the Victorian Injury Surveillance Unit (VISU) within the Monash University Accident Research Centre (MUARC).</w:t>
      </w:r>
      <w:r>
        <w:rPr>
          <w:rStyle w:val="FootnoteReference"/>
          <w:lang w:bidi="fa-IR"/>
        </w:rPr>
        <w:footnoteReference w:id="70"/>
      </w:r>
    </w:p>
    <w:p w:rsidR="007C6A5F" w:rsidRDefault="007C6A5F" w:rsidP="005A6F87">
      <w:pPr>
        <w:pStyle w:val="ListBullet2"/>
        <w:numPr>
          <w:ilvl w:val="1"/>
          <w:numId w:val="17"/>
        </w:numPr>
        <w:ind w:left="568" w:hanging="284"/>
        <w:rPr>
          <w:lang w:bidi="fa-IR"/>
        </w:rPr>
      </w:pPr>
      <w:r>
        <w:rPr>
          <w:lang w:bidi="fa-IR"/>
        </w:rPr>
        <w:t>Actual data, as reported by VISU, is used for age groups over 65.</w:t>
      </w:r>
    </w:p>
    <w:p w:rsidR="007C6A5F" w:rsidRDefault="007C6A5F" w:rsidP="005A6F87">
      <w:pPr>
        <w:pStyle w:val="ListBullet2"/>
        <w:numPr>
          <w:ilvl w:val="1"/>
          <w:numId w:val="17"/>
        </w:numPr>
        <w:ind w:left="568" w:hanging="284"/>
        <w:rPr>
          <w:lang w:bidi="fa-IR"/>
        </w:rPr>
      </w:pPr>
      <w:r>
        <w:rPr>
          <w:lang w:bidi="fa-IR"/>
        </w:rPr>
        <w:t>The incidence of falls causing death among people under the age of 65 with mobility limitations is not reported. We assumed that the incidence of falls was around the same as for the broader population in the 65</w:t>
      </w:r>
      <w:r>
        <w:rPr>
          <w:lang w:bidi="fa-IR"/>
        </w:rPr>
        <w:noBreakHyphen/>
        <w:t>74 year age bracket, as reported by VISU. Adults with disabilities reportedly have the same risk of falling as people in the general population over the age of 65.</w:t>
      </w:r>
      <w:r>
        <w:rPr>
          <w:rStyle w:val="FootnoteReference"/>
          <w:lang w:bidi="fa-IR"/>
        </w:rPr>
        <w:footnoteReference w:id="71"/>
      </w:r>
    </w:p>
    <w:p w:rsidR="007C6A5F" w:rsidRDefault="007C6A5F" w:rsidP="005A6F87">
      <w:pPr>
        <w:pStyle w:val="ListBullet2"/>
        <w:numPr>
          <w:ilvl w:val="1"/>
          <w:numId w:val="17"/>
        </w:numPr>
        <w:ind w:left="568" w:hanging="284"/>
        <w:rPr>
          <w:lang w:bidi="fa-IR"/>
        </w:rPr>
      </w:pPr>
      <w:r>
        <w:rPr>
          <w:lang w:bidi="fa-IR"/>
        </w:rPr>
        <w:lastRenderedPageBreak/>
        <w:t>As not all falls occur at home, this was adjusted to take into account the fact that 32.8 per cent of falls resulting in death occur in the home.</w:t>
      </w:r>
      <w:r>
        <w:rPr>
          <w:rStyle w:val="FootnoteReference"/>
          <w:lang w:bidi="fa-IR"/>
        </w:rPr>
        <w:footnoteReference w:id="72"/>
      </w:r>
    </w:p>
    <w:p w:rsidR="007C6A5F" w:rsidRDefault="007C6A5F" w:rsidP="007C6A5F">
      <w:pPr>
        <w:pStyle w:val="BodyText"/>
      </w:pPr>
      <w:r>
        <w:rPr>
          <w:lang w:bidi="fa-IR"/>
        </w:rPr>
        <w:t>When people with accessibility needs live in inaccessible housing, the incidence of falls is estimated to be:</w:t>
      </w:r>
    </w:p>
    <w:p w:rsidR="007C6A5F" w:rsidRDefault="007C6A5F" w:rsidP="007C6A5F">
      <w:pPr>
        <w:pStyle w:val="Caption"/>
      </w:pPr>
      <w:r w:rsidRPr="00DF68F3">
        <w:fldChar w:fldCharType="begin"/>
      </w:r>
      <w:r w:rsidRPr="00DF68F3">
        <w:instrText xml:space="preserve"> IF 1 = 1 "</w:instrText>
      </w:r>
      <w:r w:rsidRPr="00DF68F3">
        <w:fldChar w:fldCharType="begin"/>
      </w:r>
      <w:r w:rsidRPr="00DF68F3">
        <w:instrText xml:space="preserve"> IF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DF68F3">
        <w:instrText xml:space="preserve"> = 0 "</w:instrText>
      </w:r>
      <w:r w:rsidRPr="00DF68F3">
        <w:fldChar w:fldCharType="begin"/>
      </w:r>
      <w:r w:rsidRPr="00DF68F3">
        <w:instrText xml:space="preserve"> IF </w:instrText>
      </w:r>
      <w:r>
        <w:rPr>
          <w:noProof/>
        </w:rPr>
        <w:fldChar w:fldCharType="begin"/>
      </w:r>
      <w:r>
        <w:rPr>
          <w:noProof/>
        </w:rPr>
        <w:instrText xml:space="preserve"> STYLEREF "Heading 1" \l \n </w:instrText>
      </w:r>
      <w:r>
        <w:rPr>
          <w:noProof/>
        </w:rPr>
        <w:fldChar w:fldCharType="separate"/>
      </w:r>
      <w:r w:rsidRPr="00DF68F3">
        <w:rPr>
          <w:noProof/>
        </w:rPr>
        <w:instrText>0</w:instrText>
      </w:r>
      <w:r>
        <w:rPr>
          <w:noProof/>
        </w:rPr>
        <w:fldChar w:fldCharType="end"/>
      </w:r>
      <w:r w:rsidRPr="00DF68F3">
        <w:instrText xml:space="preserve"> = 0 "" "</w:instrText>
      </w:r>
      <w:r>
        <w:rPr>
          <w:noProof/>
        </w:rPr>
        <w:fldChar w:fldCharType="begin"/>
      </w:r>
      <w:r>
        <w:rPr>
          <w:noProof/>
        </w:rPr>
        <w:instrText xml:space="preserve"> STYLEREF "Heading 1" \l \n </w:instrText>
      </w:r>
      <w:r>
        <w:rPr>
          <w:noProof/>
        </w:rPr>
        <w:fldChar w:fldCharType="separate"/>
      </w:r>
      <w:r w:rsidRPr="00DF68F3">
        <w:rPr>
          <w:noProof/>
        </w:rPr>
        <w:instrText>2</w:instrText>
      </w:r>
      <w:r>
        <w:rPr>
          <w:noProof/>
        </w:rPr>
        <w:fldChar w:fldCharType="end"/>
      </w:r>
      <w:r w:rsidRPr="00DF68F3">
        <w:instrText xml:space="preserve">." </w:instrText>
      </w:r>
      <w:r w:rsidRPr="00DF68F3">
        <w:fldChar w:fldCharType="end"/>
      </w:r>
      <w:r w:rsidRPr="00DF68F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DF68F3">
        <w:instrText xml:space="preserve">." </w:instrText>
      </w:r>
      <w:r w:rsidRPr="00DF68F3">
        <w:fldChar w:fldCharType="separate"/>
      </w:r>
      <w:r>
        <w:rPr>
          <w:noProof/>
        </w:rPr>
        <w:instrText>A</w:instrText>
      </w:r>
      <w:r w:rsidRPr="00DF68F3">
        <w:rPr>
          <w:noProof/>
        </w:rPr>
        <w:instrText>.</w:instrText>
      </w:r>
      <w:r w:rsidRPr="00DF68F3">
        <w:fldChar w:fldCharType="end"/>
      </w:r>
      <w:r w:rsidRPr="00DF68F3">
        <w:fldChar w:fldCharType="begin"/>
      </w:r>
      <w:r w:rsidRPr="00DF68F3">
        <w:instrText xml:space="preserve"> SEQ Item \* ARABIC \s </w:instrText>
      </w:r>
      <w:r w:rsidRPr="00DF68F3">
        <w:fldChar w:fldCharType="begin"/>
      </w:r>
      <w:r w:rsidRPr="00DF68F3">
        <w:instrText xml:space="preserve"> IF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DF68F3">
        <w:instrText xml:space="preserve"> = 0 "</w:instrText>
      </w:r>
      <w:r w:rsidRPr="00DF68F3">
        <w:fldChar w:fldCharType="begin"/>
      </w:r>
      <w:r w:rsidRPr="00DF68F3">
        <w:instrText xml:space="preserve"> IF </w:instrText>
      </w:r>
      <w:r>
        <w:rPr>
          <w:noProof/>
        </w:rPr>
        <w:fldChar w:fldCharType="begin"/>
      </w:r>
      <w:r>
        <w:rPr>
          <w:noProof/>
        </w:rPr>
        <w:instrText xml:space="preserve"> STYLEREF "Heading 1" \l \n </w:instrText>
      </w:r>
      <w:r>
        <w:rPr>
          <w:noProof/>
        </w:rPr>
        <w:fldChar w:fldCharType="separate"/>
      </w:r>
      <w:r w:rsidRPr="00DF68F3">
        <w:rPr>
          <w:noProof/>
        </w:rPr>
        <w:instrText>0</w:instrText>
      </w:r>
      <w:r>
        <w:rPr>
          <w:noProof/>
        </w:rPr>
        <w:fldChar w:fldCharType="end"/>
      </w:r>
      <w:r w:rsidRPr="00DF68F3">
        <w:instrText xml:space="preserve"> = 0 "" "1" </w:instrText>
      </w:r>
      <w:r w:rsidRPr="00DF68F3">
        <w:fldChar w:fldCharType="end"/>
      </w:r>
      <w:r w:rsidRPr="00DF68F3">
        <w:instrText xml:space="preserve">" "6" </w:instrText>
      </w:r>
      <w:r w:rsidRPr="00DF68F3">
        <w:fldChar w:fldCharType="separate"/>
      </w:r>
      <w:r w:rsidRPr="00DF68F3">
        <w:rPr>
          <w:noProof/>
        </w:rPr>
        <w:instrText>6</w:instrText>
      </w:r>
      <w:r w:rsidRPr="00DF68F3">
        <w:fldChar w:fldCharType="end"/>
      </w:r>
      <w:r w:rsidRPr="00DF68F3">
        <w:instrText xml:space="preserve"> </w:instrText>
      </w:r>
      <w:r w:rsidRPr="00DF68F3">
        <w:fldChar w:fldCharType="separate"/>
      </w:r>
      <w:r>
        <w:rPr>
          <w:noProof/>
        </w:rPr>
        <w:instrText>4</w:instrText>
      </w:r>
      <w:r w:rsidRPr="00DF68F3">
        <w:fldChar w:fldCharType="end"/>
      </w:r>
      <w:r w:rsidRPr="00DF68F3">
        <w:instrText xml:space="preserve">" "" </w:instrText>
      </w:r>
      <w:r w:rsidRPr="00DF68F3">
        <w:fldChar w:fldCharType="separate"/>
      </w:r>
      <w:bookmarkStart w:id="6450" w:name="_Caption6533"/>
      <w:bookmarkStart w:id="6451" w:name="_Caption7338"/>
      <w:bookmarkStart w:id="6452" w:name="_Caption7100"/>
      <w:bookmarkStart w:id="6453" w:name="_Caption4533"/>
      <w:bookmarkStart w:id="6454" w:name="_Caption6401"/>
      <w:bookmarkStart w:id="6455" w:name="_Caption9783"/>
      <w:bookmarkStart w:id="6456" w:name="_Caption2914"/>
      <w:bookmarkStart w:id="6457" w:name="_Caption2665"/>
      <w:bookmarkStart w:id="6458" w:name="_Caption7360"/>
      <w:bookmarkStart w:id="6459" w:name="_Caption0210"/>
      <w:bookmarkStart w:id="6460" w:name="_Caption8876"/>
      <w:bookmarkStart w:id="6461" w:name="_Caption4717"/>
      <w:bookmarkStart w:id="6462" w:name="_Caption8830"/>
      <w:bookmarkStart w:id="6463" w:name="_Caption4250"/>
      <w:bookmarkStart w:id="6464" w:name="_Caption8065"/>
      <w:bookmarkStart w:id="6465" w:name="_Caption9606"/>
      <w:bookmarkStart w:id="6466" w:name="_Caption2472"/>
      <w:bookmarkStart w:id="6467" w:name="_Caption3600"/>
      <w:bookmarkStart w:id="6468" w:name="_Toc44598564"/>
      <w:bookmarkStart w:id="6469" w:name="_Toc45654195"/>
      <w:bookmarkStart w:id="6470" w:name="_Toc31986670"/>
      <w:r w:rsidR="00272AF3">
        <w:rPr>
          <w:noProof/>
        </w:rPr>
        <w:t>A</w:t>
      </w:r>
      <w:r w:rsidR="00272AF3" w:rsidRPr="00DF68F3">
        <w:rPr>
          <w:noProof/>
        </w:rPr>
        <w:t>.</w:t>
      </w:r>
      <w:r w:rsidR="00272AF3">
        <w:rPr>
          <w:noProof/>
        </w:rPr>
        <w:t>4</w:t>
      </w:r>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r w:rsidRPr="00DF68F3">
        <w:fldChar w:fldCharType="end"/>
      </w:r>
      <w:r w:rsidRPr="00695C93">
        <w:tab/>
      </w:r>
      <w:r>
        <w:t>Additional deaths from falls due to inaccessible housing</w:t>
      </w:r>
      <w:bookmarkEnd w:id="6468"/>
      <w:bookmarkEnd w:id="6469"/>
    </w:p>
    <w:tbl>
      <w:tblPr>
        <w:tblStyle w:val="TableGridLight"/>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A.4"/>
        <w:tblDescription w:val="Additional deaths from falls due to inaccessible housing"/>
      </w:tblPr>
      <w:tblGrid>
        <w:gridCol w:w="1134"/>
        <w:gridCol w:w="993"/>
        <w:gridCol w:w="919"/>
        <w:gridCol w:w="1032"/>
        <w:gridCol w:w="1025"/>
        <w:gridCol w:w="993"/>
        <w:gridCol w:w="1001"/>
        <w:gridCol w:w="983"/>
      </w:tblGrid>
      <w:tr w:rsidR="005E6E64" w:rsidTr="0081242E">
        <w:trPr>
          <w:trHeight w:val="579"/>
          <w:tblHeader/>
        </w:trPr>
        <w:tc>
          <w:tcPr>
            <w:tcW w:w="1134" w:type="dxa"/>
            <w:shd w:val="clear" w:color="auto" w:fill="6F6652" w:themeFill="accent5"/>
          </w:tcPr>
          <w:p w:rsidR="005E6E64" w:rsidRDefault="005E6E64" w:rsidP="005E6E64">
            <w:pPr>
              <w:pStyle w:val="TableDataColumnHeading"/>
              <w:spacing w:before="0"/>
              <w:jc w:val="left"/>
              <w:rPr>
                <w:lang w:val="en-GB"/>
              </w:rPr>
            </w:pPr>
            <w:r>
              <w:rPr>
                <w:lang w:val="en-GB"/>
              </w:rPr>
              <w:t>Age group</w:t>
            </w:r>
          </w:p>
        </w:tc>
        <w:tc>
          <w:tcPr>
            <w:tcW w:w="993" w:type="dxa"/>
            <w:shd w:val="clear" w:color="auto" w:fill="6F6652" w:themeFill="accent5"/>
          </w:tcPr>
          <w:p w:rsidR="005E6E64" w:rsidRDefault="005E6E64" w:rsidP="005E6E64">
            <w:pPr>
              <w:pStyle w:val="TableDataColumnHeading"/>
              <w:spacing w:before="0"/>
              <w:rPr>
                <w:lang w:val="en-GB"/>
              </w:rPr>
            </w:pPr>
            <w:r>
              <w:rPr>
                <w:lang w:val="en-GB"/>
              </w:rPr>
              <w:t>Population affected</w:t>
            </w:r>
            <w:r w:rsidRPr="00F84654">
              <w:rPr>
                <w:rStyle w:val="NoteLabel"/>
                <w:color w:val="FFFFFF" w:themeColor="background1"/>
              </w:rPr>
              <w:t>a</w:t>
            </w:r>
            <w:r>
              <w:rPr>
                <w:rStyle w:val="NoteLabel"/>
                <w:color w:val="FFFFFF" w:themeColor="background1"/>
              </w:rPr>
              <w:br/>
            </w:r>
            <w:r>
              <w:rPr>
                <w:rStyle w:val="NoteLabel"/>
                <w:color w:val="FFFFFF" w:themeColor="background1"/>
              </w:rPr>
              <w:br/>
            </w:r>
            <w:r>
              <w:rPr>
                <w:rStyle w:val="NoteLabel"/>
                <w:color w:val="FFFFFF" w:themeColor="background1"/>
              </w:rPr>
              <w:br/>
            </w:r>
            <w:r>
              <w:rPr>
                <w:rStyle w:val="NoteLabel"/>
                <w:color w:val="FFFFFF" w:themeColor="background1"/>
              </w:rPr>
              <w:br/>
            </w:r>
            <w:r>
              <w:rPr>
                <w:rStyle w:val="NoteLabel"/>
                <w:color w:val="FFFFFF" w:themeColor="background1"/>
              </w:rPr>
              <w:br/>
            </w:r>
            <w:r>
              <w:rPr>
                <w:rStyle w:val="NoteLabel"/>
                <w:color w:val="FFFFFF" w:themeColor="background1"/>
              </w:rPr>
              <w:br/>
              <w:t>(‘000)</w:t>
            </w:r>
          </w:p>
        </w:tc>
        <w:tc>
          <w:tcPr>
            <w:tcW w:w="919" w:type="dxa"/>
            <w:shd w:val="clear" w:color="auto" w:fill="6F6652" w:themeFill="accent5"/>
          </w:tcPr>
          <w:p w:rsidR="005E6E64" w:rsidRDefault="005E6E64" w:rsidP="005E6E64">
            <w:pPr>
              <w:pStyle w:val="TableDataColumnHeading"/>
              <w:spacing w:before="0"/>
              <w:rPr>
                <w:lang w:val="en-GB"/>
              </w:rPr>
            </w:pPr>
            <w:r>
              <w:rPr>
                <w:lang w:val="en-GB"/>
              </w:rPr>
              <w:t>Death rate from falls</w:t>
            </w:r>
            <w:r w:rsidRPr="00F84654">
              <w:rPr>
                <w:rStyle w:val="NoteLabel"/>
                <w:color w:val="FFFFFF" w:themeColor="background1"/>
              </w:rPr>
              <w:t>b</w:t>
            </w:r>
            <w:r>
              <w:rPr>
                <w:rStyle w:val="NoteLabel"/>
                <w:color w:val="FFFFFF" w:themeColor="background1"/>
              </w:rPr>
              <w:br/>
            </w:r>
            <w:r>
              <w:rPr>
                <w:rStyle w:val="NoteLabel"/>
                <w:color w:val="FFFFFF" w:themeColor="background1"/>
              </w:rPr>
              <w:br/>
            </w:r>
            <w:r>
              <w:rPr>
                <w:rStyle w:val="NoteLabel"/>
                <w:color w:val="FFFFFF" w:themeColor="background1"/>
              </w:rPr>
              <w:br/>
            </w:r>
            <w:r>
              <w:rPr>
                <w:rStyle w:val="NoteLabel"/>
                <w:color w:val="FFFFFF" w:themeColor="background1"/>
              </w:rPr>
              <w:br/>
              <w:t>(Rate per 100 000)</w:t>
            </w:r>
          </w:p>
        </w:tc>
        <w:tc>
          <w:tcPr>
            <w:tcW w:w="1032" w:type="dxa"/>
            <w:shd w:val="clear" w:color="auto" w:fill="6F6652" w:themeFill="accent5"/>
          </w:tcPr>
          <w:p w:rsidR="005E6E64" w:rsidRDefault="005E6E64" w:rsidP="005E6E64">
            <w:pPr>
              <w:pStyle w:val="TableDataColumnHeading"/>
              <w:spacing w:before="0"/>
              <w:rPr>
                <w:lang w:val="en-GB"/>
              </w:rPr>
            </w:pPr>
            <w:r>
              <w:rPr>
                <w:lang w:val="en-GB"/>
              </w:rPr>
              <w:t>Death rate from falls at home</w:t>
            </w:r>
            <w:r w:rsidRPr="00F84654">
              <w:rPr>
                <w:rStyle w:val="NoteLabel"/>
                <w:color w:val="FFFFFF" w:themeColor="background1"/>
              </w:rPr>
              <w:t>c</w:t>
            </w:r>
            <w:r>
              <w:rPr>
                <w:rStyle w:val="NoteLabel"/>
                <w:color w:val="FFFFFF" w:themeColor="background1"/>
              </w:rPr>
              <w:br/>
            </w:r>
            <w:r>
              <w:rPr>
                <w:rStyle w:val="NoteLabel"/>
                <w:color w:val="FFFFFF" w:themeColor="background1"/>
              </w:rPr>
              <w:br/>
            </w:r>
            <w:r>
              <w:rPr>
                <w:rStyle w:val="NoteLabel"/>
                <w:color w:val="FFFFFF" w:themeColor="background1"/>
              </w:rPr>
              <w:br/>
            </w:r>
            <w:r>
              <w:rPr>
                <w:rStyle w:val="NoteLabel"/>
                <w:color w:val="FFFFFF" w:themeColor="background1"/>
              </w:rPr>
              <w:br/>
              <w:t>(Rate per 100 000)</w:t>
            </w:r>
          </w:p>
        </w:tc>
        <w:tc>
          <w:tcPr>
            <w:tcW w:w="1025" w:type="dxa"/>
            <w:shd w:val="clear" w:color="auto" w:fill="6F6652" w:themeFill="accent5"/>
          </w:tcPr>
          <w:p w:rsidR="005E6E64" w:rsidRDefault="005E6E64" w:rsidP="005E6E64">
            <w:pPr>
              <w:pStyle w:val="TableDataColumnHeading"/>
              <w:spacing w:before="0"/>
              <w:rPr>
                <w:lang w:val="en-GB"/>
              </w:rPr>
            </w:pPr>
            <w:r>
              <w:rPr>
                <w:lang w:val="en-GB"/>
              </w:rPr>
              <w:t>Implied number of falls – baseline</w:t>
            </w:r>
            <w:r>
              <w:rPr>
                <w:lang w:val="en-GB"/>
              </w:rPr>
              <w:br/>
            </w:r>
            <w:r>
              <w:rPr>
                <w:lang w:val="en-GB"/>
              </w:rPr>
              <w:br/>
            </w:r>
            <w:r>
              <w:rPr>
                <w:lang w:val="en-GB"/>
              </w:rPr>
              <w:br/>
            </w:r>
            <w:r>
              <w:rPr>
                <w:lang w:val="en-GB"/>
              </w:rPr>
              <w:br/>
              <w:t>(No.)</w:t>
            </w:r>
          </w:p>
        </w:tc>
        <w:tc>
          <w:tcPr>
            <w:tcW w:w="993" w:type="dxa"/>
            <w:shd w:val="clear" w:color="auto" w:fill="6F6652" w:themeFill="accent5"/>
          </w:tcPr>
          <w:p w:rsidR="005E6E64" w:rsidRPr="005E6E64" w:rsidRDefault="005E6E64" w:rsidP="0081242E">
            <w:pPr>
              <w:pStyle w:val="TableDataColumnHeading"/>
              <w:spacing w:before="0"/>
            </w:pPr>
            <w:r>
              <w:rPr>
                <w:lang w:val="en-GB"/>
              </w:rPr>
              <w:t>Additional deaths due to inaccessible housing: Low estimate</w:t>
            </w:r>
            <w:r w:rsidRPr="00F84654">
              <w:rPr>
                <w:rStyle w:val="NoteLabel"/>
                <w:color w:val="FFFFFF" w:themeColor="background1"/>
              </w:rPr>
              <w:t>d</w:t>
            </w:r>
            <w:r>
              <w:rPr>
                <w:rStyle w:val="NoteLabel"/>
                <w:color w:val="FFFFFF" w:themeColor="background1"/>
              </w:rPr>
              <w:br/>
            </w:r>
            <w:r>
              <w:rPr>
                <w:lang w:val="en-GB"/>
              </w:rPr>
              <w:t>(No.)</w:t>
            </w:r>
          </w:p>
        </w:tc>
        <w:tc>
          <w:tcPr>
            <w:tcW w:w="1001" w:type="dxa"/>
            <w:shd w:val="clear" w:color="auto" w:fill="6F6652" w:themeFill="accent5"/>
          </w:tcPr>
          <w:p w:rsidR="005E6E64" w:rsidRDefault="005E6E64" w:rsidP="005E6E64">
            <w:pPr>
              <w:pStyle w:val="TableDataColumnHeading"/>
              <w:spacing w:before="0"/>
              <w:rPr>
                <w:lang w:val="en-GB"/>
              </w:rPr>
            </w:pPr>
            <w:r>
              <w:rPr>
                <w:lang w:val="en-GB"/>
              </w:rPr>
              <w:t xml:space="preserve">Additional deaths due to inaccessible housing: Central case </w:t>
            </w:r>
            <w:r>
              <w:rPr>
                <w:rStyle w:val="NoteLabel"/>
                <w:color w:val="FFFFFF" w:themeColor="background1"/>
              </w:rPr>
              <w:t xml:space="preserve">e </w:t>
            </w:r>
            <w:r>
              <w:rPr>
                <w:rStyle w:val="NoteLabel"/>
                <w:color w:val="FFFFFF" w:themeColor="background1"/>
              </w:rPr>
              <w:br/>
            </w:r>
            <w:r>
              <w:rPr>
                <w:lang w:val="en-GB"/>
              </w:rPr>
              <w:t>(No.)</w:t>
            </w:r>
          </w:p>
        </w:tc>
        <w:tc>
          <w:tcPr>
            <w:tcW w:w="983" w:type="dxa"/>
            <w:shd w:val="clear" w:color="auto" w:fill="6F6652" w:themeFill="accent5"/>
          </w:tcPr>
          <w:p w:rsidR="005E6E64" w:rsidRDefault="005E6E64" w:rsidP="0081242E">
            <w:pPr>
              <w:pStyle w:val="TableDataColumnHeading"/>
              <w:spacing w:before="0"/>
              <w:rPr>
                <w:lang w:val="en-GB"/>
              </w:rPr>
            </w:pPr>
            <w:r>
              <w:rPr>
                <w:lang w:val="en-GB"/>
              </w:rPr>
              <w:t>Additional deaths due to inaccessible housing: High estimate</w:t>
            </w:r>
            <w:r w:rsidRPr="00F84654">
              <w:rPr>
                <w:rStyle w:val="NoteLabel"/>
                <w:color w:val="FFFFFF" w:themeColor="background1"/>
              </w:rPr>
              <w:t>f</w:t>
            </w:r>
            <w:r>
              <w:rPr>
                <w:rStyle w:val="NoteLabel"/>
                <w:color w:val="FFFFFF" w:themeColor="background1"/>
              </w:rPr>
              <w:t xml:space="preserve"> </w:t>
            </w:r>
            <w:r>
              <w:rPr>
                <w:rStyle w:val="NoteLabel"/>
                <w:color w:val="FFFFFF" w:themeColor="background1"/>
              </w:rPr>
              <w:br/>
            </w:r>
            <w:r>
              <w:rPr>
                <w:lang w:val="en-GB"/>
              </w:rPr>
              <w:t>(No.)</w:t>
            </w:r>
          </w:p>
        </w:tc>
      </w:tr>
      <w:tr w:rsidR="007C6A5F" w:rsidTr="00290DC7">
        <w:trPr>
          <w:trHeight w:val="230"/>
        </w:trPr>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0-14 years</w:t>
            </w:r>
          </w:p>
        </w:tc>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19.9</w:t>
            </w:r>
          </w:p>
        </w:tc>
        <w:tc>
          <w:tcPr>
            <w:tcW w:w="9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10.6</w:t>
            </w:r>
          </w:p>
        </w:tc>
        <w:tc>
          <w:tcPr>
            <w:tcW w:w="103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3.5</w:t>
            </w:r>
          </w:p>
        </w:tc>
        <w:tc>
          <w:tcPr>
            <w:tcW w:w="102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0.7</w:t>
            </w:r>
          </w:p>
        </w:tc>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0.2</w:t>
            </w:r>
          </w:p>
        </w:tc>
        <w:tc>
          <w:tcPr>
            <w:tcW w:w="10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0.3</w:t>
            </w:r>
          </w:p>
        </w:tc>
        <w:tc>
          <w:tcPr>
            <w:tcW w:w="98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0.3</w:t>
            </w:r>
          </w:p>
        </w:tc>
      </w:tr>
      <w:tr w:rsidR="007C6A5F" w:rsidTr="00290DC7">
        <w:trPr>
          <w:trHeight w:val="230"/>
        </w:trPr>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15-24 years</w:t>
            </w:r>
          </w:p>
        </w:tc>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14.2</w:t>
            </w:r>
          </w:p>
        </w:tc>
        <w:tc>
          <w:tcPr>
            <w:tcW w:w="9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10.6</w:t>
            </w:r>
          </w:p>
        </w:tc>
        <w:tc>
          <w:tcPr>
            <w:tcW w:w="103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3.5</w:t>
            </w:r>
          </w:p>
        </w:tc>
        <w:tc>
          <w:tcPr>
            <w:tcW w:w="102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0.5</w:t>
            </w:r>
          </w:p>
        </w:tc>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0.1</w:t>
            </w:r>
          </w:p>
        </w:tc>
        <w:tc>
          <w:tcPr>
            <w:tcW w:w="10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0.2</w:t>
            </w:r>
          </w:p>
        </w:tc>
        <w:tc>
          <w:tcPr>
            <w:tcW w:w="98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0.2</w:t>
            </w:r>
          </w:p>
        </w:tc>
      </w:tr>
      <w:tr w:rsidR="007C6A5F" w:rsidTr="00290DC7">
        <w:trPr>
          <w:trHeight w:val="230"/>
        </w:trPr>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25-34 years</w:t>
            </w:r>
          </w:p>
        </w:tc>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20.3</w:t>
            </w:r>
          </w:p>
        </w:tc>
        <w:tc>
          <w:tcPr>
            <w:tcW w:w="9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10.6</w:t>
            </w:r>
          </w:p>
        </w:tc>
        <w:tc>
          <w:tcPr>
            <w:tcW w:w="103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3.5</w:t>
            </w:r>
          </w:p>
        </w:tc>
        <w:tc>
          <w:tcPr>
            <w:tcW w:w="102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0.7</w:t>
            </w:r>
          </w:p>
        </w:tc>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0.2</w:t>
            </w:r>
          </w:p>
        </w:tc>
        <w:tc>
          <w:tcPr>
            <w:tcW w:w="10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0.3</w:t>
            </w:r>
          </w:p>
        </w:tc>
        <w:tc>
          <w:tcPr>
            <w:tcW w:w="98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0.3</w:t>
            </w:r>
          </w:p>
        </w:tc>
      </w:tr>
      <w:tr w:rsidR="007C6A5F" w:rsidTr="00290DC7">
        <w:trPr>
          <w:trHeight w:val="230"/>
        </w:trPr>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35-44 years</w:t>
            </w:r>
          </w:p>
        </w:tc>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28.2</w:t>
            </w:r>
          </w:p>
        </w:tc>
        <w:tc>
          <w:tcPr>
            <w:tcW w:w="9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10.6</w:t>
            </w:r>
          </w:p>
        </w:tc>
        <w:tc>
          <w:tcPr>
            <w:tcW w:w="103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3.5</w:t>
            </w:r>
          </w:p>
        </w:tc>
        <w:tc>
          <w:tcPr>
            <w:tcW w:w="102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1.0</w:t>
            </w:r>
          </w:p>
        </w:tc>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0.3</w:t>
            </w:r>
          </w:p>
        </w:tc>
        <w:tc>
          <w:tcPr>
            <w:tcW w:w="10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0.4</w:t>
            </w:r>
          </w:p>
        </w:tc>
        <w:tc>
          <w:tcPr>
            <w:tcW w:w="98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0.5</w:t>
            </w:r>
          </w:p>
        </w:tc>
      </w:tr>
      <w:tr w:rsidR="007C6A5F" w:rsidTr="00290DC7">
        <w:trPr>
          <w:trHeight w:val="230"/>
        </w:trPr>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45-54 years</w:t>
            </w:r>
          </w:p>
        </w:tc>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48.4</w:t>
            </w:r>
          </w:p>
        </w:tc>
        <w:tc>
          <w:tcPr>
            <w:tcW w:w="9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10.6</w:t>
            </w:r>
          </w:p>
        </w:tc>
        <w:tc>
          <w:tcPr>
            <w:tcW w:w="103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3.5</w:t>
            </w:r>
          </w:p>
        </w:tc>
        <w:tc>
          <w:tcPr>
            <w:tcW w:w="102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1.7</w:t>
            </w:r>
          </w:p>
        </w:tc>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0.5</w:t>
            </w:r>
          </w:p>
        </w:tc>
        <w:tc>
          <w:tcPr>
            <w:tcW w:w="10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0.6</w:t>
            </w:r>
          </w:p>
        </w:tc>
        <w:tc>
          <w:tcPr>
            <w:tcW w:w="98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0.8</w:t>
            </w:r>
          </w:p>
        </w:tc>
      </w:tr>
      <w:tr w:rsidR="007C6A5F" w:rsidTr="00290DC7">
        <w:trPr>
          <w:trHeight w:val="230"/>
        </w:trPr>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55-64 years</w:t>
            </w:r>
          </w:p>
        </w:tc>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66.6</w:t>
            </w:r>
          </w:p>
        </w:tc>
        <w:tc>
          <w:tcPr>
            <w:tcW w:w="9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10.6</w:t>
            </w:r>
          </w:p>
        </w:tc>
        <w:tc>
          <w:tcPr>
            <w:tcW w:w="103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3.5</w:t>
            </w:r>
          </w:p>
        </w:tc>
        <w:tc>
          <w:tcPr>
            <w:tcW w:w="102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2.3</w:t>
            </w:r>
          </w:p>
        </w:tc>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0.6</w:t>
            </w:r>
          </w:p>
        </w:tc>
        <w:tc>
          <w:tcPr>
            <w:tcW w:w="10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0.9</w:t>
            </w:r>
          </w:p>
        </w:tc>
        <w:tc>
          <w:tcPr>
            <w:tcW w:w="98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1.1</w:t>
            </w:r>
          </w:p>
        </w:tc>
      </w:tr>
      <w:tr w:rsidR="007C6A5F" w:rsidTr="00290DC7">
        <w:trPr>
          <w:trHeight w:val="230"/>
        </w:trPr>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65-74 years</w:t>
            </w:r>
          </w:p>
        </w:tc>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58.7</w:t>
            </w:r>
          </w:p>
        </w:tc>
        <w:tc>
          <w:tcPr>
            <w:tcW w:w="9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10.6</w:t>
            </w:r>
          </w:p>
        </w:tc>
        <w:tc>
          <w:tcPr>
            <w:tcW w:w="103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3.5</w:t>
            </w:r>
          </w:p>
        </w:tc>
        <w:tc>
          <w:tcPr>
            <w:tcW w:w="102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2.0</w:t>
            </w:r>
          </w:p>
        </w:tc>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0.6</w:t>
            </w:r>
          </w:p>
        </w:tc>
        <w:tc>
          <w:tcPr>
            <w:tcW w:w="10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0.8</w:t>
            </w:r>
          </w:p>
        </w:tc>
        <w:tc>
          <w:tcPr>
            <w:tcW w:w="98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0.9</w:t>
            </w:r>
          </w:p>
        </w:tc>
      </w:tr>
      <w:tr w:rsidR="007C6A5F" w:rsidTr="00290DC7">
        <w:trPr>
          <w:trHeight w:val="230"/>
        </w:trPr>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75-84 years</w:t>
            </w:r>
          </w:p>
        </w:tc>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44.1</w:t>
            </w:r>
          </w:p>
        </w:tc>
        <w:tc>
          <w:tcPr>
            <w:tcW w:w="9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69.6</w:t>
            </w:r>
          </w:p>
        </w:tc>
        <w:tc>
          <w:tcPr>
            <w:tcW w:w="103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22.8</w:t>
            </w:r>
          </w:p>
        </w:tc>
        <w:tc>
          <w:tcPr>
            <w:tcW w:w="102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10.1</w:t>
            </w:r>
          </w:p>
        </w:tc>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2.7</w:t>
            </w:r>
          </w:p>
        </w:tc>
        <w:tc>
          <w:tcPr>
            <w:tcW w:w="10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3.7</w:t>
            </w:r>
          </w:p>
        </w:tc>
        <w:tc>
          <w:tcPr>
            <w:tcW w:w="98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4.6</w:t>
            </w:r>
          </w:p>
        </w:tc>
      </w:tr>
      <w:tr w:rsidR="007C6A5F" w:rsidTr="00290DC7">
        <w:trPr>
          <w:trHeight w:val="230"/>
        </w:trPr>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85-94 years</w:t>
            </w:r>
          </w:p>
        </w:tc>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20.7</w:t>
            </w:r>
          </w:p>
        </w:tc>
        <w:tc>
          <w:tcPr>
            <w:tcW w:w="9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345.8</w:t>
            </w:r>
          </w:p>
        </w:tc>
        <w:tc>
          <w:tcPr>
            <w:tcW w:w="103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113.4</w:t>
            </w:r>
          </w:p>
        </w:tc>
        <w:tc>
          <w:tcPr>
            <w:tcW w:w="102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23.5</w:t>
            </w:r>
          </w:p>
        </w:tc>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6.3</w:t>
            </w:r>
          </w:p>
        </w:tc>
        <w:tc>
          <w:tcPr>
            <w:tcW w:w="10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8.7</w:t>
            </w:r>
          </w:p>
        </w:tc>
        <w:tc>
          <w:tcPr>
            <w:tcW w:w="98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10.8</w:t>
            </w:r>
          </w:p>
        </w:tc>
      </w:tr>
      <w:tr w:rsidR="007C6A5F" w:rsidTr="00290DC7">
        <w:trPr>
          <w:trHeight w:val="230"/>
        </w:trPr>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95+ years</w:t>
            </w:r>
          </w:p>
        </w:tc>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4.0</w:t>
            </w:r>
          </w:p>
        </w:tc>
        <w:tc>
          <w:tcPr>
            <w:tcW w:w="9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1 139.2</w:t>
            </w:r>
          </w:p>
        </w:tc>
        <w:tc>
          <w:tcPr>
            <w:tcW w:w="103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373.7</w:t>
            </w:r>
          </w:p>
        </w:tc>
        <w:tc>
          <w:tcPr>
            <w:tcW w:w="102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14.9</w:t>
            </w:r>
          </w:p>
        </w:tc>
        <w:tc>
          <w:tcPr>
            <w:tcW w:w="9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4.0</w:t>
            </w:r>
          </w:p>
        </w:tc>
        <w:tc>
          <w:tcPr>
            <w:tcW w:w="10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5.5</w:t>
            </w:r>
          </w:p>
        </w:tc>
        <w:tc>
          <w:tcPr>
            <w:tcW w:w="98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6.9</w:t>
            </w:r>
          </w:p>
        </w:tc>
      </w:tr>
      <w:tr w:rsidR="007C6A5F" w:rsidRPr="00C87D2E" w:rsidTr="00290DC7">
        <w:trPr>
          <w:trHeight w:val="230"/>
        </w:trPr>
        <w:tc>
          <w:tcPr>
            <w:tcW w:w="1134" w:type="dxa"/>
            <w:tcBorders>
              <w:top w:val="single" w:sz="8" w:space="0" w:color="FFFFFF" w:themeColor="background1"/>
              <w:bottom w:val="single" w:sz="4" w:space="0" w:color="6F6652" w:themeColor="accent5"/>
            </w:tcBorders>
            <w:shd w:val="clear" w:color="auto" w:fill="C2DADB" w:themeFill="accent6" w:themeFillTint="99"/>
          </w:tcPr>
          <w:p w:rsidR="007C6A5F" w:rsidRPr="00C87D2E" w:rsidRDefault="007C6A5F" w:rsidP="00C36DA4">
            <w:pPr>
              <w:pStyle w:val="TableDataEntries"/>
              <w:jc w:val="left"/>
              <w:rPr>
                <w:rFonts w:ascii="Franklin Gothic Demi" w:hAnsi="Franklin Gothic Demi"/>
                <w:lang w:val="en-GB"/>
              </w:rPr>
            </w:pPr>
            <w:r w:rsidRPr="00C87D2E">
              <w:rPr>
                <w:rFonts w:ascii="Franklin Gothic Demi" w:hAnsi="Franklin Gothic Demi"/>
                <w:lang w:val="en-GB"/>
              </w:rPr>
              <w:t>Total</w:t>
            </w:r>
          </w:p>
        </w:tc>
        <w:tc>
          <w:tcPr>
            <w:tcW w:w="993" w:type="dxa"/>
            <w:tcBorders>
              <w:top w:val="single" w:sz="8" w:space="0" w:color="FFFFFF" w:themeColor="background1"/>
              <w:bottom w:val="single" w:sz="4" w:space="0" w:color="6F6652" w:themeColor="accent5"/>
            </w:tcBorders>
            <w:shd w:val="clear" w:color="auto" w:fill="C2DADB" w:themeFill="accent6" w:themeFillTint="99"/>
          </w:tcPr>
          <w:p w:rsidR="007C6A5F" w:rsidRPr="00C87D2E" w:rsidRDefault="007C6A5F" w:rsidP="00C36DA4">
            <w:pPr>
              <w:pStyle w:val="TableDataEntries"/>
              <w:rPr>
                <w:rFonts w:ascii="Franklin Gothic Demi" w:hAnsi="Franklin Gothic Demi"/>
                <w:lang w:val="en-GB"/>
              </w:rPr>
            </w:pPr>
            <w:r w:rsidRPr="00C87D2E">
              <w:rPr>
                <w:rFonts w:ascii="Franklin Gothic Demi" w:hAnsi="Franklin Gothic Demi"/>
                <w:lang w:val="en-GB"/>
              </w:rPr>
              <w:t xml:space="preserve"> 325.1</w:t>
            </w:r>
          </w:p>
        </w:tc>
        <w:tc>
          <w:tcPr>
            <w:tcW w:w="919" w:type="dxa"/>
            <w:tcBorders>
              <w:top w:val="single" w:sz="8" w:space="0" w:color="FFFFFF" w:themeColor="background1"/>
              <w:bottom w:val="single" w:sz="4" w:space="0" w:color="6F6652" w:themeColor="accent5"/>
            </w:tcBorders>
            <w:shd w:val="clear" w:color="auto" w:fill="C2DADB" w:themeFill="accent6" w:themeFillTint="99"/>
          </w:tcPr>
          <w:p w:rsidR="007C6A5F" w:rsidRPr="00C87D2E" w:rsidRDefault="007C6A5F" w:rsidP="00C36DA4">
            <w:pPr>
              <w:pStyle w:val="TableDataEntries"/>
              <w:rPr>
                <w:rFonts w:ascii="Franklin Gothic Demi" w:hAnsi="Franklin Gothic Demi"/>
                <w:lang w:val="en-GB"/>
              </w:rPr>
            </w:pPr>
          </w:p>
        </w:tc>
        <w:tc>
          <w:tcPr>
            <w:tcW w:w="1032" w:type="dxa"/>
            <w:tcBorders>
              <w:top w:val="single" w:sz="8" w:space="0" w:color="FFFFFF" w:themeColor="background1"/>
              <w:bottom w:val="single" w:sz="4" w:space="0" w:color="6F6652" w:themeColor="accent5"/>
            </w:tcBorders>
            <w:shd w:val="clear" w:color="auto" w:fill="C2DADB" w:themeFill="accent6" w:themeFillTint="99"/>
          </w:tcPr>
          <w:p w:rsidR="007C6A5F" w:rsidRPr="00C87D2E" w:rsidRDefault="007C6A5F" w:rsidP="00C36DA4">
            <w:pPr>
              <w:pStyle w:val="TableDataEntries"/>
              <w:rPr>
                <w:rFonts w:ascii="Franklin Gothic Demi" w:hAnsi="Franklin Gothic Demi"/>
                <w:lang w:val="en-GB"/>
              </w:rPr>
            </w:pPr>
          </w:p>
        </w:tc>
        <w:tc>
          <w:tcPr>
            <w:tcW w:w="1025" w:type="dxa"/>
            <w:tcBorders>
              <w:top w:val="single" w:sz="8" w:space="0" w:color="FFFFFF" w:themeColor="background1"/>
              <w:bottom w:val="single" w:sz="4" w:space="0" w:color="6F6652" w:themeColor="accent5"/>
            </w:tcBorders>
            <w:shd w:val="clear" w:color="auto" w:fill="C2DADB" w:themeFill="accent6" w:themeFillTint="99"/>
          </w:tcPr>
          <w:p w:rsidR="007C6A5F" w:rsidRPr="00C87D2E" w:rsidRDefault="007C6A5F" w:rsidP="00C36DA4">
            <w:pPr>
              <w:pStyle w:val="TableDataEntries"/>
              <w:rPr>
                <w:rFonts w:ascii="Franklin Gothic Demi" w:hAnsi="Franklin Gothic Demi"/>
                <w:lang w:val="en-GB"/>
              </w:rPr>
            </w:pPr>
            <w:r w:rsidRPr="00C87D2E">
              <w:rPr>
                <w:rFonts w:ascii="Franklin Gothic Demi" w:hAnsi="Franklin Gothic Demi"/>
                <w:lang w:val="en-GB"/>
              </w:rPr>
              <w:t xml:space="preserve"> 57.4</w:t>
            </w:r>
          </w:p>
        </w:tc>
        <w:tc>
          <w:tcPr>
            <w:tcW w:w="993" w:type="dxa"/>
            <w:tcBorders>
              <w:top w:val="single" w:sz="8" w:space="0" w:color="FFFFFF" w:themeColor="background1"/>
              <w:bottom w:val="single" w:sz="4" w:space="0" w:color="6F6652" w:themeColor="accent5"/>
            </w:tcBorders>
            <w:shd w:val="clear" w:color="auto" w:fill="C2DADB" w:themeFill="accent6" w:themeFillTint="99"/>
          </w:tcPr>
          <w:p w:rsidR="007C6A5F" w:rsidRPr="00C87D2E" w:rsidRDefault="007C6A5F" w:rsidP="00C36DA4">
            <w:pPr>
              <w:pStyle w:val="TableDataEntries"/>
              <w:rPr>
                <w:rFonts w:ascii="Franklin Gothic Demi" w:hAnsi="Franklin Gothic Demi"/>
                <w:lang w:val="en-GB"/>
              </w:rPr>
            </w:pPr>
            <w:r w:rsidRPr="00C87D2E">
              <w:rPr>
                <w:rFonts w:ascii="Franklin Gothic Demi" w:hAnsi="Franklin Gothic Demi"/>
                <w:lang w:val="en-GB"/>
              </w:rPr>
              <w:t xml:space="preserve"> 15.5</w:t>
            </w:r>
          </w:p>
        </w:tc>
        <w:tc>
          <w:tcPr>
            <w:tcW w:w="1001" w:type="dxa"/>
            <w:tcBorders>
              <w:top w:val="single" w:sz="8" w:space="0" w:color="FFFFFF" w:themeColor="background1"/>
              <w:bottom w:val="single" w:sz="4" w:space="0" w:color="6F6652" w:themeColor="accent5"/>
            </w:tcBorders>
            <w:shd w:val="clear" w:color="auto" w:fill="C2DADB" w:themeFill="accent6" w:themeFillTint="99"/>
          </w:tcPr>
          <w:p w:rsidR="007C6A5F" w:rsidRPr="00C87D2E" w:rsidRDefault="007C6A5F" w:rsidP="00C36DA4">
            <w:pPr>
              <w:pStyle w:val="TableDataEntries"/>
              <w:rPr>
                <w:rFonts w:ascii="Franklin Gothic Demi" w:hAnsi="Franklin Gothic Demi"/>
                <w:lang w:val="en-GB"/>
              </w:rPr>
            </w:pPr>
            <w:r w:rsidRPr="00C87D2E">
              <w:rPr>
                <w:rFonts w:ascii="Franklin Gothic Demi" w:hAnsi="Franklin Gothic Demi"/>
                <w:lang w:val="en-GB"/>
              </w:rPr>
              <w:t xml:space="preserve"> 21.2</w:t>
            </w:r>
          </w:p>
        </w:tc>
        <w:tc>
          <w:tcPr>
            <w:tcW w:w="983" w:type="dxa"/>
            <w:tcBorders>
              <w:top w:val="single" w:sz="8" w:space="0" w:color="FFFFFF" w:themeColor="background1"/>
              <w:bottom w:val="single" w:sz="4" w:space="0" w:color="6F6652" w:themeColor="accent5"/>
            </w:tcBorders>
            <w:shd w:val="clear" w:color="auto" w:fill="C2DADB" w:themeFill="accent6" w:themeFillTint="99"/>
          </w:tcPr>
          <w:p w:rsidR="007C6A5F" w:rsidRPr="00C87D2E" w:rsidRDefault="007C6A5F" w:rsidP="00C36DA4">
            <w:pPr>
              <w:pStyle w:val="TableDataEntries"/>
              <w:rPr>
                <w:rFonts w:ascii="Franklin Gothic Demi" w:hAnsi="Franklin Gothic Demi"/>
                <w:lang w:val="en-GB"/>
              </w:rPr>
            </w:pPr>
            <w:r w:rsidRPr="00C87D2E">
              <w:rPr>
                <w:rFonts w:ascii="Franklin Gothic Demi" w:hAnsi="Franklin Gothic Demi"/>
                <w:lang w:val="en-GB"/>
              </w:rPr>
              <w:t xml:space="preserve"> 26.4</w:t>
            </w:r>
          </w:p>
        </w:tc>
      </w:tr>
    </w:tbl>
    <w:p w:rsidR="007C6A5F" w:rsidRPr="00E4232C" w:rsidRDefault="007C6A5F" w:rsidP="007C6A5F">
      <w:pPr>
        <w:pStyle w:val="Note"/>
      </w:pPr>
      <w:r w:rsidRPr="00F84654">
        <w:rPr>
          <w:rStyle w:val="NoteLabel"/>
          <w:color w:val="000000" w:themeColor="text1"/>
        </w:rPr>
        <w:t>a</w:t>
      </w:r>
      <w:r>
        <w:t xml:space="preserve"> Based on 2018 SDAC data. Population at risk of falls due to inaccessible housing defined as  people that:: have a mobility limitation; either require assistance or have trouble moving around their place of residence; live in a household; and live in a dwelling that has not been modified to meet their needs. </w:t>
      </w:r>
      <w:r w:rsidRPr="00F84654">
        <w:rPr>
          <w:rStyle w:val="NoteLabel"/>
          <w:color w:val="000000" w:themeColor="text1"/>
        </w:rPr>
        <w:t>b</w:t>
      </w:r>
      <w:r>
        <w:t xml:space="preserve"> Based on data from Victoria from 2010</w:t>
      </w:r>
      <w:r>
        <w:noBreakHyphen/>
        <w:t>12 reported in Stathakis, V. Gray, S. and Berecki</w:t>
      </w:r>
      <w:r>
        <w:noBreakHyphen/>
        <w:t xml:space="preserve">Gisolf, J. 2015, p. 6. </w:t>
      </w:r>
      <w:r w:rsidRPr="00F84654">
        <w:rPr>
          <w:rStyle w:val="NoteLabel"/>
          <w:color w:val="000000" w:themeColor="text1"/>
        </w:rPr>
        <w:t>c</w:t>
      </w:r>
      <w:r>
        <w:t xml:space="preserve"> Adjusted based on 32.8 per cent of falls causing death occurring at home as reported in Stathakis, V. Gray, S. and Berecki</w:t>
      </w:r>
      <w:r>
        <w:noBreakHyphen/>
        <w:t xml:space="preserve">Gisolf, J. 2015, p. 2. </w:t>
      </w:r>
      <w:r w:rsidRPr="00F84654">
        <w:rPr>
          <w:rStyle w:val="NoteLabel"/>
          <w:color w:val="000000" w:themeColor="text1"/>
        </w:rPr>
        <w:t>d</w:t>
      </w:r>
      <w:r>
        <w:t xml:space="preserve"> Assumes falls are 27 per cent higher in inaccessible housing. </w:t>
      </w:r>
      <w:r w:rsidRPr="00F84654">
        <w:rPr>
          <w:rStyle w:val="NoteLabel"/>
          <w:color w:val="000000" w:themeColor="text1"/>
        </w:rPr>
        <w:t>e</w:t>
      </w:r>
      <w:r>
        <w:t xml:space="preserve"> Assumes falls are 37 per cent higher in inaccessible housing.  </w:t>
      </w:r>
      <w:r w:rsidR="00F84654">
        <w:rPr>
          <w:rStyle w:val="NoteLabel"/>
          <w:color w:val="000000" w:themeColor="text1"/>
        </w:rPr>
        <w:t>f</w:t>
      </w:r>
      <w:r>
        <w:t xml:space="preserve"> Assumes falls are 46 per cent high in inaccessible housing.   reducing falls by 37 per cent. </w:t>
      </w:r>
    </w:p>
    <w:p w:rsidR="007C6A5F" w:rsidRDefault="007C6A5F" w:rsidP="007C6A5F">
      <w:pPr>
        <w:pStyle w:val="Source"/>
      </w:pPr>
      <w:r>
        <w:rPr>
          <w:i/>
        </w:rPr>
        <w:t>Source</w:t>
      </w:r>
      <w:r w:rsidRPr="00E4232C">
        <w:rPr>
          <w:i/>
        </w:rPr>
        <w:t>:</w:t>
      </w:r>
      <w:r>
        <w:t xml:space="preserve"> ABS Survey of Disability, Ageing and Carers 2018, TableBuilder; Stathakis, V. Gray, S. and Berecki</w:t>
      </w:r>
      <w:r>
        <w:noBreakHyphen/>
        <w:t>Gisolf, J. 2015, “Fall</w:t>
      </w:r>
      <w:r>
        <w:noBreakHyphen/>
        <w:t xml:space="preserve">related injury profile for Victorians aged 65 years and older”, </w:t>
      </w:r>
      <w:r w:rsidRPr="00845C4B">
        <w:rPr>
          <w:i/>
          <w:iCs/>
        </w:rPr>
        <w:t>Hazard</w:t>
      </w:r>
      <w:r>
        <w:t>, Edition No. 80, Summer 2015, Victorian Injury Surveillance Unit, Monash University Accident Research Centre, p. 6, CIE.</w:t>
      </w:r>
    </w:p>
    <w:p w:rsidR="007C6A5F" w:rsidRDefault="007C6A5F" w:rsidP="007C6A5F">
      <w:pPr>
        <w:pStyle w:val="Heading9"/>
        <w:rPr>
          <w:lang w:bidi="fa-IR"/>
        </w:rPr>
      </w:pPr>
      <w:r>
        <w:rPr>
          <w:lang w:bidi="fa-IR"/>
        </w:rPr>
        <w:t>Valuing deaths and other health</w:t>
      </w:r>
      <w:r>
        <w:rPr>
          <w:lang w:bidi="fa-IR"/>
        </w:rPr>
        <w:noBreakHyphen/>
        <w:t>related outcomes</w:t>
      </w:r>
    </w:p>
    <w:p w:rsidR="007C6A5F" w:rsidRDefault="007C6A5F" w:rsidP="007C6A5F">
      <w:pPr>
        <w:pStyle w:val="BodyText"/>
        <w:rPr>
          <w:lang w:bidi="fa-IR"/>
        </w:rPr>
      </w:pPr>
      <w:r>
        <w:rPr>
          <w:lang w:bidi="fa-IR"/>
        </w:rPr>
        <w:t>The costs associated with poor health</w:t>
      </w:r>
      <w:r>
        <w:rPr>
          <w:lang w:bidi="fa-IR"/>
        </w:rPr>
        <w:noBreakHyphen/>
        <w:t>related outcomes (such as injuries from slips, trips and falls and depression associated with social isolation), include:</w:t>
      </w:r>
    </w:p>
    <w:p w:rsidR="007C6A5F" w:rsidRDefault="007C6A5F" w:rsidP="005A6F87">
      <w:pPr>
        <w:pStyle w:val="ListBullet"/>
        <w:numPr>
          <w:ilvl w:val="0"/>
          <w:numId w:val="17"/>
        </w:numPr>
        <w:rPr>
          <w:lang w:bidi="fa-IR"/>
        </w:rPr>
      </w:pPr>
      <w:r>
        <w:rPr>
          <w:lang w:bidi="fa-IR"/>
        </w:rPr>
        <w:t>the cost of treatment</w:t>
      </w:r>
    </w:p>
    <w:p w:rsidR="007C6A5F" w:rsidRPr="00B31D8C" w:rsidRDefault="007C6A5F" w:rsidP="005A6F87">
      <w:pPr>
        <w:pStyle w:val="ListBullet"/>
        <w:numPr>
          <w:ilvl w:val="0"/>
          <w:numId w:val="17"/>
        </w:numPr>
        <w:rPr>
          <w:lang w:bidi="fa-IR"/>
        </w:rPr>
      </w:pPr>
      <w:r>
        <w:rPr>
          <w:lang w:bidi="fa-IR"/>
        </w:rPr>
        <w:t>morbidity (and in some cases mortality) costs.</w:t>
      </w:r>
    </w:p>
    <w:p w:rsidR="007C6A5F" w:rsidRDefault="007C6A5F" w:rsidP="007C6A5F">
      <w:pPr>
        <w:pStyle w:val="BodyText"/>
      </w:pPr>
      <w:r>
        <w:t xml:space="preserve">Morbidity costs associated with various health outcomes are typically using the concept of years lost to disability (YLD). This is a measure of the ‘healthy’ years lost to disability. This is usually measured by applying a disability weight (a measure of the extent to which a medical condition affects a person’s quality of life) to the value of a life year </w:t>
      </w:r>
      <w:r>
        <w:lastRenderedPageBreak/>
        <w:t xml:space="preserve">(OBPR recommend using a value of around $195 500 in 2019 dollars — see </w:t>
      </w:r>
      <w:r w:rsidRPr="00317781">
        <w:t>box </w:t>
      </w:r>
      <w:r w:rsidRPr="00317781">
        <w:rPr>
          <w:noProof/>
        </w:rPr>
        <w:t>A.</w:t>
      </w:r>
      <w:r w:rsidR="0023380A">
        <w:rPr>
          <w:noProof/>
        </w:rPr>
        <w:t>5</w:t>
      </w:r>
      <w:r>
        <w:t xml:space="preserve">) over the duration of the injury/disability. </w:t>
      </w:r>
    </w:p>
    <w:p w:rsidR="007C6A5F" w:rsidRDefault="007C6A5F" w:rsidP="007C6A5F">
      <w:pPr>
        <w:pStyle w:val="Invisiblepara"/>
      </w:pPr>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Box A.5"/>
        <w:tblDescription w:val="Valuing human health outcomes"/>
      </w:tblPr>
      <w:tblGrid>
        <w:gridCol w:w="7938"/>
      </w:tblGrid>
      <w:tr w:rsidR="007C6A5F" w:rsidRPr="00CE7135" w:rsidTr="005E2144">
        <w:trPr>
          <w:tblHeader/>
        </w:trPr>
        <w:tc>
          <w:tcPr>
            <w:tcW w:w="7938" w:type="dxa"/>
            <w:shd w:val="clear" w:color="auto" w:fill="C6BFAB" w:themeFill="accent3"/>
          </w:tcPr>
          <w:p w:rsidR="007C6A5F" w:rsidRPr="00CE7135" w:rsidRDefault="007C6A5F" w:rsidP="005A6F87">
            <w:pPr>
              <w:pStyle w:val="Caption"/>
              <w:numPr>
                <w:ilvl w:val="0"/>
                <w:numId w:val="13"/>
              </w:numPr>
              <w:spacing w:before="120" w:after="100"/>
            </w:pPr>
            <w:r w:rsidRPr="00CE7135">
              <w:fldChar w:fldCharType="begin"/>
            </w:r>
            <w:r w:rsidRPr="00CE7135">
              <w:instrText xml:space="preserve"> IF 1 = 1 "</w:instrText>
            </w:r>
            <w:r w:rsidRPr="00CE7135">
              <w:fldChar w:fldCharType="begin"/>
            </w:r>
            <w:r w:rsidRPr="00CE7135">
              <w:instrText xml:space="preserve"> IF </w:instrText>
            </w:r>
            <w:r w:rsidRPr="00CE7135">
              <w:rPr>
                <w:noProof/>
              </w:rPr>
              <w:fldChar w:fldCharType="begin"/>
            </w:r>
            <w:r w:rsidRPr="00CE7135">
              <w:rPr>
                <w:noProof/>
              </w:rPr>
              <w:instrText xml:space="preserve"> STYLEREF "Heading 6" \l \n </w:instrText>
            </w:r>
            <w:r w:rsidRPr="00CE7135">
              <w:rPr>
                <w:noProof/>
              </w:rPr>
              <w:fldChar w:fldCharType="separate"/>
            </w:r>
            <w:r>
              <w:rPr>
                <w:noProof/>
              </w:rPr>
              <w:instrText>A</w:instrText>
            </w:r>
            <w:r w:rsidRPr="00CE7135">
              <w:rPr>
                <w:noProof/>
              </w:rPr>
              <w:fldChar w:fldCharType="end"/>
            </w:r>
            <w:r w:rsidRPr="00CE7135">
              <w:instrText xml:space="preserve"> = 0 "</w:instrText>
            </w:r>
            <w:r w:rsidRPr="00CE7135">
              <w:fldChar w:fldCharType="begin"/>
            </w:r>
            <w:r w:rsidRPr="00CE7135">
              <w:instrText xml:space="preserve"> IF </w:instrText>
            </w:r>
            <w:r w:rsidRPr="00CE7135">
              <w:rPr>
                <w:noProof/>
              </w:rPr>
              <w:fldChar w:fldCharType="begin"/>
            </w:r>
            <w:r w:rsidRPr="00CE7135">
              <w:rPr>
                <w:noProof/>
              </w:rPr>
              <w:instrText xml:space="preserve"> STYLEREF "Heading 1" \l \n </w:instrText>
            </w:r>
            <w:r w:rsidRPr="00CE7135">
              <w:rPr>
                <w:noProof/>
              </w:rPr>
              <w:fldChar w:fldCharType="separate"/>
            </w:r>
            <w:r>
              <w:rPr>
                <w:noProof/>
              </w:rPr>
              <w:instrText>3</w:instrText>
            </w:r>
            <w:r w:rsidRPr="00CE7135">
              <w:rPr>
                <w:noProof/>
              </w:rPr>
              <w:fldChar w:fldCharType="end"/>
            </w:r>
            <w:r w:rsidRPr="00CE7135">
              <w:instrText xml:space="preserve"> = 0 "" "</w:instrText>
            </w:r>
            <w:r w:rsidRPr="00CE7135">
              <w:rPr>
                <w:noProof/>
              </w:rPr>
              <w:fldChar w:fldCharType="begin"/>
            </w:r>
            <w:r w:rsidRPr="00CE7135">
              <w:rPr>
                <w:noProof/>
              </w:rPr>
              <w:instrText xml:space="preserve"> STYLEREF "Heading 1" \l \n </w:instrText>
            </w:r>
            <w:r w:rsidRPr="00CE7135">
              <w:rPr>
                <w:noProof/>
              </w:rPr>
              <w:fldChar w:fldCharType="separate"/>
            </w:r>
            <w:r>
              <w:rPr>
                <w:noProof/>
              </w:rPr>
              <w:instrText>3</w:instrText>
            </w:r>
            <w:r w:rsidRPr="00CE7135">
              <w:rPr>
                <w:noProof/>
              </w:rPr>
              <w:fldChar w:fldCharType="end"/>
            </w:r>
            <w:r w:rsidRPr="00CE7135">
              <w:instrText xml:space="preserve">." </w:instrText>
            </w:r>
            <w:r w:rsidRPr="00CE7135">
              <w:fldChar w:fldCharType="separate"/>
            </w:r>
            <w:r>
              <w:rPr>
                <w:noProof/>
              </w:rPr>
              <w:instrText>3</w:instrText>
            </w:r>
            <w:r w:rsidRPr="00CE7135">
              <w:rPr>
                <w:noProof/>
              </w:rPr>
              <w:instrText>.</w:instrText>
            </w:r>
            <w:r w:rsidRPr="00CE7135">
              <w:fldChar w:fldCharType="end"/>
            </w:r>
            <w:r w:rsidRPr="00CE7135">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CE7135">
              <w:instrText xml:space="preserve">." </w:instrText>
            </w:r>
            <w:r w:rsidRPr="00CE7135">
              <w:fldChar w:fldCharType="separate"/>
            </w:r>
            <w:r>
              <w:rPr>
                <w:noProof/>
              </w:rPr>
              <w:instrText>A</w:instrText>
            </w:r>
            <w:r w:rsidRPr="00CE7135">
              <w:rPr>
                <w:noProof/>
              </w:rPr>
              <w:instrText>.</w:instrText>
            </w:r>
            <w:r w:rsidRPr="00CE7135">
              <w:fldChar w:fldCharType="end"/>
            </w:r>
            <w:r w:rsidRPr="00CE7135">
              <w:fldChar w:fldCharType="begin"/>
            </w:r>
            <w:r w:rsidRPr="00CE7135">
              <w:instrText xml:space="preserve"> SEQ Item \* ARABIC \s </w:instrText>
            </w:r>
            <w:r w:rsidRPr="00CE7135">
              <w:fldChar w:fldCharType="begin"/>
            </w:r>
            <w:r w:rsidRPr="00CE7135">
              <w:instrText xml:space="preserve"> IF </w:instrText>
            </w:r>
            <w:r w:rsidRPr="00CE7135">
              <w:rPr>
                <w:noProof/>
              </w:rPr>
              <w:fldChar w:fldCharType="begin"/>
            </w:r>
            <w:r w:rsidRPr="00CE7135">
              <w:rPr>
                <w:noProof/>
              </w:rPr>
              <w:instrText xml:space="preserve"> STYLEREF "Heading 6" \l \n </w:instrText>
            </w:r>
            <w:r w:rsidRPr="00CE7135">
              <w:rPr>
                <w:noProof/>
              </w:rPr>
              <w:fldChar w:fldCharType="separate"/>
            </w:r>
            <w:r>
              <w:rPr>
                <w:noProof/>
              </w:rPr>
              <w:instrText>A</w:instrText>
            </w:r>
            <w:r w:rsidRPr="00CE7135">
              <w:rPr>
                <w:noProof/>
              </w:rPr>
              <w:fldChar w:fldCharType="end"/>
            </w:r>
            <w:r w:rsidRPr="00CE7135">
              <w:instrText xml:space="preserve"> = 0 "</w:instrText>
            </w:r>
            <w:r w:rsidRPr="00CE7135">
              <w:fldChar w:fldCharType="begin"/>
            </w:r>
            <w:r w:rsidRPr="00CE7135">
              <w:instrText xml:space="preserve"> IF </w:instrText>
            </w:r>
            <w:r w:rsidRPr="00CE7135">
              <w:rPr>
                <w:noProof/>
              </w:rPr>
              <w:fldChar w:fldCharType="begin"/>
            </w:r>
            <w:r w:rsidRPr="00CE7135">
              <w:rPr>
                <w:noProof/>
              </w:rPr>
              <w:instrText xml:space="preserve"> STYLEREF "Heading 1" \l \n </w:instrText>
            </w:r>
            <w:r w:rsidRPr="00CE7135">
              <w:rPr>
                <w:noProof/>
              </w:rPr>
              <w:fldChar w:fldCharType="separate"/>
            </w:r>
            <w:r>
              <w:rPr>
                <w:noProof/>
              </w:rPr>
              <w:instrText>3</w:instrText>
            </w:r>
            <w:r w:rsidRPr="00CE7135">
              <w:rPr>
                <w:noProof/>
              </w:rPr>
              <w:fldChar w:fldCharType="end"/>
            </w:r>
            <w:r w:rsidRPr="00CE7135">
              <w:instrText xml:space="preserve"> = 0 "" "1" </w:instrText>
            </w:r>
            <w:r w:rsidRPr="00CE7135">
              <w:fldChar w:fldCharType="separate"/>
            </w:r>
            <w:r w:rsidRPr="00CE7135">
              <w:rPr>
                <w:noProof/>
              </w:rPr>
              <w:instrText>1</w:instrText>
            </w:r>
            <w:r w:rsidRPr="00CE7135">
              <w:fldChar w:fldCharType="end"/>
            </w:r>
            <w:r w:rsidRPr="00CE7135">
              <w:instrText xml:space="preserve">" "6" </w:instrText>
            </w:r>
            <w:r w:rsidRPr="00CE7135">
              <w:fldChar w:fldCharType="separate"/>
            </w:r>
            <w:r w:rsidRPr="00CE7135">
              <w:rPr>
                <w:noProof/>
              </w:rPr>
              <w:instrText>6</w:instrText>
            </w:r>
            <w:r w:rsidRPr="00CE7135">
              <w:fldChar w:fldCharType="end"/>
            </w:r>
            <w:r w:rsidRPr="00CE7135">
              <w:instrText xml:space="preserve"> </w:instrText>
            </w:r>
            <w:r w:rsidRPr="00CE7135">
              <w:fldChar w:fldCharType="separate"/>
            </w:r>
            <w:r>
              <w:rPr>
                <w:noProof/>
              </w:rPr>
              <w:instrText>5</w:instrText>
            </w:r>
            <w:r w:rsidRPr="00CE7135">
              <w:fldChar w:fldCharType="end"/>
            </w:r>
            <w:r w:rsidRPr="00CE7135">
              <w:instrText xml:space="preserve">" "" </w:instrText>
            </w:r>
            <w:r w:rsidRPr="00CE7135">
              <w:fldChar w:fldCharType="separate"/>
            </w:r>
            <w:bookmarkStart w:id="6471" w:name="_Caption4319"/>
            <w:bookmarkStart w:id="6472" w:name="_Caption0958"/>
            <w:bookmarkStart w:id="6473" w:name="_Caption2646"/>
            <w:bookmarkStart w:id="6474" w:name="_Caption6288"/>
            <w:bookmarkStart w:id="6475" w:name="_Toc44598565"/>
            <w:bookmarkStart w:id="6476" w:name="_Toc45654196"/>
            <w:r w:rsidR="00272AF3">
              <w:rPr>
                <w:noProof/>
              </w:rPr>
              <w:t>A</w:t>
            </w:r>
            <w:r w:rsidR="00272AF3" w:rsidRPr="00CE7135">
              <w:rPr>
                <w:noProof/>
              </w:rPr>
              <w:t>.</w:t>
            </w:r>
            <w:r w:rsidR="00272AF3">
              <w:rPr>
                <w:noProof/>
              </w:rPr>
              <w:t>5</w:t>
            </w:r>
            <w:bookmarkEnd w:id="6471"/>
            <w:bookmarkEnd w:id="6472"/>
            <w:bookmarkEnd w:id="6473"/>
            <w:bookmarkEnd w:id="6474"/>
            <w:r w:rsidRPr="00CE7135">
              <w:fldChar w:fldCharType="end"/>
            </w:r>
            <w:r w:rsidRPr="00CE7135">
              <w:tab/>
              <w:t>Valuing human health outcomes</w:t>
            </w:r>
            <w:bookmarkEnd w:id="6475"/>
            <w:bookmarkEnd w:id="6476"/>
          </w:p>
        </w:tc>
      </w:tr>
      <w:tr w:rsidR="007C6A5F" w:rsidTr="00B5160B">
        <w:tc>
          <w:tcPr>
            <w:tcW w:w="7938" w:type="dxa"/>
            <w:tcBorders>
              <w:bottom w:val="single" w:sz="4" w:space="0" w:color="9B917E" w:themeColor="accent4"/>
            </w:tcBorders>
            <w:shd w:val="clear" w:color="auto" w:fill="E9E8E5" w:themeFill="background2"/>
          </w:tcPr>
          <w:p w:rsidR="007C6A5F" w:rsidRPr="00CE7135" w:rsidRDefault="007C6A5F" w:rsidP="00C36DA4">
            <w:pPr>
              <w:pStyle w:val="BodyText"/>
            </w:pPr>
            <w:r w:rsidRPr="00CE7135">
              <w:t>A key concept in establishing a monetary value for lives lost is the value of a statistical life (VSL). This is a notional value that individuals place on reducing the risk of death.</w:t>
            </w:r>
          </w:p>
          <w:p w:rsidR="007C6A5F" w:rsidRPr="00CE7135" w:rsidRDefault="007C6A5F" w:rsidP="00C36DA4">
            <w:pPr>
              <w:pStyle w:val="BodyText"/>
            </w:pPr>
            <w:r w:rsidRPr="00CE7135">
              <w:t>A related concept is the value of a life year (VLY), which refers to the notional value an individual places on each additional year of life. The two concepts are related because the VSL should reflect the discounted value of expected future life years. This implies that the VSL will vary depending on age (and other factors), since younger individuals would be expected to have more life years ahead of them. VSL is usually assumed to refer to the life of a young adult with at least 40 years of life ahead of them.</w:t>
            </w:r>
          </w:p>
          <w:p w:rsidR="007C6A5F" w:rsidRPr="00CE7135" w:rsidRDefault="007C6A5F" w:rsidP="00C36DA4">
            <w:pPr>
              <w:pStyle w:val="BodyText"/>
            </w:pPr>
            <w:r w:rsidRPr="00CE7135">
              <w:t>Abelson (2008) reviewed research into VSL and VLY and international guidelines for life and health values for the Commonwealth Office of Best Practice Regulation. Based on this review, Abelson (2008) recommended that public agencies in Australia adopt:</w:t>
            </w:r>
          </w:p>
          <w:p w:rsidR="007C6A5F" w:rsidRPr="00CE7135" w:rsidRDefault="007C6A5F" w:rsidP="005A6F87">
            <w:pPr>
              <w:pStyle w:val="ListBullet"/>
              <w:numPr>
                <w:ilvl w:val="0"/>
                <w:numId w:val="17"/>
              </w:numPr>
            </w:pPr>
            <w:r w:rsidRPr="00CE7135">
              <w:t>a VSL of $3.5 million (in 2007 dollars) for avoiding an immediate death of a healthy individual in middle age (about 50) or younger</w:t>
            </w:r>
          </w:p>
          <w:p w:rsidR="007C6A5F" w:rsidRPr="00CE7135" w:rsidRDefault="007C6A5F" w:rsidP="005A6F87">
            <w:pPr>
              <w:pStyle w:val="ListBullet"/>
              <w:numPr>
                <w:ilvl w:val="0"/>
                <w:numId w:val="17"/>
              </w:numPr>
            </w:pPr>
            <w:r w:rsidRPr="00CE7135">
              <w:t>a constant VLY of $151 000 (in 2007 dollars) which is independent of age</w:t>
            </w:r>
          </w:p>
          <w:p w:rsidR="007C6A5F" w:rsidRPr="00CE7135" w:rsidRDefault="007C6A5F" w:rsidP="00C36DA4">
            <w:pPr>
              <w:pStyle w:val="BodyText"/>
              <w:rPr>
                <w:lang w:bidi="fa-IR"/>
              </w:rPr>
            </w:pPr>
            <w:r w:rsidRPr="00CE7135">
              <w:rPr>
                <w:lang w:bidi="fa-IR"/>
              </w:rPr>
              <w:t>Inflating to 201</w:t>
            </w:r>
            <w:r>
              <w:rPr>
                <w:lang w:bidi="fa-IR"/>
              </w:rPr>
              <w:t>9</w:t>
            </w:r>
            <w:r w:rsidRPr="00CE7135">
              <w:rPr>
                <w:lang w:bidi="fa-IR"/>
              </w:rPr>
              <w:t xml:space="preserve"> dollars using the national Consumer Price Index (published by the ABS) this equates to:</w:t>
            </w:r>
          </w:p>
          <w:p w:rsidR="007C6A5F" w:rsidRPr="00CE7135" w:rsidRDefault="007C6A5F" w:rsidP="005A6F87">
            <w:pPr>
              <w:pStyle w:val="ListBullet"/>
              <w:numPr>
                <w:ilvl w:val="0"/>
                <w:numId w:val="17"/>
              </w:numPr>
              <w:rPr>
                <w:lang w:bidi="fa-IR"/>
              </w:rPr>
            </w:pPr>
            <w:r w:rsidRPr="00CE7135">
              <w:rPr>
                <w:lang w:bidi="fa-IR"/>
              </w:rPr>
              <w:t>a VSL of $4.5 million</w:t>
            </w:r>
            <w:r>
              <w:rPr>
                <w:lang w:bidi="fa-IR"/>
              </w:rPr>
              <w:t xml:space="preserve">, </w:t>
            </w:r>
            <w:r w:rsidRPr="00CE7135">
              <w:rPr>
                <w:lang w:bidi="fa-IR"/>
              </w:rPr>
              <w:t>and</w:t>
            </w:r>
          </w:p>
          <w:p w:rsidR="007C6A5F" w:rsidRPr="00CE7135" w:rsidRDefault="007C6A5F" w:rsidP="007B2C93">
            <w:pPr>
              <w:pStyle w:val="ListBullet"/>
              <w:numPr>
                <w:ilvl w:val="0"/>
                <w:numId w:val="17"/>
              </w:numPr>
              <w:spacing w:after="120"/>
            </w:pPr>
            <w:r w:rsidRPr="00CE7135">
              <w:rPr>
                <w:lang w:bidi="fa-IR"/>
              </w:rPr>
              <w:t>a VLY of around $195 000.</w:t>
            </w:r>
          </w:p>
        </w:tc>
      </w:tr>
    </w:tbl>
    <w:p w:rsidR="007C6A5F" w:rsidRDefault="007C6A5F" w:rsidP="007C6A5F">
      <w:pPr>
        <w:pStyle w:val="BodyText"/>
        <w:rPr>
          <w:lang w:bidi="fa-IR"/>
        </w:rPr>
      </w:pPr>
      <w:r>
        <w:rPr>
          <w:lang w:bidi="fa-IR"/>
        </w:rPr>
        <w:t>The VSL recommended by OBPR of around $4.5 million is based on avoiding the death of a healthy individual in middle age, with around 40 years of life ahead of them. However, those at risk of falls are generally older and therefore would be expected to have fewer years of life ahead of them. We therefore used lower VSL estimates based on the expected future years of life for individuals in each age cohort.</w:t>
      </w:r>
    </w:p>
    <w:p w:rsidR="007C6A5F" w:rsidRDefault="007C6A5F" w:rsidP="007C6A5F">
      <w:pPr>
        <w:pStyle w:val="BodyText"/>
        <w:rPr>
          <w:lang w:bidi="fa-IR"/>
        </w:rPr>
      </w:pPr>
      <w:r>
        <w:rPr>
          <w:lang w:bidi="fa-IR"/>
        </w:rPr>
        <w:t>Our VSL estimates (table </w:t>
      </w:r>
      <w:r w:rsidRPr="00317781">
        <w:rPr>
          <w:lang w:bidi="fa-IR"/>
        </w:rPr>
        <w:t>A.</w:t>
      </w:r>
      <w:r w:rsidR="002E7EDA">
        <w:rPr>
          <w:lang w:bidi="fa-IR"/>
        </w:rPr>
        <w:t>6</w:t>
      </w:r>
      <w:r w:rsidRPr="00317781">
        <w:rPr>
          <w:lang w:bidi="fa-IR"/>
        </w:rPr>
        <w:t>)</w:t>
      </w:r>
      <w:r>
        <w:rPr>
          <w:lang w:bidi="fa-IR"/>
        </w:rPr>
        <w:t xml:space="preserve"> are based on the following.</w:t>
      </w:r>
    </w:p>
    <w:p w:rsidR="007C6A5F" w:rsidRDefault="007C6A5F" w:rsidP="005A6F87">
      <w:pPr>
        <w:pStyle w:val="ListBullet"/>
        <w:numPr>
          <w:ilvl w:val="0"/>
          <w:numId w:val="17"/>
        </w:numPr>
        <w:rPr>
          <w:lang w:bidi="fa-IR"/>
        </w:rPr>
      </w:pPr>
      <w:r>
        <w:rPr>
          <w:lang w:bidi="fa-IR"/>
        </w:rPr>
        <w:t>The average life expectancy for males and females in each age bracket are reported by the ABS.</w:t>
      </w:r>
      <w:r>
        <w:rPr>
          <w:rStyle w:val="FootnoteReference"/>
          <w:lang w:bidi="fa-IR"/>
        </w:rPr>
        <w:footnoteReference w:id="73"/>
      </w:r>
      <w:r>
        <w:rPr>
          <w:lang w:bidi="fa-IR"/>
        </w:rPr>
        <w:t xml:space="preserve"> We then average across males and females (as females are over</w:t>
      </w:r>
      <w:r>
        <w:rPr>
          <w:lang w:bidi="fa-IR"/>
        </w:rPr>
        <w:noBreakHyphen/>
        <w:t>represented in falls and have longer life expectancy this will slightly understate the life expectancy and therefore the cost).</w:t>
      </w:r>
    </w:p>
    <w:p w:rsidR="007C6A5F" w:rsidRDefault="007C6A5F" w:rsidP="005A6F87">
      <w:pPr>
        <w:pStyle w:val="ListBullet"/>
        <w:numPr>
          <w:ilvl w:val="0"/>
          <w:numId w:val="17"/>
        </w:numPr>
        <w:rPr>
          <w:lang w:bidi="fa-IR"/>
        </w:rPr>
      </w:pPr>
      <w:r>
        <w:rPr>
          <w:lang w:bidi="fa-IR"/>
        </w:rPr>
        <w:t>Each year of future life is valued at $195 000 as recommended by OBPR.</w:t>
      </w:r>
    </w:p>
    <w:p w:rsidR="007C6A5F" w:rsidRDefault="007C6A5F" w:rsidP="005A6F87">
      <w:pPr>
        <w:pStyle w:val="ListBullet"/>
        <w:numPr>
          <w:ilvl w:val="0"/>
          <w:numId w:val="17"/>
        </w:numPr>
        <w:rPr>
          <w:lang w:bidi="fa-IR"/>
        </w:rPr>
      </w:pPr>
      <w:r>
        <w:rPr>
          <w:lang w:bidi="fa-IR"/>
        </w:rPr>
        <w:t>Future life years are discounted using a discount rate of 3 per cent, consistent with OBPR.</w:t>
      </w:r>
    </w:p>
    <w:p w:rsidR="007C6A5F" w:rsidRDefault="007C6A5F" w:rsidP="007C6A5F">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Pr>
          <w:noProof/>
        </w:rPr>
        <w:instrText>A</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6</w:instrText>
      </w:r>
      <w:r w:rsidRPr="00695C93">
        <w:fldChar w:fldCharType="end"/>
      </w:r>
      <w:r w:rsidRPr="00695C93">
        <w:instrText xml:space="preserve">" "" </w:instrText>
      </w:r>
      <w:r w:rsidRPr="00695C93">
        <w:fldChar w:fldCharType="separate"/>
      </w:r>
      <w:bookmarkStart w:id="6477" w:name="_Caption0462"/>
      <w:bookmarkStart w:id="6478" w:name="_Caption5618"/>
      <w:bookmarkStart w:id="6479" w:name="_Caption4829"/>
      <w:bookmarkStart w:id="6480" w:name="_Caption1950"/>
      <w:bookmarkStart w:id="6481" w:name="_Toc44598566"/>
      <w:bookmarkStart w:id="6482" w:name="_Toc45654197"/>
      <w:r w:rsidR="00272AF3">
        <w:rPr>
          <w:noProof/>
        </w:rPr>
        <w:t>A</w:t>
      </w:r>
      <w:r w:rsidR="00272AF3" w:rsidRPr="00695C93">
        <w:rPr>
          <w:noProof/>
        </w:rPr>
        <w:t>.</w:t>
      </w:r>
      <w:r w:rsidR="00272AF3">
        <w:rPr>
          <w:noProof/>
        </w:rPr>
        <w:t>6</w:t>
      </w:r>
      <w:bookmarkEnd w:id="6477"/>
      <w:bookmarkEnd w:id="6478"/>
      <w:bookmarkEnd w:id="6479"/>
      <w:bookmarkEnd w:id="6480"/>
      <w:r w:rsidRPr="00695C93">
        <w:fldChar w:fldCharType="end"/>
      </w:r>
      <w:r w:rsidRPr="00695C93">
        <w:tab/>
      </w:r>
      <w:r>
        <w:t>Estimated value of a statistical life for Australians by age group</w:t>
      </w:r>
      <w:bookmarkEnd w:id="6481"/>
      <w:bookmarkEnd w:id="6482"/>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A.6"/>
        <w:tblDescription w:val="Estimated value of a statistical life for Australians by age group"/>
      </w:tblPr>
      <w:tblGrid>
        <w:gridCol w:w="1520"/>
        <w:gridCol w:w="1603"/>
        <w:gridCol w:w="1604"/>
        <w:gridCol w:w="1604"/>
        <w:gridCol w:w="1604"/>
      </w:tblGrid>
      <w:tr w:rsidR="007C6A5F" w:rsidTr="005E2144">
        <w:trPr>
          <w:trHeight w:val="461"/>
          <w:tblHeader/>
        </w:trPr>
        <w:tc>
          <w:tcPr>
            <w:tcW w:w="1520" w:type="dxa"/>
            <w:shd w:val="clear" w:color="auto" w:fill="6F6652" w:themeFill="accent5"/>
          </w:tcPr>
          <w:p w:rsidR="007C6A5F" w:rsidRDefault="00290DC7" w:rsidP="00C36DA4">
            <w:pPr>
              <w:pStyle w:val="TableDataColumnHeading"/>
              <w:jc w:val="left"/>
              <w:rPr>
                <w:lang w:val="en-GB"/>
              </w:rPr>
            </w:pPr>
            <w:r>
              <w:rPr>
                <w:lang w:val="en-GB"/>
              </w:rPr>
              <w:t>Age group</w:t>
            </w:r>
          </w:p>
        </w:tc>
        <w:tc>
          <w:tcPr>
            <w:tcW w:w="1603" w:type="dxa"/>
            <w:shd w:val="clear" w:color="auto" w:fill="6F6652" w:themeFill="accent5"/>
          </w:tcPr>
          <w:p w:rsidR="007C6A5F" w:rsidRDefault="007C6A5F" w:rsidP="0031383F">
            <w:pPr>
              <w:pStyle w:val="TableDataColumnHeading"/>
              <w:spacing w:after="280"/>
              <w:rPr>
                <w:lang w:val="en-GB"/>
              </w:rPr>
            </w:pPr>
            <w:r>
              <w:rPr>
                <w:lang w:val="en-GB"/>
              </w:rPr>
              <w:t xml:space="preserve">Life expectancy </w:t>
            </w:r>
            <w:r w:rsidR="0031383F">
              <w:rPr>
                <w:lang w:val="en-GB"/>
              </w:rPr>
              <w:t>–</w:t>
            </w:r>
            <w:r>
              <w:rPr>
                <w:lang w:val="en-GB"/>
              </w:rPr>
              <w:t xml:space="preserve"> Male</w:t>
            </w:r>
          </w:p>
          <w:p w:rsidR="0031383F" w:rsidRDefault="0031383F" w:rsidP="0031383F">
            <w:pPr>
              <w:pStyle w:val="TableDataColumnHeading"/>
              <w:rPr>
                <w:lang w:val="en-GB"/>
              </w:rPr>
            </w:pPr>
            <w:r>
              <w:rPr>
                <w:lang w:val="en-GB"/>
              </w:rPr>
              <w:t>(years)</w:t>
            </w:r>
          </w:p>
        </w:tc>
        <w:tc>
          <w:tcPr>
            <w:tcW w:w="1604" w:type="dxa"/>
            <w:shd w:val="clear" w:color="auto" w:fill="6F6652" w:themeFill="accent5"/>
          </w:tcPr>
          <w:p w:rsidR="007C6A5F" w:rsidRDefault="007C6A5F" w:rsidP="0031383F">
            <w:pPr>
              <w:pStyle w:val="TableDataColumnHeading"/>
              <w:spacing w:after="280"/>
              <w:rPr>
                <w:lang w:val="en-GB"/>
              </w:rPr>
            </w:pPr>
            <w:r>
              <w:rPr>
                <w:lang w:val="en-GB"/>
              </w:rPr>
              <w:t>Life Expectancy - Female</w:t>
            </w:r>
          </w:p>
          <w:p w:rsidR="0031383F" w:rsidRDefault="0031383F" w:rsidP="00C36DA4">
            <w:pPr>
              <w:pStyle w:val="TableDataColumnHeading"/>
              <w:rPr>
                <w:lang w:val="en-GB"/>
              </w:rPr>
            </w:pPr>
            <w:r>
              <w:rPr>
                <w:lang w:val="en-GB"/>
              </w:rPr>
              <w:t>(years)</w:t>
            </w:r>
          </w:p>
        </w:tc>
        <w:tc>
          <w:tcPr>
            <w:tcW w:w="1604" w:type="dxa"/>
            <w:shd w:val="clear" w:color="auto" w:fill="6F6652" w:themeFill="accent5"/>
          </w:tcPr>
          <w:p w:rsidR="007C6A5F" w:rsidRDefault="007C6A5F" w:rsidP="0031383F">
            <w:pPr>
              <w:pStyle w:val="TableDataColumnHeading"/>
              <w:spacing w:after="280"/>
              <w:rPr>
                <w:lang w:val="en-GB"/>
              </w:rPr>
            </w:pPr>
            <w:r>
              <w:rPr>
                <w:lang w:val="en-GB"/>
              </w:rPr>
              <w:t xml:space="preserve">Average Life </w:t>
            </w:r>
            <w:r w:rsidR="0031383F">
              <w:rPr>
                <w:lang w:val="en-GB"/>
              </w:rPr>
              <w:t>–</w:t>
            </w:r>
            <w:r>
              <w:rPr>
                <w:lang w:val="en-GB"/>
              </w:rPr>
              <w:t xml:space="preserve"> average</w:t>
            </w:r>
          </w:p>
          <w:p w:rsidR="0031383F" w:rsidRDefault="0031383F" w:rsidP="00C36DA4">
            <w:pPr>
              <w:pStyle w:val="TableDataColumnHeading"/>
              <w:rPr>
                <w:lang w:val="en-GB"/>
              </w:rPr>
            </w:pPr>
            <w:r>
              <w:rPr>
                <w:lang w:val="en-GB"/>
              </w:rPr>
              <w:t>(years)</w:t>
            </w:r>
          </w:p>
        </w:tc>
        <w:tc>
          <w:tcPr>
            <w:tcW w:w="1604" w:type="dxa"/>
            <w:shd w:val="clear" w:color="auto" w:fill="6F6652" w:themeFill="accent5"/>
          </w:tcPr>
          <w:p w:rsidR="007C6A5F" w:rsidRDefault="007C6A5F" w:rsidP="00C36DA4">
            <w:pPr>
              <w:pStyle w:val="TableDataColumnHeading"/>
              <w:rPr>
                <w:rStyle w:val="NoteLabel"/>
                <w:color w:val="FFFFFF" w:themeColor="background1"/>
              </w:rPr>
            </w:pPr>
            <w:r>
              <w:rPr>
                <w:lang w:val="en-GB"/>
              </w:rPr>
              <w:t>Age group</w:t>
            </w:r>
            <w:r>
              <w:rPr>
                <w:lang w:val="en-GB"/>
              </w:rPr>
              <w:noBreakHyphen/>
              <w:t>specific value of a statistical life</w:t>
            </w:r>
            <w:r w:rsidRPr="00F84654">
              <w:rPr>
                <w:rStyle w:val="NoteLabel"/>
                <w:color w:val="FFFFFF" w:themeColor="background1"/>
              </w:rPr>
              <w:t>a</w:t>
            </w:r>
          </w:p>
          <w:p w:rsidR="0031383F" w:rsidRDefault="0031383F" w:rsidP="00C36DA4">
            <w:pPr>
              <w:pStyle w:val="TableDataColumnHeading"/>
              <w:rPr>
                <w:lang w:val="en-GB"/>
              </w:rPr>
            </w:pPr>
            <w:r>
              <w:rPr>
                <w:rStyle w:val="NoteLabel"/>
                <w:color w:val="FFFFFF" w:themeColor="background1"/>
              </w:rPr>
              <w:t>($’000)</w:t>
            </w:r>
          </w:p>
        </w:tc>
      </w:tr>
      <w:tr w:rsidR="007C6A5F" w:rsidTr="007B2C93">
        <w:trPr>
          <w:trHeight w:val="230"/>
        </w:trPr>
        <w:tc>
          <w:tcPr>
            <w:tcW w:w="15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0-14 years</w:t>
            </w:r>
          </w:p>
        </w:tc>
        <w:tc>
          <w:tcPr>
            <w:tcW w:w="1603"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 xml:space="preserve"> 74.05</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 xml:space="preserve"> 78.16</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 xml:space="preserve"> 76.11</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5 989.1</w:t>
            </w:r>
          </w:p>
        </w:tc>
      </w:tr>
      <w:tr w:rsidR="007C6A5F" w:rsidTr="007B2C93">
        <w:trPr>
          <w:trHeight w:val="230"/>
        </w:trPr>
        <w:tc>
          <w:tcPr>
            <w:tcW w:w="15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15-24 years</w:t>
            </w:r>
          </w:p>
        </w:tc>
        <w:tc>
          <w:tcPr>
            <w:tcW w:w="1603"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 xml:space="preserve"> 61.75</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 xml:space="preserve"> 65.79</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 xml:space="preserve"> 63.77</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5 678.4</w:t>
            </w:r>
          </w:p>
        </w:tc>
      </w:tr>
      <w:tr w:rsidR="007C6A5F" w:rsidTr="007B2C93">
        <w:trPr>
          <w:trHeight w:val="230"/>
        </w:trPr>
        <w:tc>
          <w:tcPr>
            <w:tcW w:w="15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25-34 years</w:t>
            </w:r>
          </w:p>
        </w:tc>
        <w:tc>
          <w:tcPr>
            <w:tcW w:w="1603"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 xml:space="preserve"> 52.10</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 xml:space="preserve"> 55.94</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 xml:space="preserve"> 54.02</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5 339.0</w:t>
            </w:r>
          </w:p>
        </w:tc>
      </w:tr>
      <w:tr w:rsidR="007C6A5F" w:rsidTr="007B2C93">
        <w:trPr>
          <w:trHeight w:val="230"/>
        </w:trPr>
        <w:tc>
          <w:tcPr>
            <w:tcW w:w="15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35-44 years</w:t>
            </w:r>
          </w:p>
        </w:tc>
        <w:tc>
          <w:tcPr>
            <w:tcW w:w="1603"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 xml:space="preserve"> 42.56</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 xml:space="preserve"> 46.19</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 xml:space="preserve"> 44.38</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4 891.5</w:t>
            </w:r>
          </w:p>
        </w:tc>
      </w:tr>
      <w:tr w:rsidR="007C6A5F" w:rsidTr="007B2C93">
        <w:trPr>
          <w:trHeight w:val="230"/>
        </w:trPr>
        <w:tc>
          <w:tcPr>
            <w:tcW w:w="15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45-54 years</w:t>
            </w:r>
          </w:p>
        </w:tc>
        <w:tc>
          <w:tcPr>
            <w:tcW w:w="1603"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 xml:space="preserve"> 33.28</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 xml:space="preserve"> 36.65</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 xml:space="preserve"> 34.96</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4 313.2</w:t>
            </w:r>
          </w:p>
        </w:tc>
      </w:tr>
      <w:tr w:rsidR="007C6A5F" w:rsidTr="007B2C93">
        <w:trPr>
          <w:trHeight w:val="230"/>
        </w:trPr>
        <w:tc>
          <w:tcPr>
            <w:tcW w:w="15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55-64 years</w:t>
            </w:r>
          </w:p>
        </w:tc>
        <w:tc>
          <w:tcPr>
            <w:tcW w:w="1603"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 xml:space="preserve"> 24.46</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 xml:space="preserve"> 27.46</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 xml:space="preserve"> 25.96</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3 586.5</w:t>
            </w:r>
          </w:p>
        </w:tc>
      </w:tr>
      <w:tr w:rsidR="007C6A5F" w:rsidTr="007B2C93">
        <w:trPr>
          <w:trHeight w:val="230"/>
        </w:trPr>
        <w:tc>
          <w:tcPr>
            <w:tcW w:w="15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65-74 years</w:t>
            </w:r>
          </w:p>
        </w:tc>
        <w:tc>
          <w:tcPr>
            <w:tcW w:w="1603"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C90C54">
              <w:t xml:space="preserve"> 16.36</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0E0049" w:rsidRDefault="007C6A5F" w:rsidP="00C36DA4">
            <w:pPr>
              <w:pStyle w:val="TableDataEntries"/>
            </w:pPr>
            <w:r w:rsidRPr="000E0049">
              <w:t xml:space="preserve"> 18.74</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0E0049" w:rsidRDefault="007C6A5F" w:rsidP="00C36DA4">
            <w:pPr>
              <w:pStyle w:val="TableDataEntries"/>
            </w:pPr>
            <w:r w:rsidRPr="000E0049">
              <w:t xml:space="preserve"> 17.55</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2 709.7</w:t>
            </w:r>
          </w:p>
        </w:tc>
      </w:tr>
      <w:tr w:rsidR="007C6A5F" w:rsidTr="007B2C93">
        <w:trPr>
          <w:trHeight w:val="230"/>
        </w:trPr>
        <w:tc>
          <w:tcPr>
            <w:tcW w:w="15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75-84 years</w:t>
            </w:r>
          </w:p>
        </w:tc>
        <w:tc>
          <w:tcPr>
            <w:tcW w:w="1603"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C90C54">
              <w:t xml:space="preserve"> 9.46</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0E0049" w:rsidRDefault="007C6A5F" w:rsidP="00C36DA4">
            <w:pPr>
              <w:pStyle w:val="TableDataEntries"/>
            </w:pPr>
            <w:r w:rsidRPr="000E0049">
              <w:t xml:space="preserve"> 11.03</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0E0049" w:rsidRDefault="007C6A5F" w:rsidP="00C36DA4">
            <w:pPr>
              <w:pStyle w:val="TableDataEntries"/>
            </w:pPr>
            <w:r w:rsidRPr="000E0049">
              <w:t xml:space="preserve"> 10.24</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1 748.7</w:t>
            </w:r>
          </w:p>
        </w:tc>
      </w:tr>
      <w:tr w:rsidR="007C6A5F" w:rsidTr="00B5160B">
        <w:trPr>
          <w:trHeight w:val="230"/>
        </w:trPr>
        <w:tc>
          <w:tcPr>
            <w:tcW w:w="152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85-94 years</w:t>
            </w:r>
          </w:p>
        </w:tc>
        <w:tc>
          <w:tcPr>
            <w:tcW w:w="1603"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C90C54">
              <w:t xml:space="preserve"> 4.70</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0E0049" w:rsidRDefault="007C6A5F" w:rsidP="00C36DA4">
            <w:pPr>
              <w:pStyle w:val="TableDataEntries"/>
            </w:pPr>
            <w:r w:rsidRPr="000E0049">
              <w:t xml:space="preserve"> 5.35</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0E0049" w:rsidRDefault="007C6A5F" w:rsidP="00C36DA4">
            <w:pPr>
              <w:pStyle w:val="TableDataEntries"/>
            </w:pPr>
            <w:r w:rsidRPr="000E0049">
              <w:t xml:space="preserve"> 5.02</w:t>
            </w:r>
          </w:p>
        </w:tc>
        <w:tc>
          <w:tcPr>
            <w:tcW w:w="1604" w:type="dxa"/>
            <w:tcBorders>
              <w:top w:val="single" w:sz="8" w:space="0" w:color="FFFFFF" w:themeColor="background1"/>
              <w:bottom w:val="single" w:sz="8" w:space="0" w:color="FFFFFF" w:themeColor="background1"/>
            </w:tcBorders>
            <w:shd w:val="clear" w:color="auto" w:fill="E9E8E5" w:themeFill="background2"/>
          </w:tcPr>
          <w:p w:rsidR="007C6A5F" w:rsidRPr="00C90C54" w:rsidRDefault="007C6A5F" w:rsidP="00C36DA4">
            <w:pPr>
              <w:pStyle w:val="TableDataEntries"/>
            </w:pPr>
            <w:r w:rsidRPr="0053773C">
              <w:t xml:space="preserve"> 924.0</w:t>
            </w:r>
          </w:p>
        </w:tc>
      </w:tr>
      <w:tr w:rsidR="007C6A5F" w:rsidTr="00B5160B">
        <w:trPr>
          <w:trHeight w:val="230"/>
        </w:trPr>
        <w:tc>
          <w:tcPr>
            <w:tcW w:w="1520"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jc w:val="left"/>
              <w:rPr>
                <w:lang w:val="en-GB"/>
              </w:rPr>
            </w:pPr>
            <w:r>
              <w:rPr>
                <w:lang w:val="en-GB"/>
              </w:rPr>
              <w:t>95+ years</w:t>
            </w:r>
          </w:p>
        </w:tc>
        <w:tc>
          <w:tcPr>
            <w:tcW w:w="1603" w:type="dxa"/>
            <w:tcBorders>
              <w:top w:val="single" w:sz="8" w:space="0" w:color="FFFFFF" w:themeColor="background1"/>
              <w:bottom w:val="single" w:sz="4" w:space="0" w:color="6F6652" w:themeColor="accent5"/>
            </w:tcBorders>
            <w:shd w:val="clear" w:color="auto" w:fill="E9E8E5" w:themeFill="background2"/>
          </w:tcPr>
          <w:p w:rsidR="007C6A5F" w:rsidRPr="00C90C54" w:rsidRDefault="007C6A5F" w:rsidP="00C36DA4">
            <w:pPr>
              <w:pStyle w:val="TableDataEntries"/>
            </w:pPr>
            <w:r w:rsidRPr="00C90C54">
              <w:t xml:space="preserve"> 2.65</w:t>
            </w:r>
          </w:p>
        </w:tc>
        <w:tc>
          <w:tcPr>
            <w:tcW w:w="1604" w:type="dxa"/>
            <w:tcBorders>
              <w:top w:val="single" w:sz="8" w:space="0" w:color="FFFFFF" w:themeColor="background1"/>
              <w:bottom w:val="single" w:sz="4" w:space="0" w:color="6F6652" w:themeColor="accent5"/>
            </w:tcBorders>
            <w:shd w:val="clear" w:color="auto" w:fill="E9E8E5" w:themeFill="background2"/>
          </w:tcPr>
          <w:p w:rsidR="007C6A5F" w:rsidRPr="000E0049" w:rsidRDefault="007C6A5F" w:rsidP="00C36DA4">
            <w:pPr>
              <w:pStyle w:val="TableDataEntries"/>
            </w:pPr>
            <w:r w:rsidRPr="000E0049">
              <w:t xml:space="preserve"> 2.74</w:t>
            </w:r>
          </w:p>
        </w:tc>
        <w:tc>
          <w:tcPr>
            <w:tcW w:w="1604" w:type="dxa"/>
            <w:tcBorders>
              <w:top w:val="single" w:sz="8" w:space="0" w:color="FFFFFF" w:themeColor="background1"/>
              <w:bottom w:val="single" w:sz="4" w:space="0" w:color="6F6652" w:themeColor="accent5"/>
            </w:tcBorders>
            <w:shd w:val="clear" w:color="auto" w:fill="E9E8E5" w:themeFill="background2"/>
          </w:tcPr>
          <w:p w:rsidR="007C6A5F" w:rsidRPr="000E0049" w:rsidRDefault="007C6A5F" w:rsidP="00C36DA4">
            <w:pPr>
              <w:pStyle w:val="TableDataEntries"/>
            </w:pPr>
            <w:r w:rsidRPr="000E0049">
              <w:t xml:space="preserve"> 2.70</w:t>
            </w:r>
          </w:p>
        </w:tc>
        <w:tc>
          <w:tcPr>
            <w:tcW w:w="1604" w:type="dxa"/>
            <w:tcBorders>
              <w:top w:val="single" w:sz="8" w:space="0" w:color="FFFFFF" w:themeColor="background1"/>
              <w:bottom w:val="single" w:sz="4" w:space="0" w:color="6F6652" w:themeColor="accent5"/>
            </w:tcBorders>
            <w:shd w:val="clear" w:color="auto" w:fill="E9E8E5" w:themeFill="background2"/>
          </w:tcPr>
          <w:p w:rsidR="007C6A5F" w:rsidRPr="00C90C54" w:rsidRDefault="007C6A5F" w:rsidP="00C36DA4">
            <w:pPr>
              <w:pStyle w:val="TableDataEntries"/>
            </w:pPr>
            <w:r w:rsidRPr="0053773C">
              <w:t xml:space="preserve"> 512.2</w:t>
            </w:r>
          </w:p>
        </w:tc>
      </w:tr>
    </w:tbl>
    <w:p w:rsidR="007C6A5F" w:rsidRDefault="007C6A5F" w:rsidP="007C6A5F">
      <w:pPr>
        <w:pStyle w:val="Source"/>
        <w:rPr>
          <w:lang w:bidi="fa-IR"/>
        </w:rPr>
      </w:pPr>
      <w:r w:rsidRPr="00CD38A9">
        <w:rPr>
          <w:i/>
          <w:lang w:bidi="fa-IR"/>
        </w:rPr>
        <w:t>Source:</w:t>
      </w:r>
      <w:r>
        <w:rPr>
          <w:lang w:bidi="fa-IR"/>
        </w:rPr>
        <w:t xml:space="preserve"> </w:t>
      </w:r>
      <w:r>
        <w:rPr>
          <w:lang w:val="en-US"/>
        </w:rPr>
        <w:t>ABS, Life Tables, States, Territories and Australia 2016</w:t>
      </w:r>
      <w:r>
        <w:rPr>
          <w:lang w:val="en-US"/>
        </w:rPr>
        <w:noBreakHyphen/>
        <w:t xml:space="preserve">2018, </w:t>
      </w:r>
      <w:hyperlink r:id="rId44" w:history="1">
        <w:r>
          <w:rPr>
            <w:rStyle w:val="Hyperlink"/>
          </w:rPr>
          <w:t>https://www.abs.gov.au/AUSSTATS/abs@.nsf/Lookup/3302.0.55.001Main+Features12016-2018?OpenDocument</w:t>
        </w:r>
      </w:hyperlink>
      <w:r>
        <w:t>, accessed 15 January 2020, CIE.</w:t>
      </w:r>
    </w:p>
    <w:p w:rsidR="007C6A5F" w:rsidRDefault="007C6A5F" w:rsidP="007C6A5F">
      <w:pPr>
        <w:pStyle w:val="Heading9"/>
        <w:rPr>
          <w:lang w:bidi="fa-IR"/>
        </w:rPr>
      </w:pPr>
      <w:r>
        <w:rPr>
          <w:lang w:bidi="fa-IR"/>
        </w:rPr>
        <w:t>Estimated cost of additional deaths</w:t>
      </w:r>
    </w:p>
    <w:p w:rsidR="007C6A5F" w:rsidRDefault="007C6A5F" w:rsidP="007C6A5F">
      <w:pPr>
        <w:pStyle w:val="BodyText"/>
        <w:rPr>
          <w:lang w:bidi="fa-IR"/>
        </w:rPr>
      </w:pPr>
      <w:r>
        <w:rPr>
          <w:lang w:bidi="fa-IR"/>
        </w:rPr>
        <w:t>Bringing together the estimates on the number of additional deaths per year (by age bracket) and the VSL estimates, suggests that the cost to the community from fall</w:t>
      </w:r>
      <w:r>
        <w:rPr>
          <w:lang w:bidi="fa-IR"/>
        </w:rPr>
        <w:noBreakHyphen/>
        <w:t>related deaths could range between around $22.6 million and $38.4 million, with a central case estimate of $30.9 million.</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sidR="00E903A9">
        <w:rPr>
          <w:noProof/>
        </w:rPr>
        <w:fldChar w:fldCharType="begin"/>
      </w:r>
      <w:r w:rsidR="00E903A9">
        <w:rPr>
          <w:noProof/>
        </w:rPr>
        <w:instrText xml:space="preserve"> STYLEREF "Heading 6" \l \n </w:instrText>
      </w:r>
      <w:r w:rsidR="00E903A9">
        <w:rPr>
          <w:noProof/>
        </w:rPr>
        <w:fldChar w:fldCharType="separate"/>
      </w:r>
      <w:r>
        <w:rPr>
          <w:noProof/>
        </w:rPr>
        <w:instrText>A</w:instrText>
      </w:r>
      <w:r w:rsidR="00E903A9">
        <w:rPr>
          <w:noProof/>
        </w:rPr>
        <w:fldChar w:fldCharType="end"/>
      </w:r>
      <w:r w:rsidRPr="00695C93">
        <w:instrText xml:space="preserve"> = 0 "</w:instrText>
      </w:r>
      <w:r w:rsidRPr="00695C93">
        <w:fldChar w:fldCharType="begin"/>
      </w:r>
      <w:r w:rsidRPr="00695C93">
        <w:instrText xml:space="preserve"> IF </w:instrText>
      </w:r>
      <w:r w:rsidR="00E903A9">
        <w:rPr>
          <w:noProof/>
        </w:rPr>
        <w:fldChar w:fldCharType="begin"/>
      </w:r>
      <w:r w:rsidR="00E903A9">
        <w:rPr>
          <w:noProof/>
        </w:rPr>
        <w:instrText xml:space="preserve"> STYLEREF "Heading 1" \l \n </w:instrText>
      </w:r>
      <w:r w:rsidR="00E903A9">
        <w:rPr>
          <w:noProof/>
        </w:rPr>
        <w:fldChar w:fldCharType="separate"/>
      </w:r>
      <w:r>
        <w:rPr>
          <w:noProof/>
        </w:rPr>
        <w:instrText>0</w:instrText>
      </w:r>
      <w:r w:rsidR="00E903A9">
        <w:rPr>
          <w:noProof/>
        </w:rPr>
        <w:fldChar w:fldCharType="end"/>
      </w:r>
      <w:r w:rsidRPr="00695C93">
        <w:instrText xml:space="preserve"> = 0 "" "</w:instrText>
      </w:r>
      <w:r w:rsidR="00E903A9">
        <w:rPr>
          <w:noProof/>
        </w:rPr>
        <w:fldChar w:fldCharType="begin"/>
      </w:r>
      <w:r w:rsidR="00E903A9">
        <w:rPr>
          <w:noProof/>
        </w:rPr>
        <w:instrText xml:space="preserve"> STYLEREF "Heading 1" \l \n </w:instrText>
      </w:r>
      <w:r w:rsidR="00E903A9">
        <w:rPr>
          <w:noProof/>
        </w:rPr>
        <w:fldChar w:fldCharType="separate"/>
      </w:r>
      <w:r>
        <w:rPr>
          <w:noProof/>
        </w:rPr>
        <w:instrText>2</w:instrText>
      </w:r>
      <w:r w:rsidR="00E903A9">
        <w:rPr>
          <w:noProof/>
        </w:rPr>
        <w:fldChar w:fldCharType="end"/>
      </w:r>
      <w:r w:rsidRPr="00695C93">
        <w:instrText xml:space="preserve">." </w:instrText>
      </w:r>
      <w:r w:rsidRPr="00695C93">
        <w:fldChar w:fldCharType="end"/>
      </w:r>
      <w:r w:rsidRPr="00695C93">
        <w:instrText>" "</w:instrText>
      </w:r>
      <w:r w:rsidR="00E903A9">
        <w:rPr>
          <w:noProof/>
        </w:rPr>
        <w:fldChar w:fldCharType="begin"/>
      </w:r>
      <w:r w:rsidR="00E903A9">
        <w:rPr>
          <w:noProof/>
        </w:rPr>
        <w:instrText xml:space="preserve"> STYLEREF "Heading 6" \l \n </w:instrText>
      </w:r>
      <w:r w:rsidR="00E903A9">
        <w:rPr>
          <w:noProof/>
        </w:rPr>
        <w:fldChar w:fldCharType="separate"/>
      </w:r>
      <w:r>
        <w:rPr>
          <w:noProof/>
        </w:rPr>
        <w:instrText>A</w:instrText>
      </w:r>
      <w:r w:rsidR="00E903A9">
        <w:rPr>
          <w:noProof/>
        </w:rPr>
        <w:fldChar w:fldCharType="end"/>
      </w:r>
      <w:r w:rsidRPr="00695C93">
        <w:instrText xml:space="preserve">." </w:instrText>
      </w:r>
      <w:r w:rsidRPr="00695C93">
        <w:fldChar w:fldCharType="separate"/>
      </w:r>
      <w:r>
        <w:rPr>
          <w:noProof/>
        </w:rPr>
        <w:instrText>A</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E903A9">
        <w:rPr>
          <w:noProof/>
        </w:rPr>
        <w:fldChar w:fldCharType="begin"/>
      </w:r>
      <w:r w:rsidR="00E903A9">
        <w:rPr>
          <w:noProof/>
        </w:rPr>
        <w:instrText xml:space="preserve"> STYLEREF "Heading 6" \l \n </w:instrText>
      </w:r>
      <w:r w:rsidR="00E903A9">
        <w:rPr>
          <w:noProof/>
        </w:rPr>
        <w:fldChar w:fldCharType="separate"/>
      </w:r>
      <w:r>
        <w:rPr>
          <w:noProof/>
        </w:rPr>
        <w:instrText>A</w:instrText>
      </w:r>
      <w:r w:rsidR="00E903A9">
        <w:rPr>
          <w:noProof/>
        </w:rPr>
        <w:fldChar w:fldCharType="end"/>
      </w:r>
      <w:r w:rsidRPr="00695C93">
        <w:instrText xml:space="preserve"> = 0 "</w:instrText>
      </w:r>
      <w:r w:rsidRPr="00695C93">
        <w:fldChar w:fldCharType="begin"/>
      </w:r>
      <w:r w:rsidRPr="00695C93">
        <w:instrText xml:space="preserve"> IF </w:instrText>
      </w:r>
      <w:r w:rsidR="00E903A9">
        <w:rPr>
          <w:noProof/>
        </w:rPr>
        <w:fldChar w:fldCharType="begin"/>
      </w:r>
      <w:r w:rsidR="00E903A9">
        <w:rPr>
          <w:noProof/>
        </w:rPr>
        <w:instrText xml:space="preserve"> STYLEREF "Heading 1" \l \n </w:instrText>
      </w:r>
      <w:r w:rsidR="00E903A9">
        <w:rPr>
          <w:noProof/>
        </w:rPr>
        <w:fldChar w:fldCharType="separate"/>
      </w:r>
      <w:r>
        <w:rPr>
          <w:noProof/>
        </w:rPr>
        <w:instrText>0</w:instrText>
      </w:r>
      <w:r w:rsidR="00E903A9">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7</w:instrText>
      </w:r>
      <w:r w:rsidRPr="00695C93">
        <w:fldChar w:fldCharType="end"/>
      </w:r>
      <w:r w:rsidRPr="00695C93">
        <w:instrText xml:space="preserve">" "" </w:instrText>
      </w:r>
      <w:r w:rsidRPr="00695C93">
        <w:fldChar w:fldCharType="separate"/>
      </w:r>
      <w:bookmarkStart w:id="6483" w:name="_Caption0269"/>
      <w:bookmarkStart w:id="6484" w:name="_Caption6969"/>
      <w:bookmarkStart w:id="6485" w:name="_Caption0401"/>
      <w:bookmarkStart w:id="6486" w:name="_Caption2281"/>
      <w:bookmarkStart w:id="6487" w:name="_Toc44598567"/>
      <w:bookmarkStart w:id="6488" w:name="_Toc45654198"/>
      <w:r w:rsidR="00272AF3">
        <w:rPr>
          <w:noProof/>
        </w:rPr>
        <w:t>A</w:t>
      </w:r>
      <w:r w:rsidR="00272AF3" w:rsidRPr="00695C93">
        <w:rPr>
          <w:noProof/>
        </w:rPr>
        <w:t>.</w:t>
      </w:r>
      <w:r w:rsidR="00272AF3">
        <w:rPr>
          <w:noProof/>
        </w:rPr>
        <w:t>7</w:t>
      </w:r>
      <w:bookmarkEnd w:id="6483"/>
      <w:bookmarkEnd w:id="6484"/>
      <w:bookmarkEnd w:id="6485"/>
      <w:bookmarkEnd w:id="6486"/>
      <w:r w:rsidRPr="00695C93">
        <w:fldChar w:fldCharType="end"/>
      </w:r>
      <w:r w:rsidRPr="00695C93">
        <w:tab/>
      </w:r>
      <w:r>
        <w:t>Estimate cost to the community from additional fall</w:t>
      </w:r>
      <w:r>
        <w:noBreakHyphen/>
        <w:t>related deaths</w:t>
      </w:r>
      <w:bookmarkEnd w:id="6487"/>
      <w:bookmarkEnd w:id="6488"/>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A.7"/>
        <w:tblDescription w:val="Estimate cost to the community from additional fall related deaths"/>
      </w:tblPr>
      <w:tblGrid>
        <w:gridCol w:w="1527"/>
        <w:gridCol w:w="1605"/>
        <w:gridCol w:w="1605"/>
        <w:gridCol w:w="1605"/>
        <w:gridCol w:w="1594"/>
      </w:tblGrid>
      <w:tr w:rsidR="007C6A5F" w:rsidTr="007B2C93">
        <w:trPr>
          <w:trHeight w:val="691"/>
          <w:tblHeader/>
        </w:trPr>
        <w:tc>
          <w:tcPr>
            <w:tcW w:w="1527" w:type="dxa"/>
            <w:shd w:val="clear" w:color="auto" w:fill="6F6652" w:themeFill="accent5"/>
          </w:tcPr>
          <w:p w:rsidR="007C6A5F" w:rsidRDefault="00290DC7" w:rsidP="00C36DA4">
            <w:pPr>
              <w:pStyle w:val="TableDataColumnHeading"/>
              <w:jc w:val="left"/>
              <w:rPr>
                <w:lang w:val="en-GB"/>
              </w:rPr>
            </w:pPr>
            <w:r>
              <w:rPr>
                <w:lang w:val="en-GB"/>
              </w:rPr>
              <w:t>Age group</w:t>
            </w:r>
          </w:p>
        </w:tc>
        <w:tc>
          <w:tcPr>
            <w:tcW w:w="1605" w:type="dxa"/>
            <w:shd w:val="clear" w:color="auto" w:fill="6F6652" w:themeFill="accent5"/>
          </w:tcPr>
          <w:p w:rsidR="007C6A5F" w:rsidRDefault="007C6A5F" w:rsidP="00C36DA4">
            <w:pPr>
              <w:pStyle w:val="TableDataColumnHeading"/>
              <w:rPr>
                <w:lang w:val="en-GB"/>
              </w:rPr>
            </w:pPr>
            <w:r>
              <w:rPr>
                <w:lang w:val="en-GB"/>
              </w:rPr>
              <w:t>Value of statistical life by age</w:t>
            </w:r>
          </w:p>
          <w:p w:rsidR="00E6524C" w:rsidRDefault="00E6524C" w:rsidP="00C36DA4">
            <w:pPr>
              <w:pStyle w:val="TableDataColumnHeading"/>
              <w:rPr>
                <w:lang w:val="en-GB"/>
              </w:rPr>
            </w:pPr>
            <w:r>
              <w:rPr>
                <w:lang w:val="en-GB"/>
              </w:rPr>
              <w:t>($’000)</w:t>
            </w:r>
          </w:p>
        </w:tc>
        <w:tc>
          <w:tcPr>
            <w:tcW w:w="1605" w:type="dxa"/>
            <w:shd w:val="clear" w:color="auto" w:fill="6F6652" w:themeFill="accent5"/>
          </w:tcPr>
          <w:p w:rsidR="007C6A5F" w:rsidRDefault="007C6A5F" w:rsidP="00C36DA4">
            <w:pPr>
              <w:pStyle w:val="TableDataColumnHeading"/>
              <w:rPr>
                <w:lang w:val="en-GB"/>
              </w:rPr>
            </w:pPr>
            <w:r>
              <w:rPr>
                <w:lang w:val="en-GB"/>
              </w:rPr>
              <w:t>Cost of additional deaths</w:t>
            </w:r>
          </w:p>
          <w:p w:rsidR="00290DC7" w:rsidRDefault="00290DC7" w:rsidP="00290DC7">
            <w:pPr>
              <w:pStyle w:val="TableDataColumnHeading"/>
              <w:spacing w:before="0" w:after="0"/>
              <w:rPr>
                <w:lang w:val="en-GB"/>
              </w:rPr>
            </w:pPr>
          </w:p>
          <w:p w:rsidR="00290DC7" w:rsidRDefault="00290DC7" w:rsidP="00290DC7">
            <w:pPr>
              <w:pStyle w:val="TableDataColumnHeading"/>
              <w:spacing w:before="0"/>
              <w:rPr>
                <w:lang w:val="en-GB"/>
              </w:rPr>
            </w:pPr>
            <w:r>
              <w:rPr>
                <w:lang w:val="en-GB"/>
              </w:rPr>
              <w:t>Low estimate</w:t>
            </w:r>
          </w:p>
          <w:p w:rsidR="00E6524C" w:rsidRDefault="00E6524C" w:rsidP="00290DC7">
            <w:pPr>
              <w:pStyle w:val="TableDataColumnHeading"/>
              <w:spacing w:before="0"/>
              <w:rPr>
                <w:lang w:val="en-GB"/>
              </w:rPr>
            </w:pPr>
            <w:r>
              <w:rPr>
                <w:lang w:val="en-GB"/>
              </w:rPr>
              <w:t>($ million)</w:t>
            </w:r>
          </w:p>
        </w:tc>
        <w:tc>
          <w:tcPr>
            <w:tcW w:w="1605" w:type="dxa"/>
            <w:shd w:val="clear" w:color="auto" w:fill="6F6652" w:themeFill="accent5"/>
          </w:tcPr>
          <w:p w:rsidR="007C6A5F" w:rsidRDefault="007C6A5F" w:rsidP="00C36DA4">
            <w:pPr>
              <w:pStyle w:val="TableDataColumnHeading"/>
              <w:rPr>
                <w:lang w:val="en-GB"/>
              </w:rPr>
            </w:pPr>
            <w:r>
              <w:rPr>
                <w:lang w:val="en-GB"/>
              </w:rPr>
              <w:t>Cost of additional deaths</w:t>
            </w:r>
          </w:p>
          <w:p w:rsidR="00290DC7" w:rsidRDefault="00290DC7" w:rsidP="00290DC7">
            <w:pPr>
              <w:pStyle w:val="TableDataColumnHeading"/>
              <w:spacing w:before="0" w:after="0"/>
              <w:rPr>
                <w:lang w:val="en-GB"/>
              </w:rPr>
            </w:pPr>
          </w:p>
          <w:p w:rsidR="00290DC7" w:rsidRDefault="00290DC7" w:rsidP="00290DC7">
            <w:pPr>
              <w:pStyle w:val="TableDataColumnHeading"/>
              <w:spacing w:before="0"/>
              <w:rPr>
                <w:lang w:val="en-GB"/>
              </w:rPr>
            </w:pPr>
            <w:r>
              <w:rPr>
                <w:lang w:val="en-GB"/>
              </w:rPr>
              <w:t>Central case</w:t>
            </w:r>
          </w:p>
          <w:p w:rsidR="00E6524C" w:rsidRDefault="00E6524C" w:rsidP="00E6524C">
            <w:pPr>
              <w:pStyle w:val="TableDataColumnHeading"/>
              <w:spacing w:before="0"/>
              <w:rPr>
                <w:lang w:val="en-GB"/>
              </w:rPr>
            </w:pPr>
            <w:r>
              <w:rPr>
                <w:lang w:val="en-GB"/>
              </w:rPr>
              <w:t>($ million)</w:t>
            </w:r>
          </w:p>
        </w:tc>
        <w:tc>
          <w:tcPr>
            <w:tcW w:w="1594" w:type="dxa"/>
            <w:shd w:val="clear" w:color="auto" w:fill="6F6652" w:themeFill="accent5"/>
          </w:tcPr>
          <w:p w:rsidR="007C6A5F" w:rsidRDefault="007C6A5F" w:rsidP="00C36DA4">
            <w:pPr>
              <w:pStyle w:val="TableDataColumnHeading"/>
              <w:rPr>
                <w:lang w:val="en-GB"/>
              </w:rPr>
            </w:pPr>
            <w:r>
              <w:rPr>
                <w:lang w:val="en-GB"/>
              </w:rPr>
              <w:t>Cost of additional deaths</w:t>
            </w:r>
          </w:p>
          <w:p w:rsidR="00290DC7" w:rsidRDefault="00290DC7" w:rsidP="00290DC7">
            <w:pPr>
              <w:pStyle w:val="TableDataColumnHeading"/>
              <w:spacing w:before="0" w:after="0"/>
              <w:rPr>
                <w:lang w:val="en-GB"/>
              </w:rPr>
            </w:pPr>
          </w:p>
          <w:p w:rsidR="00290DC7" w:rsidRDefault="00290DC7" w:rsidP="00290DC7">
            <w:pPr>
              <w:pStyle w:val="TableDataColumnHeading"/>
              <w:spacing w:before="0"/>
              <w:rPr>
                <w:lang w:val="en-GB"/>
              </w:rPr>
            </w:pPr>
            <w:r>
              <w:rPr>
                <w:lang w:val="en-GB"/>
              </w:rPr>
              <w:t>High estimate</w:t>
            </w:r>
          </w:p>
          <w:p w:rsidR="00E6524C" w:rsidRDefault="00E6524C" w:rsidP="00290DC7">
            <w:pPr>
              <w:pStyle w:val="TableDataColumnHeading"/>
              <w:spacing w:before="0"/>
              <w:rPr>
                <w:lang w:val="en-GB"/>
              </w:rPr>
            </w:pPr>
            <w:r>
              <w:rPr>
                <w:lang w:val="en-GB"/>
              </w:rPr>
              <w:t>($ million)</w:t>
            </w:r>
          </w:p>
        </w:tc>
      </w:tr>
      <w:tr w:rsidR="007C6A5F" w:rsidTr="007B2C93">
        <w:trPr>
          <w:trHeight w:val="230"/>
        </w:trPr>
        <w:tc>
          <w:tcPr>
            <w:tcW w:w="152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0-14</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5 989.1</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1.12</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1.53</w:t>
            </w:r>
          </w:p>
        </w:tc>
        <w:tc>
          <w:tcPr>
            <w:tcW w:w="159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1.91</w:t>
            </w:r>
          </w:p>
        </w:tc>
      </w:tr>
      <w:tr w:rsidR="007C6A5F" w:rsidTr="007B2C93">
        <w:trPr>
          <w:trHeight w:val="230"/>
        </w:trPr>
        <w:tc>
          <w:tcPr>
            <w:tcW w:w="152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15-24</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5 678.4</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0.76</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1.04</w:t>
            </w:r>
          </w:p>
        </w:tc>
        <w:tc>
          <w:tcPr>
            <w:tcW w:w="159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1.29</w:t>
            </w:r>
          </w:p>
        </w:tc>
      </w:tr>
      <w:tr w:rsidR="007C6A5F" w:rsidTr="007B2C93">
        <w:trPr>
          <w:trHeight w:val="230"/>
        </w:trPr>
        <w:tc>
          <w:tcPr>
            <w:tcW w:w="152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25-34</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5 339.0</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1.02</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1.39</w:t>
            </w:r>
          </w:p>
        </w:tc>
        <w:tc>
          <w:tcPr>
            <w:tcW w:w="159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1.73</w:t>
            </w:r>
          </w:p>
        </w:tc>
      </w:tr>
      <w:tr w:rsidR="007C6A5F" w:rsidTr="007B2C93">
        <w:trPr>
          <w:trHeight w:val="230"/>
        </w:trPr>
        <w:tc>
          <w:tcPr>
            <w:tcW w:w="152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35-44</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4 891.5</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1.29</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1.77</w:t>
            </w:r>
          </w:p>
        </w:tc>
        <w:tc>
          <w:tcPr>
            <w:tcW w:w="159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2.21</w:t>
            </w:r>
          </w:p>
        </w:tc>
      </w:tr>
      <w:tr w:rsidR="007C6A5F" w:rsidTr="007B2C93">
        <w:trPr>
          <w:trHeight w:val="230"/>
        </w:trPr>
        <w:tc>
          <w:tcPr>
            <w:tcW w:w="152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45-54</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4 313.2</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1.96</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2.69</w:t>
            </w:r>
          </w:p>
        </w:tc>
        <w:tc>
          <w:tcPr>
            <w:tcW w:w="159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3.34</w:t>
            </w:r>
          </w:p>
        </w:tc>
      </w:tr>
      <w:tr w:rsidR="007C6A5F" w:rsidTr="007B2C93">
        <w:trPr>
          <w:trHeight w:val="230"/>
        </w:trPr>
        <w:tc>
          <w:tcPr>
            <w:tcW w:w="152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55-64</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3 586.5</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2.24</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3.07</w:t>
            </w:r>
          </w:p>
        </w:tc>
        <w:tc>
          <w:tcPr>
            <w:tcW w:w="159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3.82</w:t>
            </w:r>
          </w:p>
        </w:tc>
      </w:tr>
      <w:tr w:rsidR="007C6A5F" w:rsidTr="007B2C93">
        <w:trPr>
          <w:trHeight w:val="230"/>
        </w:trPr>
        <w:tc>
          <w:tcPr>
            <w:tcW w:w="152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65-74</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2 709.7</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1.49</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2.05</w:t>
            </w:r>
          </w:p>
        </w:tc>
        <w:tc>
          <w:tcPr>
            <w:tcW w:w="159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2.54</w:t>
            </w:r>
          </w:p>
        </w:tc>
      </w:tr>
      <w:tr w:rsidR="007C6A5F" w:rsidTr="007B2C93">
        <w:trPr>
          <w:trHeight w:val="230"/>
        </w:trPr>
        <w:tc>
          <w:tcPr>
            <w:tcW w:w="152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75-84</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1 748.7</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4.75</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6.51</w:t>
            </w:r>
          </w:p>
        </w:tc>
        <w:tc>
          <w:tcPr>
            <w:tcW w:w="159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8.10</w:t>
            </w:r>
          </w:p>
        </w:tc>
      </w:tr>
      <w:tr w:rsidR="007C6A5F" w:rsidTr="007B2C93">
        <w:trPr>
          <w:trHeight w:val="230"/>
        </w:trPr>
        <w:tc>
          <w:tcPr>
            <w:tcW w:w="152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85-94</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924.0</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5.86</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8.03</w:t>
            </w:r>
          </w:p>
        </w:tc>
        <w:tc>
          <w:tcPr>
            <w:tcW w:w="159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9.98</w:t>
            </w:r>
          </w:p>
        </w:tc>
      </w:tr>
      <w:tr w:rsidR="007C6A5F" w:rsidTr="00B5160B">
        <w:trPr>
          <w:trHeight w:val="230"/>
        </w:trPr>
        <w:tc>
          <w:tcPr>
            <w:tcW w:w="152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95+</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512.2</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2.07</w:t>
            </w:r>
          </w:p>
        </w:tc>
        <w:tc>
          <w:tcPr>
            <w:tcW w:w="16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2.83</w:t>
            </w:r>
          </w:p>
        </w:tc>
        <w:tc>
          <w:tcPr>
            <w:tcW w:w="159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3.52</w:t>
            </w:r>
          </w:p>
        </w:tc>
      </w:tr>
      <w:tr w:rsidR="007C6A5F" w:rsidRPr="00801E43" w:rsidTr="00B5160B">
        <w:trPr>
          <w:trHeight w:val="230"/>
        </w:trPr>
        <w:tc>
          <w:tcPr>
            <w:tcW w:w="1527"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jc w:val="left"/>
              <w:rPr>
                <w:rFonts w:ascii="Franklin Gothic Demi" w:hAnsi="Franklin Gothic Demi"/>
                <w:lang w:val="en-GB"/>
              </w:rPr>
            </w:pPr>
            <w:r w:rsidRPr="00801E43">
              <w:rPr>
                <w:rFonts w:ascii="Franklin Gothic Demi" w:hAnsi="Franklin Gothic Demi"/>
                <w:lang w:val="en-GB"/>
              </w:rPr>
              <w:t>Total</w:t>
            </w:r>
          </w:p>
        </w:tc>
        <w:tc>
          <w:tcPr>
            <w:tcW w:w="1605"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p>
        </w:tc>
        <w:tc>
          <w:tcPr>
            <w:tcW w:w="1605"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lang w:val="en-GB"/>
              </w:rPr>
              <w:t xml:space="preserve"> 22.56</w:t>
            </w:r>
          </w:p>
        </w:tc>
        <w:tc>
          <w:tcPr>
            <w:tcW w:w="1605"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lang w:val="en-GB"/>
              </w:rPr>
              <w:t xml:space="preserve"> 30.92</w:t>
            </w:r>
          </w:p>
        </w:tc>
        <w:tc>
          <w:tcPr>
            <w:tcW w:w="1594"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lang w:val="en-GB"/>
              </w:rPr>
              <w:t xml:space="preserve"> 38.44</w:t>
            </w:r>
          </w:p>
        </w:tc>
      </w:tr>
    </w:tbl>
    <w:p w:rsidR="007C6A5F" w:rsidRDefault="007C6A5F" w:rsidP="007C6A5F">
      <w:pPr>
        <w:pStyle w:val="Source"/>
        <w:rPr>
          <w:lang w:bidi="fa-IR"/>
        </w:rPr>
      </w:pPr>
      <w:r w:rsidRPr="002D2C0A">
        <w:rPr>
          <w:i/>
          <w:lang w:bidi="fa-IR"/>
        </w:rPr>
        <w:t>Source:</w:t>
      </w:r>
      <w:r>
        <w:rPr>
          <w:lang w:bidi="fa-IR"/>
        </w:rPr>
        <w:t xml:space="preserve"> CIE estimates.</w:t>
      </w:r>
    </w:p>
    <w:bookmarkEnd w:id="6470"/>
    <w:p w:rsidR="007C6A5F" w:rsidRPr="001A617E" w:rsidRDefault="007C6A5F" w:rsidP="007C6A5F">
      <w:pPr>
        <w:pStyle w:val="Heading8"/>
        <w:numPr>
          <w:ilvl w:val="7"/>
          <w:numId w:val="5"/>
        </w:numPr>
      </w:pPr>
      <w:r>
        <w:lastRenderedPageBreak/>
        <w:t>Hospital admissions</w:t>
      </w:r>
    </w:p>
    <w:p w:rsidR="007C6A5F" w:rsidRDefault="007C6A5F" w:rsidP="007C6A5F">
      <w:pPr>
        <w:pStyle w:val="BodyText"/>
        <w:rPr>
          <w:lang w:bidi="fa-IR"/>
        </w:rPr>
      </w:pPr>
      <w:r>
        <w:rPr>
          <w:lang w:bidi="fa-IR"/>
        </w:rPr>
        <w:t>We estimate there could be between an additional 711 and 1211 fall</w:t>
      </w:r>
      <w:r>
        <w:rPr>
          <w:lang w:bidi="fa-IR"/>
        </w:rPr>
        <w:noBreakHyphen/>
        <w:t>related hospital admissions per year due to people with accessibility needs living in inaccessible housing, with a central case estimate of 974 additional hospital admissions. These estimates are based on the following.</w:t>
      </w:r>
    </w:p>
    <w:p w:rsidR="007C6A5F" w:rsidRDefault="007C6A5F" w:rsidP="005A6F87">
      <w:pPr>
        <w:pStyle w:val="ListBullet"/>
        <w:numPr>
          <w:ilvl w:val="0"/>
          <w:numId w:val="17"/>
        </w:numPr>
        <w:rPr>
          <w:lang w:bidi="fa-IR"/>
        </w:rPr>
      </w:pPr>
      <w:r>
        <w:rPr>
          <w:lang w:bidi="fa-IR"/>
        </w:rPr>
        <w:t>The baseline hospital admission rate from falls is based on NSW data for people living in the community from 2006</w:t>
      </w:r>
      <w:r>
        <w:rPr>
          <w:lang w:bidi="fa-IR"/>
        </w:rPr>
        <w:noBreakHyphen/>
        <w:t>07, as reported in a UNSW report to NSW Health.</w:t>
      </w:r>
      <w:r>
        <w:rPr>
          <w:rStyle w:val="FootnoteReference"/>
          <w:lang w:bidi="fa-IR"/>
        </w:rPr>
        <w:footnoteReference w:id="74"/>
      </w:r>
    </w:p>
    <w:p w:rsidR="007C6A5F" w:rsidRDefault="007C6A5F" w:rsidP="005A6F87">
      <w:pPr>
        <w:pStyle w:val="ListBullet2"/>
        <w:numPr>
          <w:ilvl w:val="1"/>
          <w:numId w:val="17"/>
        </w:numPr>
        <w:ind w:left="568" w:hanging="284"/>
        <w:rPr>
          <w:lang w:bidi="fa-IR"/>
        </w:rPr>
      </w:pPr>
      <w:r>
        <w:rPr>
          <w:lang w:bidi="fa-IR"/>
        </w:rPr>
        <w:t>Actual data, as reported by UNSW, is used for age groups over 65.</w:t>
      </w:r>
    </w:p>
    <w:p w:rsidR="007C6A5F" w:rsidRDefault="007C6A5F" w:rsidP="005A6F87">
      <w:pPr>
        <w:pStyle w:val="ListBullet2"/>
        <w:numPr>
          <w:ilvl w:val="1"/>
          <w:numId w:val="17"/>
        </w:numPr>
        <w:ind w:left="568" w:hanging="284"/>
        <w:rPr>
          <w:lang w:bidi="fa-IR"/>
        </w:rPr>
      </w:pPr>
      <w:r>
        <w:rPr>
          <w:lang w:bidi="fa-IR"/>
        </w:rPr>
        <w:t>The incidence of falls resulting in hospital admission among people under the age of 65 with mobility limitations is not reported. As above, we assumed that the incidence of falls was around the same as for the broader population in the 65</w:t>
      </w:r>
      <w:r>
        <w:rPr>
          <w:lang w:bidi="fa-IR"/>
        </w:rPr>
        <w:noBreakHyphen/>
        <w:t>69 year age bracket, as reported by UNSW.</w:t>
      </w:r>
    </w:p>
    <w:p w:rsidR="007C6A5F" w:rsidRDefault="007C6A5F" w:rsidP="005A6F87">
      <w:pPr>
        <w:pStyle w:val="ListBullet2"/>
        <w:numPr>
          <w:ilvl w:val="1"/>
          <w:numId w:val="17"/>
        </w:numPr>
        <w:ind w:left="568" w:hanging="284"/>
        <w:rPr>
          <w:lang w:bidi="fa-IR"/>
        </w:rPr>
      </w:pPr>
      <w:r>
        <w:rPr>
          <w:lang w:bidi="fa-IR"/>
        </w:rPr>
        <w:t>As not all falls occur at home, these hospital admission rates were adjusted based on Victorian data showing that 47.6 per cent of falls resulting in hospital admission occur in the home.</w:t>
      </w:r>
      <w:r>
        <w:rPr>
          <w:rStyle w:val="FootnoteReference"/>
          <w:lang w:bidi="fa-IR"/>
        </w:rPr>
        <w:footnoteReference w:id="75"/>
      </w:r>
    </w:p>
    <w:p w:rsidR="007C6A5F" w:rsidRDefault="007C6A5F" w:rsidP="005A6F87">
      <w:pPr>
        <w:pStyle w:val="ListBullet"/>
        <w:numPr>
          <w:ilvl w:val="0"/>
          <w:numId w:val="17"/>
        </w:numPr>
        <w:rPr>
          <w:lang w:bidi="fa-IR"/>
        </w:rPr>
      </w:pPr>
      <w:r>
        <w:rPr>
          <w:lang w:bidi="fa-IR"/>
        </w:rPr>
        <w:t>When people with accessibility needs live in inaccessible housing, the incidence of falls is estimated to be:</w:t>
      </w:r>
    </w:p>
    <w:p w:rsidR="007C6A5F" w:rsidRDefault="007C6A5F" w:rsidP="005A6F87">
      <w:pPr>
        <w:pStyle w:val="ListBullet2"/>
        <w:numPr>
          <w:ilvl w:val="1"/>
          <w:numId w:val="17"/>
        </w:numPr>
        <w:ind w:left="568" w:hanging="284"/>
        <w:rPr>
          <w:lang w:bidi="fa-IR"/>
        </w:rPr>
      </w:pPr>
      <w:r>
        <w:rPr>
          <w:lang w:bidi="fa-IR"/>
        </w:rPr>
        <w:t>27 per cent higher under the low estimate scenario</w:t>
      </w:r>
    </w:p>
    <w:p w:rsidR="007C6A5F" w:rsidRDefault="007C6A5F" w:rsidP="005A6F87">
      <w:pPr>
        <w:pStyle w:val="ListBullet2"/>
        <w:numPr>
          <w:ilvl w:val="1"/>
          <w:numId w:val="17"/>
        </w:numPr>
        <w:ind w:left="568" w:hanging="284"/>
        <w:rPr>
          <w:lang w:bidi="fa-IR"/>
        </w:rPr>
      </w:pPr>
      <w:r>
        <w:rPr>
          <w:lang w:bidi="fa-IR"/>
        </w:rPr>
        <w:t>37 per cent higher under the central case scenario</w:t>
      </w:r>
    </w:p>
    <w:p w:rsidR="007C6A5F" w:rsidRDefault="007C6A5F" w:rsidP="005A6F87">
      <w:pPr>
        <w:pStyle w:val="ListBullet2"/>
        <w:numPr>
          <w:ilvl w:val="1"/>
          <w:numId w:val="17"/>
        </w:numPr>
        <w:ind w:left="568" w:hanging="284"/>
        <w:rPr>
          <w:lang w:bidi="fa-IR"/>
        </w:rPr>
      </w:pPr>
      <w:r>
        <w:rPr>
          <w:lang w:bidi="fa-IR"/>
        </w:rPr>
        <w:t>46 per cent higher under the high estimate scenario (see above).</w:t>
      </w:r>
    </w:p>
    <w:p w:rsidR="007C6A5F" w:rsidRDefault="007C6A5F" w:rsidP="007C6A5F">
      <w:pPr>
        <w:pStyle w:val="Caption"/>
        <w:ind w:left="852" w:hanging="852"/>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Pr>
          <w:noProof/>
        </w:rPr>
        <w:instrText>A</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8</w:instrText>
      </w:r>
      <w:r w:rsidRPr="00695C93">
        <w:fldChar w:fldCharType="end"/>
      </w:r>
      <w:r w:rsidRPr="00695C93">
        <w:instrText xml:space="preserve">" "" </w:instrText>
      </w:r>
      <w:r w:rsidRPr="00695C93">
        <w:fldChar w:fldCharType="separate"/>
      </w:r>
      <w:bookmarkStart w:id="6489" w:name="_Caption9804"/>
      <w:bookmarkStart w:id="6490" w:name="_Caption9587"/>
      <w:bookmarkStart w:id="6491" w:name="_Caption0972"/>
      <w:bookmarkStart w:id="6492" w:name="_Caption0970"/>
      <w:bookmarkStart w:id="6493" w:name="_Toc44598568"/>
      <w:bookmarkStart w:id="6494" w:name="_Toc45654199"/>
      <w:r w:rsidR="00272AF3">
        <w:rPr>
          <w:noProof/>
        </w:rPr>
        <w:t>A</w:t>
      </w:r>
      <w:r w:rsidR="00272AF3" w:rsidRPr="00695C93">
        <w:rPr>
          <w:noProof/>
        </w:rPr>
        <w:t>.</w:t>
      </w:r>
      <w:r w:rsidR="00272AF3">
        <w:rPr>
          <w:noProof/>
        </w:rPr>
        <w:t>8</w:t>
      </w:r>
      <w:bookmarkEnd w:id="6489"/>
      <w:bookmarkEnd w:id="6490"/>
      <w:bookmarkEnd w:id="6491"/>
      <w:bookmarkEnd w:id="6492"/>
      <w:r w:rsidRPr="00695C93">
        <w:fldChar w:fldCharType="end"/>
      </w:r>
      <w:r w:rsidRPr="00695C93">
        <w:tab/>
      </w:r>
      <w:r>
        <w:t>Estimated number of additional hospital admissions due to inaccessible housing</w:t>
      </w:r>
      <w:bookmarkEnd w:id="6493"/>
      <w:bookmarkEnd w:id="6494"/>
    </w:p>
    <w:tbl>
      <w:tblPr>
        <w:tblStyle w:val="TableGridLight"/>
        <w:tblW w:w="7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A.8"/>
        <w:tblDescription w:val="Estimated number of additional hospital admissions due to inaccessible housing"/>
      </w:tblPr>
      <w:tblGrid>
        <w:gridCol w:w="814"/>
        <w:gridCol w:w="1018"/>
        <w:gridCol w:w="1018"/>
        <w:gridCol w:w="1018"/>
        <w:gridCol w:w="1018"/>
        <w:gridCol w:w="1018"/>
        <w:gridCol w:w="1018"/>
        <w:gridCol w:w="1018"/>
      </w:tblGrid>
      <w:tr w:rsidR="00157B65" w:rsidTr="005E2144">
        <w:trPr>
          <w:trHeight w:val="461"/>
          <w:tblHeader/>
        </w:trPr>
        <w:tc>
          <w:tcPr>
            <w:tcW w:w="814" w:type="dxa"/>
            <w:shd w:val="clear" w:color="auto" w:fill="6F6652" w:themeFill="accent5"/>
          </w:tcPr>
          <w:p w:rsidR="00157B65" w:rsidRDefault="00157B65" w:rsidP="00157B65">
            <w:pPr>
              <w:pStyle w:val="TableDataColumnHeading"/>
              <w:jc w:val="left"/>
              <w:rPr>
                <w:lang w:val="en-GB"/>
              </w:rPr>
            </w:pPr>
            <w:r>
              <w:rPr>
                <w:lang w:val="en-GB"/>
              </w:rPr>
              <w:t>Age group</w:t>
            </w:r>
          </w:p>
        </w:tc>
        <w:tc>
          <w:tcPr>
            <w:tcW w:w="1018" w:type="dxa"/>
            <w:shd w:val="clear" w:color="auto" w:fill="6F6652" w:themeFill="accent5"/>
          </w:tcPr>
          <w:p w:rsidR="00157B65" w:rsidRDefault="00157B65" w:rsidP="00157B65">
            <w:pPr>
              <w:pStyle w:val="TableDataColumnHeading"/>
              <w:rPr>
                <w:lang w:val="en-GB"/>
              </w:rPr>
            </w:pPr>
            <w:r>
              <w:rPr>
                <w:lang w:val="en-GB"/>
              </w:rPr>
              <w:t>Population affected</w:t>
            </w:r>
            <w:r w:rsidRPr="00F84654">
              <w:rPr>
                <w:rStyle w:val="NoteLabel"/>
                <w:color w:val="FFFFFF" w:themeColor="background1"/>
              </w:rPr>
              <w:t>a</w:t>
            </w:r>
            <w:r w:rsidR="00DE73EB">
              <w:rPr>
                <w:rStyle w:val="NoteLabel"/>
                <w:color w:val="FFFFFF" w:themeColor="background1"/>
              </w:rPr>
              <w:t xml:space="preserve"> </w:t>
            </w:r>
            <w:r w:rsidR="00DE73EB">
              <w:rPr>
                <w:rStyle w:val="NoteLabel"/>
                <w:color w:val="FFFFFF" w:themeColor="background1"/>
              </w:rPr>
              <w:br/>
              <w:t>(‘000)</w:t>
            </w:r>
          </w:p>
        </w:tc>
        <w:tc>
          <w:tcPr>
            <w:tcW w:w="1018" w:type="dxa"/>
            <w:shd w:val="clear" w:color="auto" w:fill="6F6652" w:themeFill="accent5"/>
          </w:tcPr>
          <w:p w:rsidR="00157B65" w:rsidRDefault="00157B65" w:rsidP="00157B65">
            <w:pPr>
              <w:pStyle w:val="TableDataColumnHeading"/>
              <w:rPr>
                <w:lang w:val="en-GB"/>
              </w:rPr>
            </w:pPr>
            <w:r>
              <w:rPr>
                <w:lang w:val="en-GB"/>
              </w:rPr>
              <w:t>Hospital admission rate from falls</w:t>
            </w:r>
            <w:r w:rsidRPr="00F84654">
              <w:rPr>
                <w:rStyle w:val="NoteLabel"/>
                <w:color w:val="FFFFFF" w:themeColor="background1"/>
              </w:rPr>
              <w:t>b</w:t>
            </w:r>
            <w:r w:rsidR="00DE73EB">
              <w:rPr>
                <w:rStyle w:val="NoteLabel"/>
                <w:color w:val="FFFFFF" w:themeColor="background1"/>
              </w:rPr>
              <w:t xml:space="preserve"> </w:t>
            </w:r>
            <w:r w:rsidR="00DE73EB">
              <w:rPr>
                <w:rStyle w:val="NoteLabel"/>
                <w:color w:val="FFFFFF" w:themeColor="background1"/>
              </w:rPr>
              <w:br/>
              <w:t>(Rate per 100 000)</w:t>
            </w:r>
          </w:p>
        </w:tc>
        <w:tc>
          <w:tcPr>
            <w:tcW w:w="1018" w:type="dxa"/>
            <w:shd w:val="clear" w:color="auto" w:fill="6F6652" w:themeFill="accent5"/>
          </w:tcPr>
          <w:p w:rsidR="00157B65" w:rsidRDefault="00157B65" w:rsidP="00157B65">
            <w:pPr>
              <w:pStyle w:val="TableDataColumnHeading"/>
              <w:rPr>
                <w:lang w:val="en-GB"/>
              </w:rPr>
            </w:pPr>
            <w:r>
              <w:rPr>
                <w:lang w:val="en-GB"/>
              </w:rPr>
              <w:t>Hospital admission rate for falls at home</w:t>
            </w:r>
            <w:r w:rsidRPr="00F84654">
              <w:rPr>
                <w:rStyle w:val="NoteLabel"/>
                <w:color w:val="FFFFFF" w:themeColor="background1"/>
              </w:rPr>
              <w:t>c</w:t>
            </w:r>
            <w:r w:rsidR="00DE73EB">
              <w:rPr>
                <w:rStyle w:val="NoteLabel"/>
                <w:color w:val="FFFFFF" w:themeColor="background1"/>
              </w:rPr>
              <w:t xml:space="preserve"> </w:t>
            </w:r>
            <w:r w:rsidR="00DE73EB">
              <w:rPr>
                <w:rStyle w:val="NoteLabel"/>
                <w:color w:val="FFFFFF" w:themeColor="background1"/>
              </w:rPr>
              <w:br/>
              <w:t>(Rate per 100 000)</w:t>
            </w:r>
          </w:p>
        </w:tc>
        <w:tc>
          <w:tcPr>
            <w:tcW w:w="1018" w:type="dxa"/>
            <w:shd w:val="clear" w:color="auto" w:fill="6F6652" w:themeFill="accent5"/>
          </w:tcPr>
          <w:p w:rsidR="00157B65" w:rsidRDefault="00157B65" w:rsidP="00157B65">
            <w:pPr>
              <w:pStyle w:val="TableDataColumnHeading"/>
              <w:rPr>
                <w:lang w:val="en-GB"/>
              </w:rPr>
            </w:pPr>
            <w:r>
              <w:rPr>
                <w:lang w:val="en-GB"/>
              </w:rPr>
              <w:t xml:space="preserve">Estimated hospital admissions </w:t>
            </w:r>
            <w:r w:rsidR="00DE73EB">
              <w:rPr>
                <w:lang w:val="en-GB"/>
              </w:rPr>
              <w:t>–</w:t>
            </w:r>
            <w:r>
              <w:rPr>
                <w:lang w:val="en-GB"/>
              </w:rPr>
              <w:t xml:space="preserve"> baseline</w:t>
            </w:r>
            <w:r w:rsidR="00DE73EB">
              <w:rPr>
                <w:lang w:val="en-GB"/>
              </w:rPr>
              <w:t xml:space="preserve"> </w:t>
            </w:r>
            <w:r w:rsidR="00DE73EB">
              <w:rPr>
                <w:lang w:val="en-GB"/>
              </w:rPr>
              <w:br/>
            </w:r>
            <w:r w:rsidR="00DE73EB">
              <w:rPr>
                <w:rStyle w:val="NoteLabel"/>
                <w:color w:val="FFFFFF" w:themeColor="background1"/>
              </w:rPr>
              <w:t>(No.)</w:t>
            </w:r>
          </w:p>
        </w:tc>
        <w:tc>
          <w:tcPr>
            <w:tcW w:w="1018" w:type="dxa"/>
            <w:shd w:val="clear" w:color="auto" w:fill="6F6652" w:themeFill="accent5"/>
          </w:tcPr>
          <w:p w:rsidR="00157B65" w:rsidRDefault="00157B65" w:rsidP="00157B65">
            <w:pPr>
              <w:pStyle w:val="TableDataColumnHeading"/>
              <w:rPr>
                <w:lang w:val="en-GB"/>
              </w:rPr>
            </w:pPr>
            <w:r>
              <w:rPr>
                <w:lang w:val="en-GB"/>
              </w:rPr>
              <w:t>Additional hospital admissions due to inaccessible housing: Low estimate</w:t>
            </w:r>
            <w:r w:rsidRPr="00F84654">
              <w:rPr>
                <w:rStyle w:val="NoteLabel"/>
                <w:color w:val="FFFFFF" w:themeColor="background1"/>
              </w:rPr>
              <w:t>d</w:t>
            </w:r>
            <w:r w:rsidR="00DE73EB">
              <w:rPr>
                <w:rStyle w:val="NoteLabel"/>
                <w:color w:val="FFFFFF" w:themeColor="background1"/>
              </w:rPr>
              <w:t xml:space="preserve"> </w:t>
            </w:r>
            <w:r w:rsidR="00DE73EB">
              <w:rPr>
                <w:rStyle w:val="NoteLabel"/>
                <w:color w:val="FFFFFF" w:themeColor="background1"/>
              </w:rPr>
              <w:br/>
              <w:t>(No.)</w:t>
            </w:r>
          </w:p>
        </w:tc>
        <w:tc>
          <w:tcPr>
            <w:tcW w:w="1018" w:type="dxa"/>
            <w:shd w:val="clear" w:color="auto" w:fill="6F6652" w:themeFill="accent5"/>
          </w:tcPr>
          <w:p w:rsidR="00157B65" w:rsidRPr="00DE73EB" w:rsidRDefault="00157B65" w:rsidP="00157B65">
            <w:pPr>
              <w:pStyle w:val="TableDataColumnHeading"/>
            </w:pPr>
            <w:r>
              <w:rPr>
                <w:lang w:val="en-GB"/>
              </w:rPr>
              <w:t>Additional hospital admissions due to inaccessible housing: Central case</w:t>
            </w:r>
            <w:r>
              <w:rPr>
                <w:rStyle w:val="NoteLabel"/>
                <w:color w:val="FFFFFF" w:themeColor="background1"/>
              </w:rPr>
              <w:t>e</w:t>
            </w:r>
            <w:r w:rsidR="00DE73EB">
              <w:rPr>
                <w:rStyle w:val="NoteLabel"/>
                <w:color w:val="FFFFFF" w:themeColor="background1"/>
              </w:rPr>
              <w:br/>
              <w:t>(No.)</w:t>
            </w:r>
          </w:p>
        </w:tc>
        <w:tc>
          <w:tcPr>
            <w:tcW w:w="1018" w:type="dxa"/>
            <w:shd w:val="clear" w:color="auto" w:fill="6F6652" w:themeFill="accent5"/>
          </w:tcPr>
          <w:p w:rsidR="00157B65" w:rsidRDefault="00157B65" w:rsidP="00157B65">
            <w:pPr>
              <w:pStyle w:val="TableDataColumnHeading"/>
              <w:rPr>
                <w:lang w:val="en-GB"/>
              </w:rPr>
            </w:pPr>
            <w:r>
              <w:rPr>
                <w:lang w:val="en-GB"/>
              </w:rPr>
              <w:t xml:space="preserve">Additional hospital admissions due to inaccessible housing: High </w:t>
            </w:r>
            <w:r w:rsidR="00DE73EB">
              <w:rPr>
                <w:lang w:val="en-GB"/>
              </w:rPr>
              <w:t>estimate</w:t>
            </w:r>
            <w:r w:rsidR="00DE73EB">
              <w:rPr>
                <w:rStyle w:val="NoteLabel"/>
                <w:color w:val="FFFFFF" w:themeColor="background1"/>
              </w:rPr>
              <w:br/>
              <w:t>(No.)</w:t>
            </w:r>
          </w:p>
        </w:tc>
      </w:tr>
      <w:tr w:rsidR="007C6A5F" w:rsidTr="007B2C93">
        <w:trPr>
          <w:trHeight w:val="230"/>
        </w:trPr>
        <w:tc>
          <w:tcPr>
            <w:tcW w:w="81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 xml:space="preserve">0 to 4 </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7.7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810.67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385.88</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30</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11</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14</w:t>
            </w:r>
          </w:p>
        </w:tc>
      </w:tr>
      <w:tr w:rsidR="007C6A5F" w:rsidTr="007B2C93">
        <w:trPr>
          <w:trHeight w:val="230"/>
        </w:trPr>
        <w:tc>
          <w:tcPr>
            <w:tcW w:w="81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 xml:space="preserve">5 to 9 </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6.6</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810.67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385.88</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25</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9</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12</w:t>
            </w:r>
          </w:p>
        </w:tc>
      </w:tr>
      <w:tr w:rsidR="007C6A5F" w:rsidTr="007B2C93">
        <w:trPr>
          <w:trHeight w:val="230"/>
        </w:trPr>
        <w:tc>
          <w:tcPr>
            <w:tcW w:w="81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 xml:space="preserve">10 to 14 </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5.6</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810.67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385.88</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22</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10</w:t>
            </w:r>
          </w:p>
        </w:tc>
      </w:tr>
      <w:tr w:rsidR="007C6A5F" w:rsidTr="007B2C93">
        <w:trPr>
          <w:trHeight w:val="230"/>
        </w:trPr>
        <w:tc>
          <w:tcPr>
            <w:tcW w:w="81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 xml:space="preserve">15 to 19 </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8.8</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810.67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385.88</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34</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9</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13</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16</w:t>
            </w:r>
          </w:p>
        </w:tc>
      </w:tr>
      <w:tr w:rsidR="007C6A5F" w:rsidTr="007B2C93">
        <w:trPr>
          <w:trHeight w:val="230"/>
        </w:trPr>
        <w:tc>
          <w:tcPr>
            <w:tcW w:w="81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 xml:space="preserve">20 to 24 </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5.4</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810.67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385.88</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21</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10</w:t>
            </w:r>
          </w:p>
        </w:tc>
      </w:tr>
      <w:tr w:rsidR="007C6A5F" w:rsidTr="007B2C93">
        <w:trPr>
          <w:trHeight w:val="230"/>
        </w:trPr>
        <w:tc>
          <w:tcPr>
            <w:tcW w:w="81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 xml:space="preserve">25 to 29 </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8.4</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810.67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385.88</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32</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9</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12</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15</w:t>
            </w:r>
          </w:p>
        </w:tc>
      </w:tr>
      <w:tr w:rsidR="007C6A5F" w:rsidTr="007B2C93">
        <w:trPr>
          <w:trHeight w:val="230"/>
        </w:trPr>
        <w:tc>
          <w:tcPr>
            <w:tcW w:w="81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 xml:space="preserve">30 to 34 </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11.9</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810.67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385.88</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46</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12</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21</w:t>
            </w:r>
          </w:p>
        </w:tc>
      </w:tr>
      <w:tr w:rsidR="007C6A5F" w:rsidTr="007B2C93">
        <w:trPr>
          <w:trHeight w:val="230"/>
        </w:trPr>
        <w:tc>
          <w:tcPr>
            <w:tcW w:w="81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 xml:space="preserve">35 to 39 </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11.5</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810.67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385.88</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44</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12</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16</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20</w:t>
            </w:r>
          </w:p>
        </w:tc>
      </w:tr>
      <w:tr w:rsidR="007C6A5F" w:rsidTr="007B2C93">
        <w:trPr>
          <w:trHeight w:val="230"/>
        </w:trPr>
        <w:tc>
          <w:tcPr>
            <w:tcW w:w="81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lastRenderedPageBreak/>
              <w:t xml:space="preserve">40 to 44 </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16.7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810.67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385.88</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64</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24</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30</w:t>
            </w:r>
          </w:p>
        </w:tc>
      </w:tr>
      <w:tr w:rsidR="007C6A5F" w:rsidTr="007B2C93">
        <w:trPr>
          <w:trHeight w:val="230"/>
        </w:trPr>
        <w:tc>
          <w:tcPr>
            <w:tcW w:w="81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 xml:space="preserve">45 to 49 </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23.2</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810.67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385.88</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90</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24</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33</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41</w:t>
            </w:r>
          </w:p>
        </w:tc>
      </w:tr>
      <w:tr w:rsidR="007C6A5F" w:rsidTr="007B2C93">
        <w:trPr>
          <w:trHeight w:val="230"/>
        </w:trPr>
        <w:tc>
          <w:tcPr>
            <w:tcW w:w="81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 xml:space="preserve">50 to 54 </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25.2</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810.67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385.88</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97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26</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36</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45</w:t>
            </w:r>
          </w:p>
        </w:tc>
      </w:tr>
      <w:tr w:rsidR="007C6A5F" w:rsidTr="007B2C93">
        <w:trPr>
          <w:trHeight w:val="230"/>
        </w:trPr>
        <w:tc>
          <w:tcPr>
            <w:tcW w:w="81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 xml:space="preserve">55 to 59 </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34.8</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810.67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385.88</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134</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36</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50</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62</w:t>
            </w:r>
          </w:p>
        </w:tc>
      </w:tr>
      <w:tr w:rsidR="007C6A5F" w:rsidTr="007B2C93">
        <w:trPr>
          <w:trHeight w:val="230"/>
        </w:trPr>
        <w:tc>
          <w:tcPr>
            <w:tcW w:w="81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 xml:space="preserve">60 to 64 </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31.8</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810.67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385.88</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123</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33</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45</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56</w:t>
            </w:r>
          </w:p>
        </w:tc>
      </w:tr>
      <w:tr w:rsidR="007C6A5F" w:rsidTr="007B2C93">
        <w:trPr>
          <w:trHeight w:val="230"/>
        </w:trPr>
        <w:tc>
          <w:tcPr>
            <w:tcW w:w="81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 xml:space="preserve">65 to 69 </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35.7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810.67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385.88</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138</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51</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63</w:t>
            </w:r>
          </w:p>
        </w:tc>
      </w:tr>
      <w:tr w:rsidR="007C6A5F" w:rsidTr="007B2C93">
        <w:trPr>
          <w:trHeight w:val="230"/>
        </w:trPr>
        <w:tc>
          <w:tcPr>
            <w:tcW w:w="81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 xml:space="preserve">70 to 74 </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23.0</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1 152.33</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548.51</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126</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34</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58</w:t>
            </w:r>
          </w:p>
        </w:tc>
      </w:tr>
      <w:tr w:rsidR="007C6A5F" w:rsidTr="007B2C93">
        <w:trPr>
          <w:trHeight w:val="230"/>
        </w:trPr>
        <w:tc>
          <w:tcPr>
            <w:tcW w:w="81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 xml:space="preserve">75 to 79 </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25.8</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2 079.62</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989.90</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255</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69</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94</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117</w:t>
            </w:r>
          </w:p>
        </w:tc>
      </w:tr>
      <w:tr w:rsidR="007C6A5F" w:rsidTr="007B2C93">
        <w:trPr>
          <w:trHeight w:val="230"/>
        </w:trPr>
        <w:tc>
          <w:tcPr>
            <w:tcW w:w="81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 xml:space="preserve">80 to 84 </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18.3</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3 726.30</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1 773.72</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325</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88</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120</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149</w:t>
            </w:r>
          </w:p>
        </w:tc>
      </w:tr>
      <w:tr w:rsidR="007C6A5F" w:rsidTr="007B2C93">
        <w:trPr>
          <w:trHeight w:val="230"/>
        </w:trPr>
        <w:tc>
          <w:tcPr>
            <w:tcW w:w="81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 xml:space="preserve">85 to 89 </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13.0</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6 246.91</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2 973.53</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387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104</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143</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178</w:t>
            </w:r>
          </w:p>
        </w:tc>
      </w:tr>
      <w:tr w:rsidR="007C6A5F" w:rsidTr="007B2C93">
        <w:trPr>
          <w:trHeight w:val="230"/>
        </w:trPr>
        <w:tc>
          <w:tcPr>
            <w:tcW w:w="81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 xml:space="preserve">90 to 94 </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7.7</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10 392.42</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4 946.79</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381</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103</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141</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175</w:t>
            </w:r>
          </w:p>
        </w:tc>
      </w:tr>
      <w:tr w:rsidR="007C6A5F" w:rsidTr="00B5160B">
        <w:trPr>
          <w:trHeight w:val="230"/>
        </w:trPr>
        <w:tc>
          <w:tcPr>
            <w:tcW w:w="81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 xml:space="preserve">95+ </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4.0</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13 590.43</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6 469.04</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259</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70</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96</w:t>
            </w:r>
          </w:p>
        </w:tc>
        <w:tc>
          <w:tcPr>
            <w:tcW w:w="10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119</w:t>
            </w:r>
          </w:p>
        </w:tc>
      </w:tr>
      <w:tr w:rsidR="007C6A5F" w:rsidRPr="00801E43" w:rsidTr="00B5160B">
        <w:trPr>
          <w:trHeight w:val="230"/>
        </w:trPr>
        <w:tc>
          <w:tcPr>
            <w:tcW w:w="814"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jc w:val="left"/>
              <w:rPr>
                <w:rFonts w:ascii="Franklin Gothic Demi" w:hAnsi="Franklin Gothic Demi"/>
                <w:lang w:val="en-GB"/>
              </w:rPr>
            </w:pPr>
            <w:r w:rsidRPr="00801E43">
              <w:rPr>
                <w:rFonts w:ascii="Franklin Gothic Demi" w:hAnsi="Franklin Gothic Demi"/>
                <w:lang w:val="en-GB"/>
              </w:rPr>
              <w:t>Total</w:t>
            </w:r>
          </w:p>
        </w:tc>
        <w:tc>
          <w:tcPr>
            <w:tcW w:w="1018"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lang w:val="en-GB"/>
              </w:rPr>
              <w:t xml:space="preserve"> 325.1</w:t>
            </w:r>
          </w:p>
        </w:tc>
        <w:tc>
          <w:tcPr>
            <w:tcW w:w="1018"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p>
        </w:tc>
        <w:tc>
          <w:tcPr>
            <w:tcW w:w="1018"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p>
        </w:tc>
        <w:tc>
          <w:tcPr>
            <w:tcW w:w="1018"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lang w:val="en-GB"/>
              </w:rPr>
              <w:t>2 633</w:t>
            </w:r>
          </w:p>
        </w:tc>
        <w:tc>
          <w:tcPr>
            <w:tcW w:w="1018"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lang w:val="en-GB"/>
              </w:rPr>
              <w:t xml:space="preserve"> 711</w:t>
            </w:r>
          </w:p>
        </w:tc>
        <w:tc>
          <w:tcPr>
            <w:tcW w:w="1018"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lang w:val="en-GB"/>
              </w:rPr>
              <w:t xml:space="preserve"> 974</w:t>
            </w:r>
          </w:p>
        </w:tc>
        <w:tc>
          <w:tcPr>
            <w:tcW w:w="1018"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lang w:val="en-GB"/>
              </w:rPr>
              <w:t>1 211</w:t>
            </w:r>
          </w:p>
        </w:tc>
      </w:tr>
    </w:tbl>
    <w:p w:rsidR="007C6A5F" w:rsidRPr="00E4232C" w:rsidRDefault="007C6A5F" w:rsidP="007C6A5F">
      <w:pPr>
        <w:pStyle w:val="Note"/>
      </w:pPr>
      <w:r w:rsidRPr="00F84654">
        <w:rPr>
          <w:rStyle w:val="NoteLabel"/>
          <w:color w:val="000000" w:themeColor="text1"/>
        </w:rPr>
        <w:t>a</w:t>
      </w:r>
      <w:r>
        <w:t xml:space="preserve"> Based on 2018 SDAC data. Population at risk of falls due to inaccessible housing defined as  people that:: have a mobility limitation; either require assistance or have trouble moving around their place of residence; live in a household; and live in a dwelling that has not been modified to meet their needs.. </w:t>
      </w:r>
      <w:r w:rsidRPr="00F84654">
        <w:rPr>
          <w:rStyle w:val="NoteLabel"/>
          <w:color w:val="000000" w:themeColor="text1"/>
        </w:rPr>
        <w:t>b</w:t>
      </w:r>
      <w:r>
        <w:t xml:space="preserve"> Based on hospital admission rates from the community (i.e. excluding residential aged care) in NSW in 2006</w:t>
      </w:r>
      <w:r>
        <w:noBreakHyphen/>
        <w:t xml:space="preserve">07 reported in UNSW, 2010, p. 28. </w:t>
      </w:r>
      <w:r w:rsidRPr="00F84654">
        <w:rPr>
          <w:rStyle w:val="NoteLabel"/>
          <w:color w:val="000000" w:themeColor="text1"/>
        </w:rPr>
        <w:t>c</w:t>
      </w:r>
      <w:r>
        <w:t xml:space="preserve"> Adjusted based on 47.6 per cent of falls resulting in hospital admission occurring at home as reported in Stathakis, V. Gray, S. and Berecki</w:t>
      </w:r>
      <w:r>
        <w:noBreakHyphen/>
        <w:t xml:space="preserve">Gisolf, J. 2015, p. 2. </w:t>
      </w:r>
      <w:r w:rsidRPr="00F84654">
        <w:rPr>
          <w:rStyle w:val="NoteLabel"/>
          <w:color w:val="000000" w:themeColor="text1"/>
        </w:rPr>
        <w:t xml:space="preserve">d </w:t>
      </w:r>
      <w:r>
        <w:t xml:space="preserve">Based on accessible housing reducing falls by 27 per cent. </w:t>
      </w:r>
      <w:r w:rsidRPr="00F84654">
        <w:rPr>
          <w:rStyle w:val="NoteLabel"/>
          <w:color w:val="000000" w:themeColor="text1"/>
        </w:rPr>
        <w:t xml:space="preserve">e </w:t>
      </w:r>
      <w:r>
        <w:t xml:space="preserve">Based on accessible housing reducing falls by 37 per cent. </w:t>
      </w:r>
      <w:r w:rsidRPr="00F84654">
        <w:rPr>
          <w:rStyle w:val="NoteLabel"/>
          <w:color w:val="000000" w:themeColor="text1"/>
        </w:rPr>
        <w:t xml:space="preserve">f </w:t>
      </w:r>
      <w:r>
        <w:t xml:space="preserve">Based on accessible housing reducing falls by 46 per cent. </w:t>
      </w:r>
    </w:p>
    <w:p w:rsidR="007C6A5F" w:rsidRDefault="007C6A5F" w:rsidP="007C6A5F">
      <w:pPr>
        <w:pStyle w:val="Source"/>
      </w:pPr>
      <w:r>
        <w:rPr>
          <w:i/>
        </w:rPr>
        <w:t>Source</w:t>
      </w:r>
      <w:r w:rsidRPr="00E4232C">
        <w:rPr>
          <w:i/>
        </w:rPr>
        <w:t>:</w:t>
      </w:r>
      <w:r>
        <w:t xml:space="preserve"> ABS Survey of Disability, Ageing and Carers 2018; University of NSW, </w:t>
      </w:r>
      <w:r w:rsidRPr="00FB0C5C">
        <w:rPr>
          <w:i/>
          <w:iCs/>
        </w:rPr>
        <w:t>The Incidence and Cost of Falls Injury Among Older People in New South Wales 2006/07</w:t>
      </w:r>
      <w:r>
        <w:t>, A Report to NSW Health, September 2010; Stathakis, V. Gray, S. and Berecki</w:t>
      </w:r>
      <w:r>
        <w:noBreakHyphen/>
        <w:t>Gisolf, J. 2015, “Fall</w:t>
      </w:r>
      <w:r>
        <w:noBreakHyphen/>
        <w:t xml:space="preserve">related injury profile for Victorians aged 65 years and older”, </w:t>
      </w:r>
      <w:r w:rsidRPr="00845C4B">
        <w:rPr>
          <w:i/>
          <w:iCs/>
        </w:rPr>
        <w:t>Hazard</w:t>
      </w:r>
      <w:r>
        <w:t>, Edition No. 80, Summer 2015, Victorian Injury Surveillance Unit, Monash University Accident Research Centre; CIE.</w:t>
      </w:r>
    </w:p>
    <w:p w:rsidR="007C6A5F" w:rsidRDefault="007C6A5F" w:rsidP="007C6A5F">
      <w:pPr>
        <w:pStyle w:val="BodyText"/>
        <w:rPr>
          <w:lang w:bidi="fa-IR"/>
        </w:rPr>
      </w:pPr>
      <w:r>
        <w:rPr>
          <w:lang w:bidi="fa-IR"/>
        </w:rPr>
        <w:t xml:space="preserve">Based on the above estimates of the number of additional hospital admissions due to people with accessibility needs living in accessible housing, we estimate an additional cost of between $15.8 million and $26.9 million per year, with a central case estimate of around $21.7 million per year. </w:t>
      </w:r>
    </w:p>
    <w:p w:rsidR="007C6A5F" w:rsidRDefault="007C6A5F" w:rsidP="005A6F87">
      <w:pPr>
        <w:pStyle w:val="ListBullet"/>
        <w:numPr>
          <w:ilvl w:val="0"/>
          <w:numId w:val="17"/>
        </w:numPr>
        <w:rPr>
          <w:lang w:bidi="fa-IR"/>
        </w:rPr>
      </w:pPr>
      <w:r>
        <w:rPr>
          <w:lang w:bidi="fa-IR"/>
        </w:rPr>
        <w:t>Health care costs are based on the average cost reported in UNSW (2010) inflated to 2019 dollar terms, using the national CPI.</w:t>
      </w:r>
      <w:r>
        <w:rPr>
          <w:rStyle w:val="FootnoteReference"/>
          <w:lang w:bidi="fa-IR"/>
        </w:rPr>
        <w:footnoteReference w:id="76"/>
      </w:r>
    </w:p>
    <w:p w:rsidR="007C6A5F" w:rsidRDefault="007C6A5F" w:rsidP="005A6F87">
      <w:pPr>
        <w:pStyle w:val="ListBullet"/>
        <w:numPr>
          <w:ilvl w:val="0"/>
          <w:numId w:val="17"/>
        </w:numPr>
        <w:rPr>
          <w:lang w:bidi="fa-IR"/>
        </w:rPr>
      </w:pPr>
      <w:r>
        <w:rPr>
          <w:lang w:bidi="fa-IR"/>
        </w:rPr>
        <w:t>Note that these cost estimates include health care costs only; morbidity costs are not included.</w:t>
      </w:r>
    </w:p>
    <w:p w:rsidR="007C6A5F" w:rsidRDefault="007C6A5F" w:rsidP="007C6A5F">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Pr>
          <w:noProof/>
        </w:rPr>
        <w:instrText>A</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9</w:instrText>
      </w:r>
      <w:r w:rsidRPr="00695C93">
        <w:fldChar w:fldCharType="end"/>
      </w:r>
      <w:r w:rsidRPr="00695C93">
        <w:instrText xml:space="preserve">" "" </w:instrText>
      </w:r>
      <w:r w:rsidRPr="00695C93">
        <w:fldChar w:fldCharType="separate"/>
      </w:r>
      <w:bookmarkStart w:id="6495" w:name="_Caption0226"/>
      <w:bookmarkStart w:id="6496" w:name="_Caption5846"/>
      <w:bookmarkStart w:id="6497" w:name="_Caption5329"/>
      <w:bookmarkStart w:id="6498" w:name="_Caption2803"/>
      <w:bookmarkStart w:id="6499" w:name="_Toc44598569"/>
      <w:bookmarkStart w:id="6500" w:name="_Toc45654200"/>
      <w:r w:rsidR="00272AF3">
        <w:rPr>
          <w:noProof/>
        </w:rPr>
        <w:t>A</w:t>
      </w:r>
      <w:r w:rsidR="00272AF3" w:rsidRPr="00695C93">
        <w:rPr>
          <w:noProof/>
        </w:rPr>
        <w:t>.</w:t>
      </w:r>
      <w:r w:rsidR="00272AF3">
        <w:rPr>
          <w:noProof/>
        </w:rPr>
        <w:t>9</w:t>
      </w:r>
      <w:bookmarkEnd w:id="6495"/>
      <w:bookmarkEnd w:id="6496"/>
      <w:bookmarkEnd w:id="6497"/>
      <w:bookmarkEnd w:id="6498"/>
      <w:r w:rsidRPr="00695C93">
        <w:fldChar w:fldCharType="end"/>
      </w:r>
      <w:r w:rsidRPr="00695C93">
        <w:tab/>
      </w:r>
      <w:r>
        <w:t>Estimated cost of additional hospital admissions due to inaccessible housing</w:t>
      </w:r>
      <w:bookmarkEnd w:id="6499"/>
      <w:bookmarkEnd w:id="6500"/>
    </w:p>
    <w:tbl>
      <w:tblPr>
        <w:tblStyle w:val="TableGridLight"/>
        <w:tblW w:w="7939" w:type="dxa"/>
        <w:tblLayout w:type="fixed"/>
        <w:tblLook w:val="0020" w:firstRow="1" w:lastRow="0" w:firstColumn="0" w:lastColumn="0" w:noHBand="0" w:noVBand="0"/>
        <w:tblCaption w:val="Table A.9"/>
        <w:tblDescription w:val="Estimated cost of additional hospital admissions due to inaccessible housing"/>
      </w:tblPr>
      <w:tblGrid>
        <w:gridCol w:w="2119"/>
        <w:gridCol w:w="1509"/>
        <w:gridCol w:w="1437"/>
        <w:gridCol w:w="1437"/>
        <w:gridCol w:w="1437"/>
      </w:tblGrid>
      <w:tr w:rsidR="005F6DD9" w:rsidTr="005E2144">
        <w:trPr>
          <w:trHeight w:val="461"/>
          <w:tblHeader/>
        </w:trPr>
        <w:tc>
          <w:tcPr>
            <w:tcW w:w="2119" w:type="dxa"/>
            <w:tcBorders>
              <w:top w:val="nil"/>
              <w:left w:val="nil"/>
              <w:bottom w:val="nil"/>
              <w:right w:val="nil"/>
            </w:tcBorders>
            <w:shd w:val="clear" w:color="auto" w:fill="6F6652" w:themeFill="accent5"/>
          </w:tcPr>
          <w:p w:rsidR="005F6DD9" w:rsidRDefault="005F6DD9" w:rsidP="005F6DD9">
            <w:pPr>
              <w:pStyle w:val="TableDataColumnHeading"/>
              <w:jc w:val="left"/>
              <w:rPr>
                <w:lang w:val="en-GB"/>
              </w:rPr>
            </w:pPr>
            <w:r>
              <w:rPr>
                <w:lang w:val="en-GB"/>
              </w:rPr>
              <w:t>Age group</w:t>
            </w:r>
          </w:p>
        </w:tc>
        <w:tc>
          <w:tcPr>
            <w:tcW w:w="1509" w:type="dxa"/>
            <w:tcBorders>
              <w:top w:val="nil"/>
              <w:left w:val="nil"/>
              <w:bottom w:val="nil"/>
              <w:right w:val="nil"/>
            </w:tcBorders>
            <w:shd w:val="clear" w:color="auto" w:fill="6F6652" w:themeFill="accent5"/>
          </w:tcPr>
          <w:p w:rsidR="005F6DD9" w:rsidRDefault="005F6DD9" w:rsidP="005F6DD9">
            <w:pPr>
              <w:pStyle w:val="TableDataColumnHeading"/>
              <w:rPr>
                <w:lang w:val="en-GB"/>
              </w:rPr>
            </w:pPr>
            <w:r>
              <w:rPr>
                <w:lang w:val="en-GB"/>
              </w:rPr>
              <w:t>Average cost per hospital admission</w:t>
            </w:r>
            <w:r w:rsidRPr="006E4D9A">
              <w:rPr>
                <w:rStyle w:val="NoteLabel"/>
                <w:color w:val="FFFFFF" w:themeColor="background1"/>
              </w:rPr>
              <w:t>a</w:t>
            </w:r>
            <w:r>
              <w:rPr>
                <w:rStyle w:val="NoteLabel"/>
                <w:color w:val="FFFFFF" w:themeColor="background1"/>
              </w:rPr>
              <w:t xml:space="preserve"> </w:t>
            </w:r>
            <w:r>
              <w:rPr>
                <w:rStyle w:val="NoteLabel"/>
                <w:color w:val="FFFFFF" w:themeColor="background1"/>
              </w:rPr>
              <w:br/>
              <w:t>($)</w:t>
            </w:r>
          </w:p>
        </w:tc>
        <w:tc>
          <w:tcPr>
            <w:tcW w:w="1437" w:type="dxa"/>
            <w:tcBorders>
              <w:top w:val="nil"/>
              <w:left w:val="nil"/>
              <w:bottom w:val="nil"/>
              <w:right w:val="nil"/>
            </w:tcBorders>
            <w:shd w:val="clear" w:color="auto" w:fill="6F6652" w:themeFill="accent5"/>
          </w:tcPr>
          <w:p w:rsidR="005F6DD9" w:rsidRDefault="005F6DD9" w:rsidP="005F6DD9">
            <w:pPr>
              <w:pStyle w:val="TableDataColumnHeading"/>
              <w:rPr>
                <w:lang w:val="en-GB"/>
              </w:rPr>
            </w:pPr>
            <w:r>
              <w:rPr>
                <w:lang w:val="en-GB"/>
              </w:rPr>
              <w:t xml:space="preserve">Cost of additional hospital admissions due to inaccessible housing: Low estimate </w:t>
            </w:r>
            <w:r>
              <w:rPr>
                <w:lang w:val="en-GB"/>
              </w:rPr>
              <w:br/>
              <w:t>($ million)</w:t>
            </w:r>
          </w:p>
        </w:tc>
        <w:tc>
          <w:tcPr>
            <w:tcW w:w="1437" w:type="dxa"/>
            <w:tcBorders>
              <w:top w:val="nil"/>
              <w:left w:val="nil"/>
              <w:bottom w:val="nil"/>
              <w:right w:val="nil"/>
            </w:tcBorders>
            <w:shd w:val="clear" w:color="auto" w:fill="6F6652" w:themeFill="accent5"/>
          </w:tcPr>
          <w:p w:rsidR="005F6DD9" w:rsidRDefault="005F6DD9" w:rsidP="005F6DD9">
            <w:pPr>
              <w:pStyle w:val="TableDataColumnHeading"/>
              <w:rPr>
                <w:lang w:val="en-GB"/>
              </w:rPr>
            </w:pPr>
            <w:r>
              <w:rPr>
                <w:lang w:val="en-GB"/>
              </w:rPr>
              <w:t>Cost of additional hospital admissions due to inaccessible housing: Central case</w:t>
            </w:r>
            <w:r>
              <w:rPr>
                <w:lang w:val="en-GB"/>
              </w:rPr>
              <w:br/>
              <w:t>($ million)</w:t>
            </w:r>
          </w:p>
        </w:tc>
        <w:tc>
          <w:tcPr>
            <w:tcW w:w="1437" w:type="dxa"/>
            <w:tcBorders>
              <w:top w:val="nil"/>
              <w:left w:val="nil"/>
              <w:bottom w:val="nil"/>
              <w:right w:val="nil"/>
            </w:tcBorders>
            <w:shd w:val="clear" w:color="auto" w:fill="6F6652" w:themeFill="accent5"/>
          </w:tcPr>
          <w:p w:rsidR="005F6DD9" w:rsidRDefault="005F6DD9" w:rsidP="005F6DD9">
            <w:pPr>
              <w:pStyle w:val="TableDataColumnHeading"/>
              <w:rPr>
                <w:lang w:val="en-GB"/>
              </w:rPr>
            </w:pPr>
            <w:r>
              <w:rPr>
                <w:lang w:val="en-GB"/>
              </w:rPr>
              <w:t>Cost of additional hospital admissions due to inaccessible housing: High estimate</w:t>
            </w:r>
            <w:r>
              <w:rPr>
                <w:lang w:val="en-GB"/>
              </w:rPr>
              <w:br/>
              <w:t>($ million)</w:t>
            </w:r>
          </w:p>
        </w:tc>
      </w:tr>
      <w:tr w:rsidR="007C6A5F" w:rsidTr="00774954">
        <w:trPr>
          <w:trHeight w:val="230"/>
        </w:trPr>
        <w:tc>
          <w:tcPr>
            <w:tcW w:w="21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0 to 4 years</w:t>
            </w:r>
          </w:p>
        </w:tc>
        <w:tc>
          <w:tcPr>
            <w:tcW w:w="15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17 107</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0.14</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0.19</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0.23</w:t>
            </w:r>
          </w:p>
        </w:tc>
      </w:tr>
      <w:tr w:rsidR="007C6A5F" w:rsidTr="00774954">
        <w:trPr>
          <w:trHeight w:val="230"/>
        </w:trPr>
        <w:tc>
          <w:tcPr>
            <w:tcW w:w="21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5 to 9 years</w:t>
            </w:r>
          </w:p>
        </w:tc>
        <w:tc>
          <w:tcPr>
            <w:tcW w:w="15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17 107</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0.12</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0.16</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0.20</w:t>
            </w:r>
          </w:p>
        </w:tc>
      </w:tr>
      <w:tr w:rsidR="007C6A5F" w:rsidTr="00774954">
        <w:trPr>
          <w:trHeight w:val="230"/>
        </w:trPr>
        <w:tc>
          <w:tcPr>
            <w:tcW w:w="21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10 to 14 years</w:t>
            </w:r>
          </w:p>
        </w:tc>
        <w:tc>
          <w:tcPr>
            <w:tcW w:w="15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17 107</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0.10</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0.14</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0.17</w:t>
            </w:r>
          </w:p>
        </w:tc>
      </w:tr>
      <w:tr w:rsidR="007C6A5F" w:rsidTr="00774954">
        <w:trPr>
          <w:trHeight w:val="230"/>
        </w:trPr>
        <w:tc>
          <w:tcPr>
            <w:tcW w:w="21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15 to 19 years</w:t>
            </w:r>
          </w:p>
        </w:tc>
        <w:tc>
          <w:tcPr>
            <w:tcW w:w="15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17 107</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0.16</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0.21</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0.27</w:t>
            </w:r>
          </w:p>
        </w:tc>
      </w:tr>
      <w:tr w:rsidR="007C6A5F" w:rsidTr="00774954">
        <w:trPr>
          <w:trHeight w:val="230"/>
        </w:trPr>
        <w:tc>
          <w:tcPr>
            <w:tcW w:w="21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20 to 24 years</w:t>
            </w:r>
          </w:p>
        </w:tc>
        <w:tc>
          <w:tcPr>
            <w:tcW w:w="15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17 107</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0.10</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0.13</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0.16</w:t>
            </w:r>
          </w:p>
        </w:tc>
      </w:tr>
      <w:tr w:rsidR="007C6A5F" w:rsidTr="00774954">
        <w:trPr>
          <w:trHeight w:val="230"/>
        </w:trPr>
        <w:tc>
          <w:tcPr>
            <w:tcW w:w="21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25 to 29 years</w:t>
            </w:r>
          </w:p>
        </w:tc>
        <w:tc>
          <w:tcPr>
            <w:tcW w:w="15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17 107</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0.15</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0.21</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0.26</w:t>
            </w:r>
          </w:p>
        </w:tc>
      </w:tr>
      <w:tr w:rsidR="007C6A5F" w:rsidTr="00774954">
        <w:trPr>
          <w:trHeight w:val="230"/>
        </w:trPr>
        <w:tc>
          <w:tcPr>
            <w:tcW w:w="21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30 to 34 years</w:t>
            </w:r>
          </w:p>
        </w:tc>
        <w:tc>
          <w:tcPr>
            <w:tcW w:w="15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17 107</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0.21</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0.29</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0.36</w:t>
            </w:r>
          </w:p>
        </w:tc>
      </w:tr>
      <w:tr w:rsidR="007C6A5F" w:rsidTr="00774954">
        <w:trPr>
          <w:trHeight w:val="230"/>
        </w:trPr>
        <w:tc>
          <w:tcPr>
            <w:tcW w:w="21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35 to 39 years</w:t>
            </w:r>
          </w:p>
        </w:tc>
        <w:tc>
          <w:tcPr>
            <w:tcW w:w="15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17 107</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0.20</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0.28</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0.35</w:t>
            </w:r>
          </w:p>
        </w:tc>
      </w:tr>
      <w:tr w:rsidR="007C6A5F" w:rsidTr="00774954">
        <w:trPr>
          <w:trHeight w:val="230"/>
        </w:trPr>
        <w:tc>
          <w:tcPr>
            <w:tcW w:w="21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40 to 44 years</w:t>
            </w:r>
          </w:p>
        </w:tc>
        <w:tc>
          <w:tcPr>
            <w:tcW w:w="15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17 107</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0.30</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0.41</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0.51</w:t>
            </w:r>
          </w:p>
        </w:tc>
      </w:tr>
      <w:tr w:rsidR="007C6A5F" w:rsidTr="00774954">
        <w:trPr>
          <w:trHeight w:val="230"/>
        </w:trPr>
        <w:tc>
          <w:tcPr>
            <w:tcW w:w="21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45 to 49 years</w:t>
            </w:r>
          </w:p>
        </w:tc>
        <w:tc>
          <w:tcPr>
            <w:tcW w:w="15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17 107</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0.41</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0.57</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0.70</w:t>
            </w:r>
          </w:p>
        </w:tc>
      </w:tr>
      <w:tr w:rsidR="007C6A5F" w:rsidTr="00774954">
        <w:trPr>
          <w:trHeight w:val="230"/>
        </w:trPr>
        <w:tc>
          <w:tcPr>
            <w:tcW w:w="21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50 to 54 years</w:t>
            </w:r>
          </w:p>
        </w:tc>
        <w:tc>
          <w:tcPr>
            <w:tcW w:w="15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17 107</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0.45</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0.62</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0.77</w:t>
            </w:r>
          </w:p>
        </w:tc>
      </w:tr>
      <w:tr w:rsidR="007C6A5F" w:rsidTr="00774954">
        <w:trPr>
          <w:trHeight w:val="230"/>
        </w:trPr>
        <w:tc>
          <w:tcPr>
            <w:tcW w:w="21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55 to 59 years</w:t>
            </w:r>
          </w:p>
        </w:tc>
        <w:tc>
          <w:tcPr>
            <w:tcW w:w="15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17 107</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0.62</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0.85</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1.06</w:t>
            </w:r>
          </w:p>
        </w:tc>
      </w:tr>
      <w:tr w:rsidR="007C6A5F" w:rsidTr="00774954">
        <w:trPr>
          <w:trHeight w:val="230"/>
        </w:trPr>
        <w:tc>
          <w:tcPr>
            <w:tcW w:w="21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60 to 64 years</w:t>
            </w:r>
          </w:p>
        </w:tc>
        <w:tc>
          <w:tcPr>
            <w:tcW w:w="15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17 107</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0.57</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0.78</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0.97</w:t>
            </w:r>
          </w:p>
        </w:tc>
      </w:tr>
      <w:tr w:rsidR="007C6A5F" w:rsidTr="00774954">
        <w:trPr>
          <w:trHeight w:val="230"/>
        </w:trPr>
        <w:tc>
          <w:tcPr>
            <w:tcW w:w="21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65 to 69 years</w:t>
            </w:r>
          </w:p>
        </w:tc>
        <w:tc>
          <w:tcPr>
            <w:tcW w:w="15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17 107</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0.64</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0.87</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1.08</w:t>
            </w:r>
          </w:p>
        </w:tc>
      </w:tr>
      <w:tr w:rsidR="007C6A5F" w:rsidTr="00774954">
        <w:trPr>
          <w:trHeight w:val="230"/>
        </w:trPr>
        <w:tc>
          <w:tcPr>
            <w:tcW w:w="21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70 to 74 years</w:t>
            </w:r>
          </w:p>
        </w:tc>
        <w:tc>
          <w:tcPr>
            <w:tcW w:w="15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22 517</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0.77</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1.05</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1.31</w:t>
            </w:r>
          </w:p>
        </w:tc>
      </w:tr>
      <w:tr w:rsidR="007C6A5F" w:rsidTr="00774954">
        <w:trPr>
          <w:trHeight w:val="230"/>
        </w:trPr>
        <w:tc>
          <w:tcPr>
            <w:tcW w:w="21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75 to 79 years</w:t>
            </w:r>
          </w:p>
        </w:tc>
        <w:tc>
          <w:tcPr>
            <w:tcW w:w="15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22 918</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1.58</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2.17</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2.69</w:t>
            </w:r>
          </w:p>
        </w:tc>
      </w:tr>
      <w:tr w:rsidR="007C6A5F" w:rsidTr="00774954">
        <w:trPr>
          <w:trHeight w:val="230"/>
        </w:trPr>
        <w:tc>
          <w:tcPr>
            <w:tcW w:w="21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80 to 84 years</w:t>
            </w:r>
          </w:p>
        </w:tc>
        <w:tc>
          <w:tcPr>
            <w:tcW w:w="15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26 418</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2.32</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3.17</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3.94</w:t>
            </w:r>
          </w:p>
        </w:tc>
      </w:tr>
      <w:tr w:rsidR="007C6A5F" w:rsidTr="00774954">
        <w:trPr>
          <w:trHeight w:val="230"/>
        </w:trPr>
        <w:tc>
          <w:tcPr>
            <w:tcW w:w="21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85 to 89 years</w:t>
            </w:r>
          </w:p>
        </w:tc>
        <w:tc>
          <w:tcPr>
            <w:tcW w:w="15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27 217</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2.84</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3.89</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4.84</w:t>
            </w:r>
          </w:p>
        </w:tc>
      </w:tr>
      <w:tr w:rsidR="007C6A5F" w:rsidTr="00774954">
        <w:trPr>
          <w:trHeight w:val="230"/>
        </w:trPr>
        <w:tc>
          <w:tcPr>
            <w:tcW w:w="21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90 to 94 years</w:t>
            </w:r>
          </w:p>
        </w:tc>
        <w:tc>
          <w:tcPr>
            <w:tcW w:w="15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25 120</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2.58</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3.54</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4.40</w:t>
            </w:r>
          </w:p>
        </w:tc>
      </w:tr>
      <w:tr w:rsidR="007C6A5F" w:rsidTr="00B5160B">
        <w:trPr>
          <w:trHeight w:val="230"/>
        </w:trPr>
        <w:tc>
          <w:tcPr>
            <w:tcW w:w="21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95+ years</w:t>
            </w:r>
          </w:p>
        </w:tc>
        <w:tc>
          <w:tcPr>
            <w:tcW w:w="150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22 296</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1.56</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2.13</w:t>
            </w:r>
          </w:p>
        </w:tc>
        <w:tc>
          <w:tcPr>
            <w:tcW w:w="1437"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 xml:space="preserve"> 2.65</w:t>
            </w:r>
          </w:p>
        </w:tc>
      </w:tr>
      <w:tr w:rsidR="007C6A5F" w:rsidRPr="00801E43" w:rsidTr="00B5160B">
        <w:trPr>
          <w:trHeight w:val="230"/>
        </w:trPr>
        <w:tc>
          <w:tcPr>
            <w:tcW w:w="2119"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801E43" w:rsidRDefault="007C6A5F" w:rsidP="00C36DA4">
            <w:pPr>
              <w:pStyle w:val="TableDataEntries"/>
              <w:jc w:val="left"/>
              <w:rPr>
                <w:rFonts w:ascii="Franklin Gothic Demi" w:hAnsi="Franklin Gothic Demi"/>
                <w:lang w:val="en-GB"/>
              </w:rPr>
            </w:pPr>
            <w:r w:rsidRPr="00801E43">
              <w:rPr>
                <w:rFonts w:ascii="Franklin Gothic Demi" w:hAnsi="Franklin Gothic Demi"/>
                <w:lang w:val="en-GB"/>
              </w:rPr>
              <w:t>Total</w:t>
            </w:r>
          </w:p>
        </w:tc>
        <w:tc>
          <w:tcPr>
            <w:tcW w:w="1509"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p>
        </w:tc>
        <w:tc>
          <w:tcPr>
            <w:tcW w:w="1437"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lang w:val="en-GB"/>
              </w:rPr>
              <w:t xml:space="preserve"> 15.80</w:t>
            </w:r>
          </w:p>
        </w:tc>
        <w:tc>
          <w:tcPr>
            <w:tcW w:w="1437"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lang w:val="en-GB"/>
              </w:rPr>
              <w:t xml:space="preserve"> 21.66</w:t>
            </w:r>
          </w:p>
        </w:tc>
        <w:tc>
          <w:tcPr>
            <w:tcW w:w="1437"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lang w:val="en-GB"/>
              </w:rPr>
              <w:t xml:space="preserve"> 26.92</w:t>
            </w:r>
          </w:p>
        </w:tc>
      </w:tr>
    </w:tbl>
    <w:p w:rsidR="007C6A5F" w:rsidRPr="00E4232C" w:rsidRDefault="007C6A5F" w:rsidP="007C6A5F">
      <w:pPr>
        <w:pStyle w:val="Note"/>
      </w:pPr>
      <w:r w:rsidRPr="006E4D9A">
        <w:rPr>
          <w:rStyle w:val="NoteLabel"/>
          <w:color w:val="000000" w:themeColor="text1"/>
        </w:rPr>
        <w:t>a</w:t>
      </w:r>
      <w:r>
        <w:t xml:space="preserve"> Based on average costs reported in UNSW (2010, p. 33) inflate to 2019 dollars using the national CPI.</w:t>
      </w:r>
    </w:p>
    <w:p w:rsidR="007C6A5F" w:rsidRDefault="007C6A5F" w:rsidP="007C6A5F">
      <w:pPr>
        <w:pStyle w:val="Source"/>
      </w:pPr>
      <w:r w:rsidRPr="00FE7AAF">
        <w:rPr>
          <w:i/>
          <w:lang w:bidi="fa-IR"/>
        </w:rPr>
        <w:t>Source:</w:t>
      </w:r>
      <w:r>
        <w:rPr>
          <w:lang w:bidi="fa-IR"/>
        </w:rPr>
        <w:t xml:space="preserve"> </w:t>
      </w:r>
      <w:r>
        <w:t xml:space="preserve">University of NSW, </w:t>
      </w:r>
      <w:r w:rsidRPr="00FB0C5C">
        <w:rPr>
          <w:i/>
          <w:iCs/>
        </w:rPr>
        <w:t>The Incidence and Cost of Falls Injury Among Older People in New South Wales 2006/07</w:t>
      </w:r>
      <w:r>
        <w:t>, A Report to NSW Health, September 2010; CIE.</w:t>
      </w:r>
    </w:p>
    <w:p w:rsidR="007C6A5F" w:rsidRDefault="007C6A5F" w:rsidP="007C6A5F">
      <w:pPr>
        <w:pStyle w:val="Heading8"/>
        <w:numPr>
          <w:ilvl w:val="7"/>
          <w:numId w:val="5"/>
        </w:numPr>
        <w:rPr>
          <w:lang w:bidi="fa-IR"/>
        </w:rPr>
      </w:pPr>
      <w:r>
        <w:rPr>
          <w:lang w:bidi="fa-IR"/>
        </w:rPr>
        <w:t>Emergency department attendance</w:t>
      </w:r>
    </w:p>
    <w:p w:rsidR="007C6A5F" w:rsidRDefault="007C6A5F" w:rsidP="007C6A5F">
      <w:pPr>
        <w:pStyle w:val="BodyText"/>
        <w:rPr>
          <w:lang w:bidi="fa-IR"/>
        </w:rPr>
      </w:pPr>
      <w:r>
        <w:rPr>
          <w:lang w:bidi="fa-IR"/>
        </w:rPr>
        <w:t>In some cases, people who have a fall attend an emergency department (ED) at a hospital, but are not actually admitted. Using a similar approach as above, we estimate there could be between an additional 711 and 1211 fall</w:t>
      </w:r>
      <w:r>
        <w:rPr>
          <w:lang w:bidi="fa-IR"/>
        </w:rPr>
        <w:noBreakHyphen/>
        <w:t>related ED attendance per year due to people with accessibility needs living in inaccessible housing, with a central case estimate of 974 additional ED attendance. These estimates are based on the following.</w:t>
      </w:r>
    </w:p>
    <w:p w:rsidR="007C6A5F" w:rsidRDefault="007C6A5F" w:rsidP="005A6F87">
      <w:pPr>
        <w:pStyle w:val="ListBullet"/>
        <w:numPr>
          <w:ilvl w:val="0"/>
          <w:numId w:val="17"/>
        </w:numPr>
        <w:rPr>
          <w:lang w:bidi="fa-IR"/>
        </w:rPr>
      </w:pPr>
      <w:r>
        <w:rPr>
          <w:lang w:bidi="fa-IR"/>
        </w:rPr>
        <w:t>The ED attendance rate from falls is taken from NSW data for people living in the community from 2006</w:t>
      </w:r>
      <w:r>
        <w:rPr>
          <w:lang w:bidi="fa-IR"/>
        </w:rPr>
        <w:noBreakHyphen/>
        <w:t>07 reported in a UNSW report to NSW Health.</w:t>
      </w:r>
      <w:r>
        <w:rPr>
          <w:rStyle w:val="FootnoteReference"/>
          <w:lang w:bidi="fa-IR"/>
        </w:rPr>
        <w:footnoteReference w:id="77"/>
      </w:r>
    </w:p>
    <w:p w:rsidR="007C6A5F" w:rsidRDefault="007C6A5F" w:rsidP="005A6F87">
      <w:pPr>
        <w:pStyle w:val="ListBullet2"/>
        <w:numPr>
          <w:ilvl w:val="1"/>
          <w:numId w:val="17"/>
        </w:numPr>
        <w:ind w:left="568" w:hanging="284"/>
        <w:rPr>
          <w:lang w:bidi="fa-IR"/>
        </w:rPr>
      </w:pPr>
      <w:r>
        <w:rPr>
          <w:lang w:bidi="fa-IR"/>
        </w:rPr>
        <w:t>Actual data, as reported by UNSW, is used for age groups over 65.</w:t>
      </w:r>
    </w:p>
    <w:p w:rsidR="007C6A5F" w:rsidRDefault="007C6A5F" w:rsidP="005A6F87">
      <w:pPr>
        <w:pStyle w:val="ListBullet2"/>
        <w:numPr>
          <w:ilvl w:val="1"/>
          <w:numId w:val="17"/>
        </w:numPr>
        <w:ind w:left="568" w:hanging="284"/>
        <w:rPr>
          <w:lang w:bidi="fa-IR"/>
        </w:rPr>
      </w:pPr>
      <w:r>
        <w:rPr>
          <w:lang w:bidi="fa-IR"/>
        </w:rPr>
        <w:lastRenderedPageBreak/>
        <w:t>The incidence of falls resulting in ED attendance among people under the age of 65 with mobility limitations is not reported. As above, we assumed that the incidence of falls was around the same as for the broader population in the 65</w:t>
      </w:r>
      <w:r>
        <w:rPr>
          <w:lang w:bidi="fa-IR"/>
        </w:rPr>
        <w:noBreakHyphen/>
        <w:t>69 year age bracket, as reported by UNSW.</w:t>
      </w:r>
    </w:p>
    <w:p w:rsidR="007C6A5F" w:rsidRDefault="007C6A5F" w:rsidP="005A6F87">
      <w:pPr>
        <w:pStyle w:val="ListBullet2"/>
        <w:numPr>
          <w:ilvl w:val="1"/>
          <w:numId w:val="17"/>
        </w:numPr>
        <w:ind w:left="568" w:hanging="284"/>
        <w:rPr>
          <w:lang w:bidi="fa-IR"/>
        </w:rPr>
      </w:pPr>
      <w:r>
        <w:rPr>
          <w:lang w:bidi="fa-IR"/>
        </w:rPr>
        <w:t>As not all falls occur at home, these ED attendance rates were adjusted based on Victorian data showing that 56.3 per cent of falls resulting in ED presentations occur in the home.</w:t>
      </w:r>
      <w:r>
        <w:rPr>
          <w:rStyle w:val="FootnoteReference"/>
          <w:lang w:bidi="fa-IR"/>
        </w:rPr>
        <w:footnoteReference w:id="78"/>
      </w:r>
    </w:p>
    <w:p w:rsidR="007C6A5F" w:rsidRDefault="007C6A5F" w:rsidP="005A6F87">
      <w:pPr>
        <w:pStyle w:val="ListBullet"/>
        <w:numPr>
          <w:ilvl w:val="0"/>
          <w:numId w:val="17"/>
        </w:numPr>
        <w:rPr>
          <w:lang w:bidi="fa-IR"/>
        </w:rPr>
      </w:pPr>
      <w:r>
        <w:rPr>
          <w:lang w:bidi="fa-IR"/>
        </w:rPr>
        <w:t>As above, when people with accessibility needs live in inaccessible housing, the incidence of falls is estimated to be:</w:t>
      </w:r>
    </w:p>
    <w:p w:rsidR="007C6A5F" w:rsidRDefault="007C6A5F" w:rsidP="005A6F87">
      <w:pPr>
        <w:pStyle w:val="ListBullet2"/>
        <w:numPr>
          <w:ilvl w:val="1"/>
          <w:numId w:val="17"/>
        </w:numPr>
        <w:ind w:left="568" w:hanging="284"/>
        <w:rPr>
          <w:lang w:bidi="fa-IR"/>
        </w:rPr>
      </w:pPr>
      <w:r>
        <w:rPr>
          <w:lang w:bidi="fa-IR"/>
        </w:rPr>
        <w:t>27 per cent higher under the low estimate scenario</w:t>
      </w:r>
    </w:p>
    <w:p w:rsidR="007C6A5F" w:rsidRDefault="007C6A5F" w:rsidP="005A6F87">
      <w:pPr>
        <w:pStyle w:val="ListBullet2"/>
        <w:numPr>
          <w:ilvl w:val="1"/>
          <w:numId w:val="17"/>
        </w:numPr>
        <w:ind w:left="568" w:hanging="284"/>
        <w:rPr>
          <w:lang w:bidi="fa-IR"/>
        </w:rPr>
      </w:pPr>
      <w:r>
        <w:rPr>
          <w:lang w:bidi="fa-IR"/>
        </w:rPr>
        <w:t>37 per cent higher under the central case scenario</w:t>
      </w:r>
    </w:p>
    <w:p w:rsidR="007C6A5F" w:rsidRDefault="007C6A5F" w:rsidP="005A6F87">
      <w:pPr>
        <w:pStyle w:val="ListBullet2"/>
        <w:numPr>
          <w:ilvl w:val="1"/>
          <w:numId w:val="17"/>
        </w:numPr>
        <w:ind w:left="568" w:hanging="284"/>
        <w:rPr>
          <w:lang w:bidi="fa-IR"/>
        </w:rPr>
      </w:pPr>
      <w:r>
        <w:rPr>
          <w:lang w:bidi="fa-IR"/>
        </w:rPr>
        <w:t>46 per cent higher under the high estimate scenario (see above).</w:t>
      </w:r>
    </w:p>
    <w:p w:rsidR="007C6A5F" w:rsidRDefault="007C6A5F" w:rsidP="007C6A5F">
      <w:pPr>
        <w:pStyle w:val="Caption"/>
        <w:ind w:left="568" w:hanging="568"/>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Pr>
          <w:noProof/>
        </w:rPr>
        <w:instrText>A</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10</w:instrText>
      </w:r>
      <w:r w:rsidRPr="00695C93">
        <w:fldChar w:fldCharType="end"/>
      </w:r>
      <w:r w:rsidRPr="00695C93">
        <w:instrText xml:space="preserve">" "" </w:instrText>
      </w:r>
      <w:r w:rsidRPr="00695C93">
        <w:fldChar w:fldCharType="separate"/>
      </w:r>
      <w:bookmarkStart w:id="6501" w:name="_Caption3417"/>
      <w:bookmarkStart w:id="6502" w:name="_Caption9706"/>
      <w:bookmarkStart w:id="6503" w:name="_Caption1744"/>
      <w:bookmarkStart w:id="6504" w:name="_Caption3152"/>
      <w:bookmarkStart w:id="6505" w:name="_Toc44598570"/>
      <w:bookmarkStart w:id="6506" w:name="_Toc45654201"/>
      <w:r w:rsidR="00272AF3">
        <w:rPr>
          <w:noProof/>
        </w:rPr>
        <w:t>A</w:t>
      </w:r>
      <w:r w:rsidR="00272AF3" w:rsidRPr="00695C93">
        <w:rPr>
          <w:noProof/>
        </w:rPr>
        <w:t>.</w:t>
      </w:r>
      <w:r w:rsidR="00272AF3">
        <w:rPr>
          <w:noProof/>
        </w:rPr>
        <w:t>10</w:t>
      </w:r>
      <w:bookmarkEnd w:id="6501"/>
      <w:bookmarkEnd w:id="6502"/>
      <w:bookmarkEnd w:id="6503"/>
      <w:bookmarkEnd w:id="6504"/>
      <w:r w:rsidRPr="00695C93">
        <w:fldChar w:fldCharType="end"/>
      </w:r>
      <w:r w:rsidRPr="00695C93">
        <w:tab/>
      </w:r>
      <w:r>
        <w:t>Estimated number of additional emergency department attendances due to inaccessible housing</w:t>
      </w:r>
      <w:bookmarkEnd w:id="6505"/>
      <w:bookmarkEnd w:id="6506"/>
    </w:p>
    <w:tbl>
      <w:tblPr>
        <w:tblStyle w:val="TableGridLight"/>
        <w:tblW w:w="7940" w:type="dxa"/>
        <w:tblLayout w:type="fixed"/>
        <w:tblLook w:val="0020" w:firstRow="1" w:lastRow="0" w:firstColumn="0" w:lastColumn="0" w:noHBand="0" w:noVBand="0"/>
        <w:tblCaption w:val="Table A.10"/>
        <w:tblDescription w:val="Estimated number of additional emergency department attendances due to inaccessible housing"/>
      </w:tblPr>
      <w:tblGrid>
        <w:gridCol w:w="814"/>
        <w:gridCol w:w="1018"/>
        <w:gridCol w:w="1018"/>
        <w:gridCol w:w="1018"/>
        <w:gridCol w:w="1094"/>
        <w:gridCol w:w="942"/>
        <w:gridCol w:w="1018"/>
        <w:gridCol w:w="1018"/>
      </w:tblGrid>
      <w:tr w:rsidR="0029208F" w:rsidTr="00090C00">
        <w:trPr>
          <w:trHeight w:val="461"/>
          <w:tblHeader/>
        </w:trPr>
        <w:tc>
          <w:tcPr>
            <w:tcW w:w="814" w:type="dxa"/>
            <w:tcBorders>
              <w:top w:val="nil"/>
              <w:left w:val="nil"/>
              <w:bottom w:val="nil"/>
              <w:right w:val="nil"/>
            </w:tcBorders>
            <w:shd w:val="clear" w:color="auto" w:fill="6F6652" w:themeFill="accent5"/>
          </w:tcPr>
          <w:p w:rsidR="0029208F" w:rsidRDefault="0029208F" w:rsidP="0029208F">
            <w:pPr>
              <w:pStyle w:val="TableDataColumnHeading"/>
              <w:jc w:val="left"/>
              <w:rPr>
                <w:lang w:val="en-GB"/>
              </w:rPr>
            </w:pPr>
            <w:r>
              <w:rPr>
                <w:lang w:val="en-GB"/>
              </w:rPr>
              <w:t>Age group</w:t>
            </w:r>
          </w:p>
        </w:tc>
        <w:tc>
          <w:tcPr>
            <w:tcW w:w="1018" w:type="dxa"/>
            <w:tcBorders>
              <w:top w:val="nil"/>
              <w:left w:val="nil"/>
              <w:bottom w:val="nil"/>
              <w:right w:val="nil"/>
            </w:tcBorders>
            <w:shd w:val="clear" w:color="auto" w:fill="6F6652" w:themeFill="accent5"/>
          </w:tcPr>
          <w:p w:rsidR="0029208F" w:rsidRDefault="0029208F" w:rsidP="0029208F">
            <w:pPr>
              <w:pStyle w:val="TableDataColumnHeading"/>
              <w:rPr>
                <w:lang w:val="en-GB"/>
              </w:rPr>
            </w:pPr>
            <w:r>
              <w:rPr>
                <w:lang w:val="en-GB"/>
              </w:rPr>
              <w:t>Population affected</w:t>
            </w:r>
            <w:r w:rsidRPr="00A96B1A">
              <w:rPr>
                <w:rStyle w:val="NoteLabel"/>
                <w:color w:val="FFFFFF" w:themeColor="background1"/>
              </w:rPr>
              <w:t>a</w:t>
            </w:r>
            <w:r>
              <w:rPr>
                <w:rStyle w:val="NoteLabel"/>
                <w:color w:val="FFFFFF" w:themeColor="background1"/>
              </w:rPr>
              <w:t xml:space="preserve"> </w:t>
            </w:r>
            <w:r>
              <w:rPr>
                <w:rStyle w:val="NoteLabel"/>
                <w:color w:val="FFFFFF" w:themeColor="background1"/>
              </w:rPr>
              <w:br/>
              <w:t>(‘000)</w:t>
            </w:r>
          </w:p>
        </w:tc>
        <w:tc>
          <w:tcPr>
            <w:tcW w:w="1018" w:type="dxa"/>
            <w:tcBorders>
              <w:top w:val="nil"/>
              <w:left w:val="nil"/>
              <w:bottom w:val="nil"/>
              <w:right w:val="nil"/>
            </w:tcBorders>
            <w:shd w:val="clear" w:color="auto" w:fill="6F6652" w:themeFill="accent5"/>
          </w:tcPr>
          <w:p w:rsidR="0029208F" w:rsidRDefault="0029208F" w:rsidP="0029208F">
            <w:pPr>
              <w:pStyle w:val="TableDataColumnHeading"/>
              <w:rPr>
                <w:lang w:val="en-GB"/>
              </w:rPr>
            </w:pPr>
            <w:r>
              <w:rPr>
                <w:lang w:val="en-GB"/>
              </w:rPr>
              <w:t>ED attendance rate from falls</w:t>
            </w:r>
            <w:r w:rsidRPr="00A96B1A">
              <w:rPr>
                <w:rStyle w:val="NoteLabel"/>
                <w:color w:val="FFFFFF" w:themeColor="background1"/>
              </w:rPr>
              <w:t>b</w:t>
            </w:r>
            <w:r>
              <w:rPr>
                <w:rStyle w:val="NoteLabel"/>
                <w:color w:val="FFFFFF" w:themeColor="background1"/>
              </w:rPr>
              <w:t xml:space="preserve"> </w:t>
            </w:r>
            <w:r>
              <w:rPr>
                <w:rStyle w:val="NoteLabel"/>
                <w:color w:val="FFFFFF" w:themeColor="background1"/>
              </w:rPr>
              <w:br/>
              <w:t>(Rate per 100 000)</w:t>
            </w:r>
          </w:p>
        </w:tc>
        <w:tc>
          <w:tcPr>
            <w:tcW w:w="1018" w:type="dxa"/>
            <w:tcBorders>
              <w:top w:val="nil"/>
              <w:left w:val="nil"/>
              <w:bottom w:val="nil"/>
              <w:right w:val="nil"/>
            </w:tcBorders>
            <w:shd w:val="clear" w:color="auto" w:fill="6F6652" w:themeFill="accent5"/>
          </w:tcPr>
          <w:p w:rsidR="0029208F" w:rsidRDefault="0029208F" w:rsidP="0029208F">
            <w:pPr>
              <w:pStyle w:val="TableDataColumnHeading"/>
              <w:rPr>
                <w:lang w:val="en-GB"/>
              </w:rPr>
            </w:pPr>
            <w:r>
              <w:rPr>
                <w:lang w:val="en-GB"/>
              </w:rPr>
              <w:t>ED attendance rate from falls at home</w:t>
            </w:r>
            <w:r w:rsidRPr="00A96B1A">
              <w:rPr>
                <w:rStyle w:val="NoteLabel"/>
                <w:color w:val="FFFFFF" w:themeColor="background1"/>
              </w:rPr>
              <w:t>c</w:t>
            </w:r>
            <w:r>
              <w:rPr>
                <w:rStyle w:val="NoteLabel"/>
                <w:color w:val="FFFFFF" w:themeColor="background1"/>
              </w:rPr>
              <w:t xml:space="preserve"> </w:t>
            </w:r>
            <w:r>
              <w:rPr>
                <w:rStyle w:val="NoteLabel"/>
                <w:color w:val="FFFFFF" w:themeColor="background1"/>
              </w:rPr>
              <w:br/>
              <w:t>(Rate per 100 000)</w:t>
            </w:r>
          </w:p>
        </w:tc>
        <w:tc>
          <w:tcPr>
            <w:tcW w:w="1094" w:type="dxa"/>
            <w:tcBorders>
              <w:top w:val="nil"/>
              <w:left w:val="nil"/>
              <w:bottom w:val="nil"/>
              <w:right w:val="nil"/>
            </w:tcBorders>
            <w:shd w:val="clear" w:color="auto" w:fill="6F6652" w:themeFill="accent5"/>
          </w:tcPr>
          <w:p w:rsidR="0029208F" w:rsidRDefault="0029208F" w:rsidP="0029208F">
            <w:pPr>
              <w:pStyle w:val="TableDataColumnHeading"/>
              <w:rPr>
                <w:lang w:val="en-GB"/>
              </w:rPr>
            </w:pPr>
            <w:r>
              <w:rPr>
                <w:lang w:val="en-GB"/>
              </w:rPr>
              <w:t>Estimated ED attendances – baseline</w:t>
            </w:r>
            <w:r>
              <w:rPr>
                <w:lang w:val="en-GB"/>
              </w:rPr>
              <w:br/>
              <w:t>(No.)</w:t>
            </w:r>
          </w:p>
        </w:tc>
        <w:tc>
          <w:tcPr>
            <w:tcW w:w="942" w:type="dxa"/>
            <w:tcBorders>
              <w:top w:val="nil"/>
              <w:left w:val="nil"/>
              <w:bottom w:val="nil"/>
              <w:right w:val="nil"/>
            </w:tcBorders>
            <w:shd w:val="clear" w:color="auto" w:fill="6F6652" w:themeFill="accent5"/>
          </w:tcPr>
          <w:p w:rsidR="0029208F" w:rsidRDefault="0029208F" w:rsidP="0029208F">
            <w:pPr>
              <w:pStyle w:val="TableDataColumnHeading"/>
              <w:rPr>
                <w:lang w:val="en-GB"/>
              </w:rPr>
            </w:pPr>
            <w:r>
              <w:rPr>
                <w:lang w:val="en-GB"/>
              </w:rPr>
              <w:t>Additional ED attendances due to inaccessible housing: Low estimate</w:t>
            </w:r>
            <w:r w:rsidRPr="00A96B1A">
              <w:rPr>
                <w:rStyle w:val="NoteLabel"/>
                <w:color w:val="FFFFFF" w:themeColor="background1"/>
              </w:rPr>
              <w:t>d</w:t>
            </w:r>
            <w:r>
              <w:rPr>
                <w:rStyle w:val="NoteLabel"/>
                <w:color w:val="FFFFFF" w:themeColor="background1"/>
              </w:rPr>
              <w:t xml:space="preserve"> </w:t>
            </w:r>
            <w:r>
              <w:rPr>
                <w:rStyle w:val="NoteLabel"/>
                <w:color w:val="FFFFFF" w:themeColor="background1"/>
              </w:rPr>
              <w:br/>
            </w:r>
            <w:r>
              <w:rPr>
                <w:lang w:val="en-GB"/>
              </w:rPr>
              <w:t>(No.)</w:t>
            </w:r>
          </w:p>
        </w:tc>
        <w:tc>
          <w:tcPr>
            <w:tcW w:w="1018" w:type="dxa"/>
            <w:tcBorders>
              <w:top w:val="nil"/>
              <w:left w:val="nil"/>
              <w:bottom w:val="nil"/>
              <w:right w:val="nil"/>
            </w:tcBorders>
            <w:shd w:val="clear" w:color="auto" w:fill="6F6652" w:themeFill="accent5"/>
          </w:tcPr>
          <w:p w:rsidR="0029208F" w:rsidRDefault="0029208F" w:rsidP="0029208F">
            <w:pPr>
              <w:pStyle w:val="TableDataColumnHeading"/>
              <w:rPr>
                <w:lang w:val="en-GB"/>
              </w:rPr>
            </w:pPr>
            <w:r>
              <w:rPr>
                <w:lang w:val="en-GB"/>
              </w:rPr>
              <w:t>Additional ED attendances due to inaccessible housing: Central case</w:t>
            </w:r>
            <w:r>
              <w:rPr>
                <w:rStyle w:val="NoteLabel"/>
                <w:color w:val="FFFFFF" w:themeColor="background1"/>
              </w:rPr>
              <w:t xml:space="preserve">e </w:t>
            </w:r>
            <w:r>
              <w:rPr>
                <w:rStyle w:val="NoteLabel"/>
                <w:color w:val="FFFFFF" w:themeColor="background1"/>
              </w:rPr>
              <w:br/>
            </w:r>
            <w:r>
              <w:rPr>
                <w:lang w:val="en-GB"/>
              </w:rPr>
              <w:t>(No.)</w:t>
            </w:r>
          </w:p>
        </w:tc>
        <w:tc>
          <w:tcPr>
            <w:tcW w:w="1018" w:type="dxa"/>
            <w:tcBorders>
              <w:top w:val="nil"/>
              <w:left w:val="nil"/>
              <w:bottom w:val="nil"/>
              <w:right w:val="nil"/>
            </w:tcBorders>
            <w:shd w:val="clear" w:color="auto" w:fill="6F6652" w:themeFill="accent5"/>
          </w:tcPr>
          <w:p w:rsidR="0029208F" w:rsidRDefault="0029208F" w:rsidP="0029208F">
            <w:pPr>
              <w:pStyle w:val="TableDataColumnHeading"/>
              <w:rPr>
                <w:lang w:val="en-GB"/>
              </w:rPr>
            </w:pPr>
            <w:r>
              <w:rPr>
                <w:lang w:val="en-GB"/>
              </w:rPr>
              <w:t>Additional ED attendances due to inaccessible housing: High estimate</w:t>
            </w:r>
            <w:r w:rsidRPr="00A96B1A">
              <w:rPr>
                <w:rStyle w:val="NoteLabel"/>
                <w:color w:val="FFFFFF" w:themeColor="background1"/>
              </w:rPr>
              <w:t>f</w:t>
            </w:r>
            <w:r>
              <w:rPr>
                <w:rStyle w:val="NoteLabel"/>
                <w:color w:val="FFFFFF" w:themeColor="background1"/>
              </w:rPr>
              <w:t xml:space="preserve"> </w:t>
            </w:r>
            <w:r>
              <w:rPr>
                <w:rStyle w:val="NoteLabel"/>
                <w:color w:val="FFFFFF" w:themeColor="background1"/>
              </w:rPr>
              <w:br/>
            </w:r>
            <w:r>
              <w:rPr>
                <w:lang w:val="en-GB"/>
              </w:rPr>
              <w:t>(No.)</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0 to 4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7.7</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975.8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549.4</w:t>
            </w:r>
          </w:p>
        </w:tc>
        <w:tc>
          <w:tcPr>
            <w:tcW w:w="109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42.3</w:t>
            </w:r>
          </w:p>
        </w:tc>
        <w:tc>
          <w:tcPr>
            <w:tcW w:w="942"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11.4</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15.7</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19.5</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5 to 9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6.6</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975.8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549.4</w:t>
            </w:r>
          </w:p>
        </w:tc>
        <w:tc>
          <w:tcPr>
            <w:tcW w:w="109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36.3</w:t>
            </w:r>
          </w:p>
        </w:tc>
        <w:tc>
          <w:tcPr>
            <w:tcW w:w="942"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9.8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13.4</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16.7</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10 to 14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5.6</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975.8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549.4</w:t>
            </w:r>
          </w:p>
        </w:tc>
        <w:tc>
          <w:tcPr>
            <w:tcW w:w="109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30.8</w:t>
            </w:r>
          </w:p>
        </w:tc>
        <w:tc>
          <w:tcPr>
            <w:tcW w:w="942"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8.3</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11.4</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14.2</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15 to 19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8.8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975.8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549.4</w:t>
            </w:r>
          </w:p>
        </w:tc>
        <w:tc>
          <w:tcPr>
            <w:tcW w:w="109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48.3</w:t>
            </w:r>
          </w:p>
        </w:tc>
        <w:tc>
          <w:tcPr>
            <w:tcW w:w="942"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13.1</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17.9</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22.2</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20 to 24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5.4</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975.8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549.4</w:t>
            </w:r>
          </w:p>
        </w:tc>
        <w:tc>
          <w:tcPr>
            <w:tcW w:w="109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29.7</w:t>
            </w:r>
          </w:p>
        </w:tc>
        <w:tc>
          <w:tcPr>
            <w:tcW w:w="942"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8.0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11.0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13.6</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25 to 29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8.4</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975.8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549.4</w:t>
            </w:r>
          </w:p>
        </w:tc>
        <w:tc>
          <w:tcPr>
            <w:tcW w:w="109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46.1</w:t>
            </w:r>
          </w:p>
        </w:tc>
        <w:tc>
          <w:tcPr>
            <w:tcW w:w="942"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12.5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17.1</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21.2</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30 to 34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11.9</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975.8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549.4</w:t>
            </w:r>
          </w:p>
        </w:tc>
        <w:tc>
          <w:tcPr>
            <w:tcW w:w="109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65.4</w:t>
            </w:r>
          </w:p>
        </w:tc>
        <w:tc>
          <w:tcPr>
            <w:tcW w:w="942"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17.7</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24.2</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30.1</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35 to 39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11.5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975.8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549.4</w:t>
            </w:r>
          </w:p>
        </w:tc>
        <w:tc>
          <w:tcPr>
            <w:tcW w:w="109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63.2</w:t>
            </w:r>
          </w:p>
        </w:tc>
        <w:tc>
          <w:tcPr>
            <w:tcW w:w="942"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17.1</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23.4</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29.1</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40 to 44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16.7</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975.8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549.4</w:t>
            </w:r>
          </w:p>
        </w:tc>
        <w:tc>
          <w:tcPr>
            <w:tcW w:w="109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91.7</w:t>
            </w:r>
          </w:p>
        </w:tc>
        <w:tc>
          <w:tcPr>
            <w:tcW w:w="942"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24.8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33.9</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42.2</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45 to 49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23.2</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975.8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549.4</w:t>
            </w:r>
          </w:p>
        </w:tc>
        <w:tc>
          <w:tcPr>
            <w:tcW w:w="109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127.4</w:t>
            </w:r>
          </w:p>
        </w:tc>
        <w:tc>
          <w:tcPr>
            <w:tcW w:w="942"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34.4</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47.2</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58.6</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50 to 54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25.2</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975.8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549.4</w:t>
            </w:r>
          </w:p>
        </w:tc>
        <w:tc>
          <w:tcPr>
            <w:tcW w:w="109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138.4</w:t>
            </w:r>
          </w:p>
        </w:tc>
        <w:tc>
          <w:tcPr>
            <w:tcW w:w="942"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37.4</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51.2</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63.7</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55 to 59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34.8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975.8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549.4</w:t>
            </w:r>
          </w:p>
        </w:tc>
        <w:tc>
          <w:tcPr>
            <w:tcW w:w="109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191.2</w:t>
            </w:r>
          </w:p>
        </w:tc>
        <w:tc>
          <w:tcPr>
            <w:tcW w:w="942"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51.6</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70.7</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87.9</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60 to 64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31.8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975.8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549.4</w:t>
            </w:r>
          </w:p>
        </w:tc>
        <w:tc>
          <w:tcPr>
            <w:tcW w:w="109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174.7</w:t>
            </w:r>
          </w:p>
        </w:tc>
        <w:tc>
          <w:tcPr>
            <w:tcW w:w="942"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47.2</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64.6</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80.4</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65 to 69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35.7</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975.8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549.4</w:t>
            </w:r>
          </w:p>
        </w:tc>
        <w:tc>
          <w:tcPr>
            <w:tcW w:w="109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196.1</w:t>
            </w:r>
          </w:p>
        </w:tc>
        <w:tc>
          <w:tcPr>
            <w:tcW w:w="942"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53.0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72.6</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90.2</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70 to 74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23.0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968.1</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545.0</w:t>
            </w:r>
          </w:p>
        </w:tc>
        <w:tc>
          <w:tcPr>
            <w:tcW w:w="109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125.4</w:t>
            </w:r>
          </w:p>
        </w:tc>
        <w:tc>
          <w:tcPr>
            <w:tcW w:w="942"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33.8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46.4</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57.7</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75 to 79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25.8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1 314.9</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740.3</w:t>
            </w:r>
          </w:p>
        </w:tc>
        <w:tc>
          <w:tcPr>
            <w:tcW w:w="109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191.0</w:t>
            </w:r>
          </w:p>
        </w:tc>
        <w:tc>
          <w:tcPr>
            <w:tcW w:w="942"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51.6</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70.7</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87.9</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80 to 84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18.3</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1 591.4</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896.0</w:t>
            </w:r>
          </w:p>
        </w:tc>
        <w:tc>
          <w:tcPr>
            <w:tcW w:w="109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164.0</w:t>
            </w:r>
          </w:p>
        </w:tc>
        <w:tc>
          <w:tcPr>
            <w:tcW w:w="942"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44.3</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60.7</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75.4</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lastRenderedPageBreak/>
              <w:t xml:space="preserve">85 to 89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13.0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2 166.7</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1 219.9</w:t>
            </w:r>
          </w:p>
        </w:tc>
        <w:tc>
          <w:tcPr>
            <w:tcW w:w="109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158.6</w:t>
            </w:r>
          </w:p>
        </w:tc>
        <w:tc>
          <w:tcPr>
            <w:tcW w:w="942"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42.8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58.7</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72.9</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90 to 94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7.7</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3 707.6</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2 087.4</w:t>
            </w:r>
          </w:p>
        </w:tc>
        <w:tc>
          <w:tcPr>
            <w:tcW w:w="109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160.7</w:t>
            </w:r>
          </w:p>
        </w:tc>
        <w:tc>
          <w:tcPr>
            <w:tcW w:w="942"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43.4</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59.5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73.9</w:t>
            </w:r>
          </w:p>
        </w:tc>
      </w:tr>
      <w:tr w:rsidR="007C6A5F" w:rsidTr="00B5160B">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95+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4.0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6 117.0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3 443.9</w:t>
            </w:r>
          </w:p>
        </w:tc>
        <w:tc>
          <w:tcPr>
            <w:tcW w:w="109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137.8</w:t>
            </w:r>
          </w:p>
        </w:tc>
        <w:tc>
          <w:tcPr>
            <w:tcW w:w="942"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37.2</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51.0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63.4</w:t>
            </w:r>
          </w:p>
        </w:tc>
      </w:tr>
      <w:tr w:rsidR="007C6A5F" w:rsidRPr="00801E43" w:rsidTr="00B5160B">
        <w:trPr>
          <w:trHeight w:val="230"/>
        </w:trPr>
        <w:tc>
          <w:tcPr>
            <w:tcW w:w="814"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801E43" w:rsidRDefault="007C6A5F" w:rsidP="00C36DA4">
            <w:pPr>
              <w:pStyle w:val="TableDataEntries"/>
              <w:jc w:val="left"/>
              <w:rPr>
                <w:rFonts w:ascii="Franklin Gothic Demi" w:hAnsi="Franklin Gothic Demi"/>
                <w:lang w:val="en-GB"/>
              </w:rPr>
            </w:pPr>
            <w:r w:rsidRPr="00801E43">
              <w:rPr>
                <w:rFonts w:ascii="Franklin Gothic Demi" w:hAnsi="Franklin Gothic Demi"/>
                <w:lang w:val="en-GB"/>
              </w:rPr>
              <w:t>Total</w:t>
            </w:r>
          </w:p>
        </w:tc>
        <w:tc>
          <w:tcPr>
            <w:tcW w:w="1018"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rPr>
              <w:t xml:space="preserve"> 325.1</w:t>
            </w:r>
          </w:p>
        </w:tc>
        <w:tc>
          <w:tcPr>
            <w:tcW w:w="1018"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p>
        </w:tc>
        <w:tc>
          <w:tcPr>
            <w:tcW w:w="1018"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p>
        </w:tc>
        <w:tc>
          <w:tcPr>
            <w:tcW w:w="1094"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rPr>
              <w:t>2 219.0</w:t>
            </w:r>
          </w:p>
        </w:tc>
        <w:tc>
          <w:tcPr>
            <w:tcW w:w="942"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rPr>
              <w:t xml:space="preserve"> 599.1</w:t>
            </w:r>
          </w:p>
        </w:tc>
        <w:tc>
          <w:tcPr>
            <w:tcW w:w="1018"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rPr>
              <w:t xml:space="preserve"> 821.0</w:t>
            </w:r>
          </w:p>
        </w:tc>
        <w:tc>
          <w:tcPr>
            <w:tcW w:w="1018"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rPr>
              <w:t>1 020.8</w:t>
            </w:r>
          </w:p>
        </w:tc>
      </w:tr>
    </w:tbl>
    <w:p w:rsidR="007C6A5F" w:rsidRPr="00E4232C" w:rsidRDefault="007C6A5F" w:rsidP="007C6A5F">
      <w:pPr>
        <w:pStyle w:val="Note"/>
      </w:pPr>
      <w:r w:rsidRPr="00A96B1A">
        <w:rPr>
          <w:rStyle w:val="NoteLabel"/>
          <w:color w:val="000000" w:themeColor="text1"/>
        </w:rPr>
        <w:t>a</w:t>
      </w:r>
      <w:r>
        <w:t xml:space="preserve"> Based on 2018 SDAC data. Population at risk of falls due to inaccessible housing defined as people that:: have a mobility limitation; either require assistance or have trouble moving around their place of residence; live in a household; and live in a dwelling that has not been modified to meet their needs.. </w:t>
      </w:r>
      <w:r w:rsidRPr="00A96B1A">
        <w:rPr>
          <w:rStyle w:val="NoteLabel"/>
          <w:color w:val="000000" w:themeColor="text1"/>
        </w:rPr>
        <w:t>b</w:t>
      </w:r>
      <w:r>
        <w:t xml:space="preserve"> Based on emergency department attendance rates from the community (i.e. excluding residential aged care) in NSW in 2006</w:t>
      </w:r>
      <w:r>
        <w:noBreakHyphen/>
        <w:t xml:space="preserve">07 reported in UNSW, 2010, p. 28. </w:t>
      </w:r>
      <w:r w:rsidRPr="00A96B1A">
        <w:rPr>
          <w:rStyle w:val="NoteLabel"/>
          <w:color w:val="000000" w:themeColor="text1"/>
        </w:rPr>
        <w:t>c</w:t>
      </w:r>
      <w:r>
        <w:t xml:space="preserve"> Adjusted based on 56.3 per cent of falls resulting in emergency department attendance occurring at home as reported in Stathakis, V. Gray, S. and Berecki</w:t>
      </w:r>
      <w:r>
        <w:noBreakHyphen/>
        <w:t xml:space="preserve">Gisolf, J. 2015, p. 2. </w:t>
      </w:r>
      <w:r w:rsidRPr="00A96B1A">
        <w:rPr>
          <w:rStyle w:val="NoteLabel"/>
          <w:color w:val="000000" w:themeColor="text1"/>
        </w:rPr>
        <w:t xml:space="preserve">d </w:t>
      </w:r>
      <w:r>
        <w:t xml:space="preserve">Based on accessible housing reducing falls by 27 per cent. </w:t>
      </w:r>
      <w:r w:rsidRPr="00A96B1A">
        <w:rPr>
          <w:rStyle w:val="NoteLabel"/>
          <w:color w:val="000000" w:themeColor="text1"/>
        </w:rPr>
        <w:t xml:space="preserve">e </w:t>
      </w:r>
      <w:r>
        <w:t xml:space="preserve">Based on accessible housing reducing falls by 37 per cent. </w:t>
      </w:r>
      <w:r w:rsidRPr="00A96B1A">
        <w:rPr>
          <w:rStyle w:val="NoteLabel"/>
          <w:color w:val="000000" w:themeColor="text1"/>
        </w:rPr>
        <w:t xml:space="preserve">f </w:t>
      </w:r>
      <w:r>
        <w:t xml:space="preserve">Based on accessible housing reducing falls by 46 per cent. </w:t>
      </w:r>
    </w:p>
    <w:p w:rsidR="007C6A5F" w:rsidRDefault="007C6A5F" w:rsidP="007C6A5F">
      <w:pPr>
        <w:pStyle w:val="Source"/>
      </w:pPr>
      <w:r>
        <w:rPr>
          <w:i/>
        </w:rPr>
        <w:t>Source</w:t>
      </w:r>
      <w:r w:rsidRPr="00E4232C">
        <w:rPr>
          <w:i/>
        </w:rPr>
        <w:t>:</w:t>
      </w:r>
      <w:r>
        <w:t xml:space="preserve"> ABS Survey of Disability, Ageing and Carers 2018; University of NSW, </w:t>
      </w:r>
      <w:r w:rsidRPr="00FB0C5C">
        <w:rPr>
          <w:i/>
          <w:iCs/>
        </w:rPr>
        <w:t>The Incidence and Cost of Falls Injury Among Older People in New South Wales 2006/07</w:t>
      </w:r>
      <w:r>
        <w:t>, A Report to NSW Health, September 2010; Stathakis, V. Gray, S. and Berecki</w:t>
      </w:r>
      <w:r>
        <w:noBreakHyphen/>
        <w:t>Gisolf, J. 2015, “Fall</w:t>
      </w:r>
      <w:r>
        <w:noBreakHyphen/>
        <w:t xml:space="preserve">related injury profile for Victorians aged 65 years and older”, </w:t>
      </w:r>
      <w:r w:rsidRPr="00845C4B">
        <w:rPr>
          <w:i/>
          <w:iCs/>
        </w:rPr>
        <w:t>Hazard</w:t>
      </w:r>
      <w:r>
        <w:t>, Edition No. 80, Summer 2015, Victorian Injury Surveillance Unit, Monash University Accident Research Centre; CIE.</w:t>
      </w:r>
    </w:p>
    <w:p w:rsidR="007C6A5F" w:rsidRDefault="007C6A5F" w:rsidP="007C6A5F">
      <w:pPr>
        <w:pStyle w:val="BodyText"/>
        <w:rPr>
          <w:lang w:bidi="fa-IR"/>
        </w:rPr>
      </w:pPr>
      <w:r>
        <w:rPr>
          <w:lang w:bidi="fa-IR"/>
        </w:rPr>
        <w:t xml:space="preserve">Based on the above estimates of the number of additional emergency attendances due to people with accessibility needs living in accessible housing, we estimate an additional cost of between $1.9 million and $3.3 million per year, with a central case estimate of around $2.6 million per year. </w:t>
      </w:r>
    </w:p>
    <w:p w:rsidR="007C6A5F" w:rsidRDefault="007C6A5F" w:rsidP="005A6F87">
      <w:pPr>
        <w:pStyle w:val="ListBullet"/>
        <w:numPr>
          <w:ilvl w:val="0"/>
          <w:numId w:val="17"/>
        </w:numPr>
        <w:rPr>
          <w:lang w:bidi="fa-IR"/>
        </w:rPr>
      </w:pPr>
      <w:r>
        <w:rPr>
          <w:lang w:bidi="fa-IR"/>
        </w:rPr>
        <w:t>Health care costs are based on the average cost reported in UNSW (2010) inflated to 2019 dollar terms, using the national CPI.</w:t>
      </w:r>
      <w:r>
        <w:rPr>
          <w:rStyle w:val="FootnoteReference"/>
          <w:lang w:bidi="fa-IR"/>
        </w:rPr>
        <w:footnoteReference w:id="79"/>
      </w:r>
    </w:p>
    <w:p w:rsidR="007C6A5F" w:rsidRDefault="007C6A5F" w:rsidP="005A6F87">
      <w:pPr>
        <w:pStyle w:val="ListBullet"/>
        <w:numPr>
          <w:ilvl w:val="0"/>
          <w:numId w:val="17"/>
        </w:numPr>
        <w:rPr>
          <w:lang w:bidi="fa-IR"/>
        </w:rPr>
      </w:pPr>
      <w:r>
        <w:rPr>
          <w:lang w:bidi="fa-IR"/>
        </w:rPr>
        <w:t xml:space="preserve">Note that these cost estimates include health care costs only. Morbidity costs have not been included, as the health outcomes associated with falls are not clear. </w:t>
      </w:r>
    </w:p>
    <w:p w:rsidR="007C6A5F" w:rsidRDefault="007C6A5F" w:rsidP="007C6A5F">
      <w:pPr>
        <w:pStyle w:val="Caption"/>
        <w:ind w:left="568" w:hanging="568"/>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Pr>
          <w:noProof/>
        </w:rPr>
        <w:instrText>A</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11</w:instrText>
      </w:r>
      <w:r w:rsidRPr="00695C93">
        <w:fldChar w:fldCharType="end"/>
      </w:r>
      <w:r w:rsidRPr="00695C93">
        <w:instrText xml:space="preserve">" "" </w:instrText>
      </w:r>
      <w:r w:rsidRPr="00695C93">
        <w:fldChar w:fldCharType="separate"/>
      </w:r>
      <w:bookmarkStart w:id="6507" w:name="_Caption6033"/>
      <w:bookmarkStart w:id="6508" w:name="_Caption9721"/>
      <w:bookmarkStart w:id="6509" w:name="_Caption6251"/>
      <w:bookmarkStart w:id="6510" w:name="_Caption0031"/>
      <w:bookmarkStart w:id="6511" w:name="_Toc44598571"/>
      <w:bookmarkStart w:id="6512" w:name="_Toc45654202"/>
      <w:r w:rsidR="00272AF3">
        <w:rPr>
          <w:noProof/>
        </w:rPr>
        <w:t>A</w:t>
      </w:r>
      <w:r w:rsidR="00272AF3" w:rsidRPr="00695C93">
        <w:rPr>
          <w:noProof/>
        </w:rPr>
        <w:t>.</w:t>
      </w:r>
      <w:r w:rsidR="00272AF3">
        <w:rPr>
          <w:noProof/>
        </w:rPr>
        <w:t>11</w:t>
      </w:r>
      <w:bookmarkEnd w:id="6507"/>
      <w:bookmarkEnd w:id="6508"/>
      <w:bookmarkEnd w:id="6509"/>
      <w:bookmarkEnd w:id="6510"/>
      <w:r w:rsidRPr="00695C93">
        <w:fldChar w:fldCharType="end"/>
      </w:r>
      <w:r w:rsidRPr="00695C93">
        <w:tab/>
      </w:r>
      <w:r>
        <w:t>Estimated cost of additional emergency department attendances due to inaccessible housing</w:t>
      </w:r>
      <w:bookmarkEnd w:id="6511"/>
      <w:bookmarkEnd w:id="6512"/>
    </w:p>
    <w:tbl>
      <w:tblPr>
        <w:tblStyle w:val="TableGridLight"/>
        <w:tblW w:w="7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A.11"/>
        <w:tblDescription w:val="Estimated cost of additional emergency department attendances due to inaccessible housing"/>
      </w:tblPr>
      <w:tblGrid>
        <w:gridCol w:w="2119"/>
        <w:gridCol w:w="1509"/>
        <w:gridCol w:w="1437"/>
        <w:gridCol w:w="1437"/>
        <w:gridCol w:w="1437"/>
      </w:tblGrid>
      <w:tr w:rsidR="007C6A5F" w:rsidTr="005E2144">
        <w:trPr>
          <w:trHeight w:val="461"/>
          <w:tblHeader/>
        </w:trPr>
        <w:tc>
          <w:tcPr>
            <w:tcW w:w="2119" w:type="dxa"/>
            <w:shd w:val="clear" w:color="auto" w:fill="6F6652" w:themeFill="accent5"/>
          </w:tcPr>
          <w:p w:rsidR="007C6A5F" w:rsidRDefault="007A295D" w:rsidP="00C36DA4">
            <w:pPr>
              <w:pStyle w:val="TableDataColumnHeading"/>
              <w:jc w:val="left"/>
              <w:rPr>
                <w:lang w:val="en-GB"/>
              </w:rPr>
            </w:pPr>
            <w:r>
              <w:rPr>
                <w:lang w:val="en-GB"/>
              </w:rPr>
              <w:t>Age group</w:t>
            </w:r>
          </w:p>
        </w:tc>
        <w:tc>
          <w:tcPr>
            <w:tcW w:w="1509" w:type="dxa"/>
            <w:shd w:val="clear" w:color="auto" w:fill="6F6652" w:themeFill="accent5"/>
          </w:tcPr>
          <w:p w:rsidR="007C6A5F" w:rsidRDefault="007A295D" w:rsidP="00C36DA4">
            <w:pPr>
              <w:pStyle w:val="TableDataColumnHeading"/>
              <w:rPr>
                <w:lang w:val="en-GB"/>
              </w:rPr>
            </w:pPr>
            <w:r>
              <w:rPr>
                <w:lang w:val="en-GB"/>
              </w:rPr>
              <w:t>Average cost per ED attendance</w:t>
            </w:r>
            <w:r w:rsidRPr="00A96B1A">
              <w:rPr>
                <w:rStyle w:val="NoteLabel"/>
                <w:color w:val="FFFFFF" w:themeColor="background1"/>
              </w:rPr>
              <w:t>a</w:t>
            </w:r>
            <w:r>
              <w:rPr>
                <w:rStyle w:val="NoteLabel"/>
                <w:color w:val="FFFFFF" w:themeColor="background1"/>
              </w:rPr>
              <w:t xml:space="preserve"> </w:t>
            </w:r>
            <w:r>
              <w:rPr>
                <w:rStyle w:val="NoteLabel"/>
                <w:color w:val="FFFFFF" w:themeColor="background1"/>
              </w:rPr>
              <w:br/>
            </w:r>
            <w:r>
              <w:rPr>
                <w:lang w:val="en-GB"/>
              </w:rPr>
              <w:t>($)</w:t>
            </w:r>
          </w:p>
        </w:tc>
        <w:tc>
          <w:tcPr>
            <w:tcW w:w="1437" w:type="dxa"/>
            <w:shd w:val="clear" w:color="auto" w:fill="6F6652" w:themeFill="accent5"/>
          </w:tcPr>
          <w:p w:rsidR="007C6A5F" w:rsidRDefault="007A295D" w:rsidP="00C36DA4">
            <w:pPr>
              <w:pStyle w:val="TableDataColumnHeading"/>
              <w:rPr>
                <w:lang w:val="en-GB"/>
              </w:rPr>
            </w:pPr>
            <w:r>
              <w:rPr>
                <w:lang w:val="en-GB"/>
              </w:rPr>
              <w:t xml:space="preserve">Cost of additional ED attendance due to inaccessible housing: </w:t>
            </w:r>
            <w:r w:rsidR="007C6A5F">
              <w:rPr>
                <w:lang w:val="en-GB"/>
              </w:rPr>
              <w:t>Low estimate</w:t>
            </w:r>
            <w:r>
              <w:rPr>
                <w:lang w:val="en-GB"/>
              </w:rPr>
              <w:t xml:space="preserve"> </w:t>
            </w:r>
            <w:r>
              <w:rPr>
                <w:lang w:val="en-GB"/>
              </w:rPr>
              <w:br/>
              <w:t>($ million)</w:t>
            </w:r>
          </w:p>
        </w:tc>
        <w:tc>
          <w:tcPr>
            <w:tcW w:w="1437" w:type="dxa"/>
            <w:shd w:val="clear" w:color="auto" w:fill="6F6652" w:themeFill="accent5"/>
          </w:tcPr>
          <w:p w:rsidR="007C6A5F" w:rsidRDefault="007A295D" w:rsidP="00C36DA4">
            <w:pPr>
              <w:pStyle w:val="TableDataColumnHeading"/>
              <w:rPr>
                <w:lang w:val="en-GB"/>
              </w:rPr>
            </w:pPr>
            <w:r>
              <w:rPr>
                <w:lang w:val="en-GB"/>
              </w:rPr>
              <w:t xml:space="preserve">Cost of additional ED attendance due to inaccessible housing: </w:t>
            </w:r>
            <w:r w:rsidR="007C6A5F">
              <w:rPr>
                <w:lang w:val="en-GB"/>
              </w:rPr>
              <w:t>Central case</w:t>
            </w:r>
            <w:r>
              <w:rPr>
                <w:lang w:val="en-GB"/>
              </w:rPr>
              <w:br/>
              <w:t>($ million)</w:t>
            </w:r>
          </w:p>
        </w:tc>
        <w:tc>
          <w:tcPr>
            <w:tcW w:w="1437" w:type="dxa"/>
            <w:shd w:val="clear" w:color="auto" w:fill="6F6652" w:themeFill="accent5"/>
          </w:tcPr>
          <w:p w:rsidR="007C6A5F" w:rsidRDefault="007A295D" w:rsidP="00C36DA4">
            <w:pPr>
              <w:pStyle w:val="TableDataColumnHeading"/>
              <w:rPr>
                <w:lang w:val="en-GB"/>
              </w:rPr>
            </w:pPr>
            <w:r>
              <w:rPr>
                <w:lang w:val="en-GB"/>
              </w:rPr>
              <w:t xml:space="preserve">Cost of additional ED attendance due to inaccessible housing: </w:t>
            </w:r>
            <w:r w:rsidR="007C6A5F">
              <w:rPr>
                <w:lang w:val="en-GB"/>
              </w:rPr>
              <w:t>High estimate</w:t>
            </w:r>
            <w:r>
              <w:rPr>
                <w:lang w:val="en-GB"/>
              </w:rPr>
              <w:br/>
              <w:t>($ million)</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0 to 4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0.03</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0.04</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0.06</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5 to 9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0.03</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0.04</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0.05</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10 to 14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0.03</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0.04</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15 to 19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0.04</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0.05</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0.06</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20 to 24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0.03</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0.04</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lastRenderedPageBreak/>
              <w:t>25 to 29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0.04</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0.05</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0.06</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30 to 34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0.05</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0.07</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0.09</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35 to 39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0.05</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0.07</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0.08</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40 to 44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0.07</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0.10</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0.12</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45 to 49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0.10</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0.13</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0.17</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50 to 54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0.11</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0.15</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0.18</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55 to 59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0.15</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0.20</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0.25</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60 to 64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0.13</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0.18</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0.23</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65 to 69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2 832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0.15</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0.21</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0.26</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70 to 74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4 366</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0.15</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0.20</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0.25</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75 to 79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4 237</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0.22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0.30</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0.37</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80 to 84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3 581</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0.16</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0.22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0.27</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85 to 89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3 343</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0.14</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0.20</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0.24</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90 to 94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3 522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0.15</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0.21</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0.26</w:t>
            </w:r>
          </w:p>
        </w:tc>
      </w:tr>
      <w:tr w:rsidR="007C6A5F" w:rsidTr="00B5160B">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95+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3 140</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0.16</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0.20</w:t>
            </w:r>
          </w:p>
        </w:tc>
      </w:tr>
      <w:tr w:rsidR="007C6A5F" w:rsidRPr="00801E43" w:rsidTr="00B5160B">
        <w:trPr>
          <w:trHeight w:val="230"/>
        </w:trPr>
        <w:tc>
          <w:tcPr>
            <w:tcW w:w="2119"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jc w:val="left"/>
              <w:rPr>
                <w:rFonts w:ascii="Franklin Gothic Demi" w:hAnsi="Franklin Gothic Demi"/>
                <w:lang w:val="en-GB"/>
              </w:rPr>
            </w:pPr>
            <w:r w:rsidRPr="00801E43">
              <w:rPr>
                <w:rFonts w:ascii="Franklin Gothic Demi" w:hAnsi="Franklin Gothic Demi"/>
                <w:lang w:val="en-GB"/>
              </w:rPr>
              <w:t>Total</w:t>
            </w:r>
          </w:p>
        </w:tc>
        <w:tc>
          <w:tcPr>
            <w:tcW w:w="1509"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p>
        </w:tc>
        <w:tc>
          <w:tcPr>
            <w:tcW w:w="1437"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rPr>
              <w:t xml:space="preserve"> 1.92</w:t>
            </w:r>
          </w:p>
        </w:tc>
        <w:tc>
          <w:tcPr>
            <w:tcW w:w="1437"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rPr>
              <w:t xml:space="preserve"> 2.63</w:t>
            </w:r>
          </w:p>
        </w:tc>
        <w:tc>
          <w:tcPr>
            <w:tcW w:w="1437"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rPr>
              <w:t xml:space="preserve"> 3.27</w:t>
            </w:r>
          </w:p>
        </w:tc>
      </w:tr>
    </w:tbl>
    <w:p w:rsidR="007C6A5F" w:rsidRPr="00E4232C" w:rsidRDefault="007C6A5F" w:rsidP="007C6A5F">
      <w:pPr>
        <w:pStyle w:val="Note"/>
      </w:pPr>
      <w:r w:rsidRPr="00A96B1A">
        <w:rPr>
          <w:rStyle w:val="NoteLabel"/>
          <w:color w:val="000000" w:themeColor="text1"/>
        </w:rPr>
        <w:t>a</w:t>
      </w:r>
      <w:r>
        <w:t xml:space="preserve"> Based on average costs reported in UNSW (2010, p. 33) inflate to 2019 dollars using the national CPI.</w:t>
      </w:r>
    </w:p>
    <w:p w:rsidR="007C6A5F" w:rsidRDefault="007C6A5F" w:rsidP="007C6A5F">
      <w:pPr>
        <w:pStyle w:val="Source"/>
      </w:pPr>
      <w:r w:rsidRPr="00FE7AAF">
        <w:rPr>
          <w:i/>
          <w:lang w:bidi="fa-IR"/>
        </w:rPr>
        <w:t>Source:</w:t>
      </w:r>
      <w:r>
        <w:rPr>
          <w:lang w:bidi="fa-IR"/>
        </w:rPr>
        <w:t xml:space="preserve"> </w:t>
      </w:r>
      <w:r>
        <w:t xml:space="preserve">University of NSW, </w:t>
      </w:r>
      <w:r w:rsidRPr="00FB0C5C">
        <w:rPr>
          <w:i/>
          <w:iCs/>
        </w:rPr>
        <w:t>The Incidence and Cost of Falls Injury Among Older People in New South Wales 2006/07</w:t>
      </w:r>
      <w:r>
        <w:t>, A Report to NSW Health, September 2010; CIE.</w:t>
      </w:r>
    </w:p>
    <w:p w:rsidR="007C6A5F" w:rsidRDefault="007C6A5F" w:rsidP="007C6A5F">
      <w:pPr>
        <w:pStyle w:val="Heading8"/>
        <w:numPr>
          <w:ilvl w:val="7"/>
          <w:numId w:val="5"/>
        </w:numPr>
        <w:rPr>
          <w:lang w:bidi="fa-IR"/>
        </w:rPr>
      </w:pPr>
      <w:r>
        <w:rPr>
          <w:lang w:bidi="fa-IR"/>
        </w:rPr>
        <w:t>Non-hospital treatment</w:t>
      </w:r>
    </w:p>
    <w:p w:rsidR="007C6A5F" w:rsidRDefault="007C6A5F" w:rsidP="007C6A5F">
      <w:pPr>
        <w:pStyle w:val="BodyText"/>
        <w:rPr>
          <w:lang w:bidi="fa-IR"/>
        </w:rPr>
      </w:pPr>
      <w:r>
        <w:rPr>
          <w:lang w:bidi="fa-IR"/>
        </w:rPr>
        <w:t>Three may also be medical costs where people have a fall, but do not attend a hospital. Using a similar approach as above, we estimate there could be between an additional 3573 and 6087 fall</w:t>
      </w:r>
      <w:r>
        <w:rPr>
          <w:lang w:bidi="fa-IR"/>
        </w:rPr>
        <w:noBreakHyphen/>
        <w:t>related non</w:t>
      </w:r>
      <w:r>
        <w:rPr>
          <w:lang w:bidi="fa-IR"/>
        </w:rPr>
        <w:noBreakHyphen/>
        <w:t>hospital treatments provided per year due to people with accessibility needs living in inaccessible housing, with a central case estimate of 4896 non</w:t>
      </w:r>
      <w:r>
        <w:rPr>
          <w:lang w:bidi="fa-IR"/>
        </w:rPr>
        <w:noBreakHyphen/>
        <w:t>hospital treatments per year. These estimates are based on the following.</w:t>
      </w:r>
    </w:p>
    <w:p w:rsidR="007C6A5F" w:rsidRDefault="007C6A5F" w:rsidP="005A6F87">
      <w:pPr>
        <w:pStyle w:val="ListBullet"/>
        <w:numPr>
          <w:ilvl w:val="0"/>
          <w:numId w:val="17"/>
        </w:numPr>
        <w:rPr>
          <w:lang w:bidi="fa-IR"/>
        </w:rPr>
      </w:pPr>
      <w:r>
        <w:rPr>
          <w:lang w:bidi="fa-IR"/>
        </w:rPr>
        <w:t>The non</w:t>
      </w:r>
      <w:r>
        <w:rPr>
          <w:lang w:bidi="fa-IR"/>
        </w:rPr>
        <w:noBreakHyphen/>
        <w:t>hospital treatment rate from falls is taken from NSW data for people living in the community from 2006</w:t>
      </w:r>
      <w:r>
        <w:rPr>
          <w:lang w:bidi="fa-IR"/>
        </w:rPr>
        <w:noBreakHyphen/>
        <w:t>07 reported in a UNSW report to NSW Health.</w:t>
      </w:r>
      <w:r>
        <w:rPr>
          <w:rStyle w:val="FootnoteReference"/>
          <w:lang w:bidi="fa-IR"/>
        </w:rPr>
        <w:footnoteReference w:id="80"/>
      </w:r>
      <w:r>
        <w:rPr>
          <w:lang w:bidi="fa-IR"/>
        </w:rPr>
        <w:t xml:space="preserve"> </w:t>
      </w:r>
    </w:p>
    <w:p w:rsidR="007C6A5F" w:rsidRDefault="007C6A5F" w:rsidP="005A6F87">
      <w:pPr>
        <w:pStyle w:val="ListBullet2"/>
        <w:numPr>
          <w:ilvl w:val="1"/>
          <w:numId w:val="17"/>
        </w:numPr>
        <w:ind w:left="568" w:hanging="284"/>
        <w:rPr>
          <w:lang w:bidi="fa-IR"/>
        </w:rPr>
      </w:pPr>
      <w:r>
        <w:rPr>
          <w:lang w:bidi="fa-IR"/>
        </w:rPr>
        <w:t>Actual data, as reported by UNSW, is used for age groups over 65.</w:t>
      </w:r>
    </w:p>
    <w:p w:rsidR="007C6A5F" w:rsidRDefault="007C6A5F" w:rsidP="005A6F87">
      <w:pPr>
        <w:pStyle w:val="ListBullet2"/>
        <w:numPr>
          <w:ilvl w:val="1"/>
          <w:numId w:val="17"/>
        </w:numPr>
        <w:ind w:left="568" w:hanging="284"/>
        <w:rPr>
          <w:lang w:bidi="fa-IR"/>
        </w:rPr>
      </w:pPr>
      <w:r>
        <w:rPr>
          <w:lang w:bidi="fa-IR"/>
        </w:rPr>
        <w:t>The incidence of falls resulting in non-hospital treatment among people under the age of 65 with mobility limitations is not reported. As above, we assumed that the incidence of falls was around the same as for the broader population in the 65</w:t>
      </w:r>
      <w:r>
        <w:rPr>
          <w:lang w:bidi="fa-IR"/>
        </w:rPr>
        <w:noBreakHyphen/>
        <w:t>69 year age bracket, as reported by UNSW.</w:t>
      </w:r>
    </w:p>
    <w:p w:rsidR="007C6A5F" w:rsidRDefault="007C6A5F" w:rsidP="005A6F87">
      <w:pPr>
        <w:pStyle w:val="ListBullet2"/>
        <w:numPr>
          <w:ilvl w:val="1"/>
          <w:numId w:val="17"/>
        </w:numPr>
        <w:ind w:left="568" w:hanging="284"/>
        <w:rPr>
          <w:lang w:bidi="fa-IR"/>
        </w:rPr>
      </w:pPr>
      <w:r>
        <w:rPr>
          <w:lang w:bidi="fa-IR"/>
        </w:rPr>
        <w:t>The proportion of falls in the home resulting in non</w:t>
      </w:r>
      <w:r>
        <w:rPr>
          <w:lang w:bidi="fa-IR"/>
        </w:rPr>
        <w:noBreakHyphen/>
        <w:t>hospital medical treatment was not reported. However, we adjust the total non</w:t>
      </w:r>
      <w:r>
        <w:rPr>
          <w:lang w:bidi="fa-IR"/>
        </w:rPr>
        <w:noBreakHyphen/>
        <w:t xml:space="preserve">hospital treatment rate based </w:t>
      </w:r>
      <w:r>
        <w:rPr>
          <w:lang w:bidi="fa-IR"/>
        </w:rPr>
        <w:lastRenderedPageBreak/>
        <w:t>on the Victorian data showing that 56.3 per cent of falls resulting in ED presentations occur in the home.</w:t>
      </w:r>
      <w:r>
        <w:rPr>
          <w:rStyle w:val="FootnoteReference"/>
          <w:lang w:bidi="fa-IR"/>
        </w:rPr>
        <w:footnoteReference w:id="81"/>
      </w:r>
    </w:p>
    <w:p w:rsidR="007C6A5F" w:rsidRDefault="007C6A5F" w:rsidP="005A6F87">
      <w:pPr>
        <w:pStyle w:val="ListBullet"/>
        <w:numPr>
          <w:ilvl w:val="0"/>
          <w:numId w:val="17"/>
        </w:numPr>
        <w:rPr>
          <w:lang w:bidi="fa-IR"/>
        </w:rPr>
      </w:pPr>
      <w:r>
        <w:rPr>
          <w:lang w:bidi="fa-IR"/>
        </w:rPr>
        <w:t>As above, when people with accessibility needs live in inaccessible housing, the incidence of falls is estimated to be:</w:t>
      </w:r>
    </w:p>
    <w:p w:rsidR="007C6A5F" w:rsidRDefault="007C6A5F" w:rsidP="005A6F87">
      <w:pPr>
        <w:pStyle w:val="ListBullet2"/>
        <w:numPr>
          <w:ilvl w:val="1"/>
          <w:numId w:val="17"/>
        </w:numPr>
        <w:ind w:left="568" w:hanging="284"/>
        <w:rPr>
          <w:lang w:bidi="fa-IR"/>
        </w:rPr>
      </w:pPr>
      <w:r>
        <w:rPr>
          <w:lang w:bidi="fa-IR"/>
        </w:rPr>
        <w:t>27 per cent higher under the low estimate scenario</w:t>
      </w:r>
    </w:p>
    <w:p w:rsidR="007C6A5F" w:rsidRDefault="007C6A5F" w:rsidP="005A6F87">
      <w:pPr>
        <w:pStyle w:val="ListBullet2"/>
        <w:numPr>
          <w:ilvl w:val="1"/>
          <w:numId w:val="17"/>
        </w:numPr>
        <w:ind w:left="568" w:hanging="284"/>
        <w:rPr>
          <w:lang w:bidi="fa-IR"/>
        </w:rPr>
      </w:pPr>
      <w:r>
        <w:rPr>
          <w:lang w:bidi="fa-IR"/>
        </w:rPr>
        <w:t>37 per cent higher under the central case scenario</w:t>
      </w:r>
    </w:p>
    <w:p w:rsidR="007C6A5F" w:rsidRDefault="007C6A5F" w:rsidP="005A6F87">
      <w:pPr>
        <w:pStyle w:val="ListBullet2"/>
        <w:numPr>
          <w:ilvl w:val="1"/>
          <w:numId w:val="17"/>
        </w:numPr>
        <w:ind w:left="568" w:hanging="284"/>
        <w:rPr>
          <w:lang w:bidi="fa-IR"/>
        </w:rPr>
      </w:pPr>
      <w:r>
        <w:rPr>
          <w:lang w:bidi="fa-IR"/>
        </w:rPr>
        <w:t>46 per cent higher under the high estimate scenario (see above).</w:t>
      </w:r>
    </w:p>
    <w:p w:rsidR="007C6A5F" w:rsidRDefault="007C6A5F" w:rsidP="007C6A5F">
      <w:pPr>
        <w:pStyle w:val="Caption"/>
        <w:ind w:left="568" w:hanging="568"/>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Pr>
          <w:noProof/>
        </w:rPr>
        <w:instrText>A</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12</w:instrText>
      </w:r>
      <w:r w:rsidRPr="00695C93">
        <w:fldChar w:fldCharType="end"/>
      </w:r>
      <w:r w:rsidRPr="00695C93">
        <w:instrText xml:space="preserve">" "" </w:instrText>
      </w:r>
      <w:r w:rsidRPr="00695C93">
        <w:fldChar w:fldCharType="separate"/>
      </w:r>
      <w:bookmarkStart w:id="6513" w:name="_Caption7610"/>
      <w:bookmarkStart w:id="6514" w:name="_Caption4493"/>
      <w:bookmarkStart w:id="6515" w:name="_Caption2611"/>
      <w:bookmarkStart w:id="6516" w:name="_Caption6275"/>
      <w:bookmarkStart w:id="6517" w:name="_Toc44598572"/>
      <w:bookmarkStart w:id="6518" w:name="_Toc45654203"/>
      <w:r w:rsidR="00272AF3">
        <w:rPr>
          <w:noProof/>
        </w:rPr>
        <w:t>A</w:t>
      </w:r>
      <w:r w:rsidR="00272AF3" w:rsidRPr="00695C93">
        <w:rPr>
          <w:noProof/>
        </w:rPr>
        <w:t>.</w:t>
      </w:r>
      <w:r w:rsidR="00272AF3">
        <w:rPr>
          <w:noProof/>
        </w:rPr>
        <w:t>12</w:t>
      </w:r>
      <w:bookmarkEnd w:id="6513"/>
      <w:bookmarkEnd w:id="6514"/>
      <w:bookmarkEnd w:id="6515"/>
      <w:bookmarkEnd w:id="6516"/>
      <w:r w:rsidRPr="00695C93">
        <w:fldChar w:fldCharType="end"/>
      </w:r>
      <w:r w:rsidRPr="00695C93">
        <w:tab/>
      </w:r>
      <w:r>
        <w:t xml:space="preserve">Estimated number of additional </w:t>
      </w:r>
      <w:r w:rsidR="00057629">
        <w:t>non-hospital treatment</w:t>
      </w:r>
      <w:r>
        <w:t>s due to inaccessible housing</w:t>
      </w:r>
      <w:bookmarkEnd w:id="6517"/>
      <w:bookmarkEnd w:id="6518"/>
    </w:p>
    <w:tbl>
      <w:tblPr>
        <w:tblStyle w:val="TableGridLight"/>
        <w:tblW w:w="7940" w:type="dxa"/>
        <w:tblLayout w:type="fixed"/>
        <w:tblLook w:val="0020" w:firstRow="1" w:lastRow="0" w:firstColumn="0" w:lastColumn="0" w:noHBand="0" w:noVBand="0"/>
        <w:tblCaption w:val="Table A.12"/>
        <w:tblDescription w:val="Estimated number of additional non-hospital treatments due to inaccessible housing"/>
      </w:tblPr>
      <w:tblGrid>
        <w:gridCol w:w="814"/>
        <w:gridCol w:w="1018"/>
        <w:gridCol w:w="1018"/>
        <w:gridCol w:w="1018"/>
        <w:gridCol w:w="1018"/>
        <w:gridCol w:w="1018"/>
        <w:gridCol w:w="1018"/>
        <w:gridCol w:w="1018"/>
      </w:tblGrid>
      <w:tr w:rsidR="00C22D78" w:rsidTr="00090C00">
        <w:trPr>
          <w:trHeight w:val="461"/>
          <w:tblHeader/>
        </w:trPr>
        <w:tc>
          <w:tcPr>
            <w:tcW w:w="814" w:type="dxa"/>
            <w:tcBorders>
              <w:top w:val="nil"/>
              <w:left w:val="nil"/>
              <w:bottom w:val="nil"/>
              <w:right w:val="nil"/>
            </w:tcBorders>
            <w:shd w:val="clear" w:color="auto" w:fill="6F6652" w:themeFill="accent5"/>
          </w:tcPr>
          <w:p w:rsidR="00C22D78" w:rsidRDefault="00C22D78" w:rsidP="00C22D78">
            <w:pPr>
              <w:pStyle w:val="TableDataColumnHeading"/>
              <w:jc w:val="left"/>
              <w:rPr>
                <w:lang w:val="en-GB"/>
              </w:rPr>
            </w:pPr>
            <w:r>
              <w:rPr>
                <w:lang w:val="en-GB"/>
              </w:rPr>
              <w:t>Age group</w:t>
            </w:r>
          </w:p>
        </w:tc>
        <w:tc>
          <w:tcPr>
            <w:tcW w:w="1018" w:type="dxa"/>
            <w:tcBorders>
              <w:top w:val="nil"/>
              <w:left w:val="nil"/>
              <w:bottom w:val="nil"/>
              <w:right w:val="nil"/>
            </w:tcBorders>
            <w:shd w:val="clear" w:color="auto" w:fill="6F6652" w:themeFill="accent5"/>
          </w:tcPr>
          <w:p w:rsidR="00C22D78" w:rsidRDefault="00C22D78" w:rsidP="00C22D78">
            <w:pPr>
              <w:pStyle w:val="TableDataColumnHeading"/>
              <w:rPr>
                <w:lang w:val="en-GB"/>
              </w:rPr>
            </w:pPr>
            <w:r>
              <w:rPr>
                <w:lang w:val="en-GB"/>
              </w:rPr>
              <w:t>Population affected</w:t>
            </w:r>
            <w:r w:rsidRPr="00A96B1A">
              <w:rPr>
                <w:rStyle w:val="NoteLabel"/>
                <w:color w:val="FFFFFF" w:themeColor="background1"/>
              </w:rPr>
              <w:t>a</w:t>
            </w:r>
            <w:r>
              <w:rPr>
                <w:rStyle w:val="NoteLabel"/>
                <w:color w:val="FFFFFF" w:themeColor="background1"/>
              </w:rPr>
              <w:t xml:space="preserve"> </w:t>
            </w:r>
            <w:r>
              <w:rPr>
                <w:rStyle w:val="NoteLabel"/>
                <w:color w:val="FFFFFF" w:themeColor="background1"/>
              </w:rPr>
              <w:br/>
            </w:r>
            <w:r>
              <w:rPr>
                <w:lang w:val="en-GB"/>
              </w:rPr>
              <w:t>(‘000)</w:t>
            </w:r>
          </w:p>
        </w:tc>
        <w:tc>
          <w:tcPr>
            <w:tcW w:w="1018" w:type="dxa"/>
            <w:tcBorders>
              <w:top w:val="nil"/>
              <w:left w:val="nil"/>
              <w:bottom w:val="nil"/>
              <w:right w:val="nil"/>
            </w:tcBorders>
            <w:shd w:val="clear" w:color="auto" w:fill="6F6652" w:themeFill="accent5"/>
          </w:tcPr>
          <w:p w:rsidR="00C22D78" w:rsidRDefault="00C22D78" w:rsidP="00C22D78">
            <w:pPr>
              <w:pStyle w:val="TableDataColumnHeading"/>
              <w:rPr>
                <w:lang w:val="en-GB"/>
              </w:rPr>
            </w:pPr>
            <w:r>
              <w:rPr>
                <w:lang w:val="en-GB"/>
              </w:rPr>
              <w:t>Non</w:t>
            </w:r>
            <w:r>
              <w:rPr>
                <w:lang w:val="en-GB"/>
              </w:rPr>
              <w:noBreakHyphen/>
              <w:t>hospital treatment rate from falls</w:t>
            </w:r>
            <w:r w:rsidRPr="00A96B1A">
              <w:rPr>
                <w:rStyle w:val="NoteLabel"/>
                <w:color w:val="FFFFFF" w:themeColor="background1"/>
              </w:rPr>
              <w:t>b</w:t>
            </w:r>
            <w:r>
              <w:rPr>
                <w:rStyle w:val="NoteLabel"/>
                <w:color w:val="FFFFFF" w:themeColor="background1"/>
              </w:rPr>
              <w:t xml:space="preserve"> </w:t>
            </w:r>
            <w:r>
              <w:rPr>
                <w:rStyle w:val="NoteLabel"/>
                <w:color w:val="FFFFFF" w:themeColor="background1"/>
              </w:rPr>
              <w:br/>
            </w:r>
            <w:r>
              <w:rPr>
                <w:lang w:val="en-GB"/>
              </w:rPr>
              <w:t>(Rate per 100 000)</w:t>
            </w:r>
          </w:p>
        </w:tc>
        <w:tc>
          <w:tcPr>
            <w:tcW w:w="1018" w:type="dxa"/>
            <w:tcBorders>
              <w:top w:val="nil"/>
              <w:left w:val="nil"/>
              <w:bottom w:val="nil"/>
              <w:right w:val="nil"/>
            </w:tcBorders>
            <w:shd w:val="clear" w:color="auto" w:fill="6F6652" w:themeFill="accent5"/>
          </w:tcPr>
          <w:p w:rsidR="00C22D78" w:rsidRDefault="00C22D78" w:rsidP="00C22D78">
            <w:pPr>
              <w:pStyle w:val="TableDataColumnHeading"/>
              <w:rPr>
                <w:lang w:val="en-GB"/>
              </w:rPr>
            </w:pPr>
            <w:r>
              <w:rPr>
                <w:lang w:val="en-GB"/>
              </w:rPr>
              <w:t>Non</w:t>
            </w:r>
            <w:r>
              <w:rPr>
                <w:lang w:val="en-GB"/>
              </w:rPr>
              <w:noBreakHyphen/>
              <w:t>hospital treatment rate from falls at home</w:t>
            </w:r>
            <w:r w:rsidRPr="00A96B1A">
              <w:rPr>
                <w:rStyle w:val="NoteLabel"/>
                <w:color w:val="FFFFFF" w:themeColor="background1"/>
              </w:rPr>
              <w:t>c</w:t>
            </w:r>
            <w:r>
              <w:rPr>
                <w:rStyle w:val="NoteLabel"/>
                <w:color w:val="FFFFFF" w:themeColor="background1"/>
              </w:rPr>
              <w:t xml:space="preserve"> </w:t>
            </w:r>
            <w:r>
              <w:rPr>
                <w:rStyle w:val="NoteLabel"/>
                <w:color w:val="FFFFFF" w:themeColor="background1"/>
              </w:rPr>
              <w:br/>
            </w:r>
            <w:r>
              <w:rPr>
                <w:lang w:val="en-GB"/>
              </w:rPr>
              <w:t>(Rate per 100 000)</w:t>
            </w:r>
          </w:p>
        </w:tc>
        <w:tc>
          <w:tcPr>
            <w:tcW w:w="1018" w:type="dxa"/>
            <w:tcBorders>
              <w:top w:val="nil"/>
              <w:left w:val="nil"/>
              <w:bottom w:val="nil"/>
              <w:right w:val="nil"/>
            </w:tcBorders>
            <w:shd w:val="clear" w:color="auto" w:fill="6F6652" w:themeFill="accent5"/>
          </w:tcPr>
          <w:p w:rsidR="00C22D78" w:rsidRDefault="00C22D78" w:rsidP="00C22D78">
            <w:pPr>
              <w:pStyle w:val="TableDataColumnHeading"/>
              <w:rPr>
                <w:lang w:val="en-GB"/>
              </w:rPr>
            </w:pPr>
            <w:r>
              <w:rPr>
                <w:lang w:val="en-GB"/>
              </w:rPr>
              <w:t>Estimated non</w:t>
            </w:r>
            <w:r>
              <w:rPr>
                <w:lang w:val="en-GB"/>
              </w:rPr>
              <w:noBreakHyphen/>
              <w:t xml:space="preserve">hospital treatment – baseline </w:t>
            </w:r>
            <w:r>
              <w:rPr>
                <w:lang w:val="en-GB"/>
              </w:rPr>
              <w:br/>
              <w:t>(No.)</w:t>
            </w:r>
          </w:p>
        </w:tc>
        <w:tc>
          <w:tcPr>
            <w:tcW w:w="1018" w:type="dxa"/>
            <w:tcBorders>
              <w:top w:val="nil"/>
              <w:left w:val="nil"/>
              <w:bottom w:val="nil"/>
              <w:right w:val="nil"/>
            </w:tcBorders>
            <w:shd w:val="clear" w:color="auto" w:fill="6F6652" w:themeFill="accent5"/>
          </w:tcPr>
          <w:p w:rsidR="00C22D78" w:rsidRDefault="00C22D78" w:rsidP="00C22D78">
            <w:pPr>
              <w:pStyle w:val="TableDataColumnHeading"/>
              <w:rPr>
                <w:lang w:val="en-GB"/>
              </w:rPr>
            </w:pPr>
            <w:r>
              <w:rPr>
                <w:lang w:val="en-GB"/>
              </w:rPr>
              <w:t>Additional non</w:t>
            </w:r>
            <w:r>
              <w:rPr>
                <w:lang w:val="en-GB"/>
              </w:rPr>
              <w:noBreakHyphen/>
              <w:t>hospital treatments due to inaccessible housing: Low estimate</w:t>
            </w:r>
            <w:r w:rsidRPr="00A96B1A">
              <w:rPr>
                <w:rStyle w:val="NoteLabel"/>
                <w:color w:val="FFFFFF" w:themeColor="background1"/>
              </w:rPr>
              <w:t>d</w:t>
            </w:r>
            <w:r>
              <w:rPr>
                <w:rStyle w:val="NoteLabel"/>
                <w:color w:val="FFFFFF" w:themeColor="background1"/>
              </w:rPr>
              <w:t xml:space="preserve"> </w:t>
            </w:r>
            <w:r>
              <w:rPr>
                <w:rStyle w:val="NoteLabel"/>
                <w:color w:val="FFFFFF" w:themeColor="background1"/>
              </w:rPr>
              <w:br/>
            </w:r>
            <w:r>
              <w:rPr>
                <w:lang w:val="en-GB"/>
              </w:rPr>
              <w:t>(No.)</w:t>
            </w:r>
          </w:p>
        </w:tc>
        <w:tc>
          <w:tcPr>
            <w:tcW w:w="1018" w:type="dxa"/>
            <w:tcBorders>
              <w:top w:val="nil"/>
              <w:left w:val="nil"/>
              <w:bottom w:val="nil"/>
              <w:right w:val="nil"/>
            </w:tcBorders>
            <w:shd w:val="clear" w:color="auto" w:fill="6F6652" w:themeFill="accent5"/>
          </w:tcPr>
          <w:p w:rsidR="00C22D78" w:rsidRDefault="00C22D78" w:rsidP="00C22D78">
            <w:pPr>
              <w:pStyle w:val="TableDataColumnHeading"/>
              <w:rPr>
                <w:lang w:val="en-GB"/>
              </w:rPr>
            </w:pPr>
            <w:r>
              <w:rPr>
                <w:lang w:val="en-GB"/>
              </w:rPr>
              <w:t>Additional non</w:t>
            </w:r>
            <w:r>
              <w:rPr>
                <w:lang w:val="en-GB"/>
              </w:rPr>
              <w:noBreakHyphen/>
              <w:t>hospital treatments due to inaccessible housing: Central case</w:t>
            </w:r>
            <w:r>
              <w:rPr>
                <w:rStyle w:val="NoteLabel"/>
                <w:color w:val="FFFFFF" w:themeColor="background1"/>
              </w:rPr>
              <w:t xml:space="preserve">e </w:t>
            </w:r>
            <w:r>
              <w:rPr>
                <w:rStyle w:val="NoteLabel"/>
                <w:color w:val="FFFFFF" w:themeColor="background1"/>
              </w:rPr>
              <w:br/>
            </w:r>
            <w:r>
              <w:rPr>
                <w:lang w:val="en-GB"/>
              </w:rPr>
              <w:t>(No.)</w:t>
            </w:r>
          </w:p>
        </w:tc>
        <w:tc>
          <w:tcPr>
            <w:tcW w:w="1018" w:type="dxa"/>
            <w:tcBorders>
              <w:top w:val="nil"/>
              <w:left w:val="nil"/>
              <w:bottom w:val="nil"/>
              <w:right w:val="nil"/>
            </w:tcBorders>
            <w:shd w:val="clear" w:color="auto" w:fill="6F6652" w:themeFill="accent5"/>
          </w:tcPr>
          <w:p w:rsidR="00C22D78" w:rsidRDefault="00C22D78" w:rsidP="00C22D78">
            <w:pPr>
              <w:pStyle w:val="TableDataColumnHeading"/>
              <w:rPr>
                <w:lang w:val="en-GB"/>
              </w:rPr>
            </w:pPr>
            <w:r>
              <w:rPr>
                <w:lang w:val="en-GB"/>
              </w:rPr>
              <w:t>Additional non</w:t>
            </w:r>
            <w:r>
              <w:rPr>
                <w:lang w:val="en-GB"/>
              </w:rPr>
              <w:noBreakHyphen/>
              <w:t>hospital treatments due to inaccessible housing: High estimate</w:t>
            </w:r>
            <w:r w:rsidRPr="00A96B1A">
              <w:rPr>
                <w:rStyle w:val="NoteLabel"/>
                <w:color w:val="FFFFFF" w:themeColor="background1"/>
              </w:rPr>
              <w:t>f</w:t>
            </w:r>
            <w:r>
              <w:rPr>
                <w:rStyle w:val="NoteLabel"/>
                <w:color w:val="FFFFFF" w:themeColor="background1"/>
              </w:rPr>
              <w:t xml:space="preserve"> </w:t>
            </w:r>
            <w:r>
              <w:rPr>
                <w:rStyle w:val="NoteLabel"/>
                <w:color w:val="FFFFFF" w:themeColor="background1"/>
              </w:rPr>
              <w:br/>
            </w:r>
            <w:r>
              <w:rPr>
                <w:lang w:val="en-GB"/>
              </w:rPr>
              <w:t>(No.)</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0 to 4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7.70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5 480.35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3 085.43</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238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64</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88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109</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5 to 9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6.60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5 480.35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3 085.43</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204</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75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94</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10 to 14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5.60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5 480.35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3 085.43</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173</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47</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64</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79</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15 to 19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8.80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5 480.35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3 085.43</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272</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73</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100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125</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20 to 24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5.40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5 480.35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3 085.43</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167</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45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62</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77</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25 to 29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8.40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5 480.35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3 085.43</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259</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70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96</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119</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30 to 34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11.90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5 480.35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3 085.43</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367</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99</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136</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169</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35 to 39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11.50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5 480.35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3 085.43</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355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96</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131</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163</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40 to 44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16.70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5 480.35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3 085.43</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515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139</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191</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237</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45 to 49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23.20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5 480.35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3 085.43</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716</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193</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265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329</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50 to 54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25.20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5 480.35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3 085.43</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778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210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288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358</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55 to 59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34.80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5 480.35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3 085.43</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1 074</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290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397</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494</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60 to 64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31.80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5 480.35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3 085.43</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981</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265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363</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451</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65 to 69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35.70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5 480.35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3 085.43</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1 102</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297</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408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507</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70 to 74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23.00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5 990.53</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3 372.67</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776</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209</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287</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357</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75 to 79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25.80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7 808.49</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4 396.18</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1 134</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306</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420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522</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80 to 84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18.30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8 014.45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4 512.14</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826</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223</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306</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380</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85 to 89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13.00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18 702.50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10 529.51</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1 369</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370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506</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630</w:t>
            </w:r>
          </w:p>
        </w:tc>
      </w:tr>
      <w:tr w:rsidR="007C6A5F" w:rsidTr="00090C00">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90 to 94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7.70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16 130.17</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9 081.29</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699</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189</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259</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322</w:t>
            </w:r>
          </w:p>
        </w:tc>
      </w:tr>
      <w:tr w:rsidR="007C6A5F" w:rsidTr="00B5160B">
        <w:trPr>
          <w:trHeight w:val="230"/>
        </w:trPr>
        <w:tc>
          <w:tcPr>
            <w:tcW w:w="814"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 xml:space="preserve">95+ </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4.00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54 601.06</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30 740.40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1 230</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332</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455</w:t>
            </w:r>
          </w:p>
        </w:tc>
        <w:tc>
          <w:tcPr>
            <w:tcW w:w="1018"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t xml:space="preserve"> 566</w:t>
            </w:r>
          </w:p>
        </w:tc>
      </w:tr>
      <w:tr w:rsidR="007C6A5F" w:rsidRPr="00801E43" w:rsidTr="00B5160B">
        <w:trPr>
          <w:trHeight w:val="230"/>
        </w:trPr>
        <w:tc>
          <w:tcPr>
            <w:tcW w:w="814"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801E43" w:rsidRDefault="007C6A5F" w:rsidP="00C36DA4">
            <w:pPr>
              <w:pStyle w:val="TableDataEntries"/>
              <w:jc w:val="left"/>
              <w:rPr>
                <w:rFonts w:ascii="Franklin Gothic Demi" w:hAnsi="Franklin Gothic Demi"/>
                <w:lang w:val="en-GB"/>
              </w:rPr>
            </w:pPr>
            <w:r w:rsidRPr="00801E43">
              <w:rPr>
                <w:rFonts w:ascii="Franklin Gothic Demi" w:hAnsi="Franklin Gothic Demi"/>
                <w:lang w:val="en-GB"/>
              </w:rPr>
              <w:t>Total</w:t>
            </w:r>
          </w:p>
        </w:tc>
        <w:tc>
          <w:tcPr>
            <w:tcW w:w="1018"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rPr>
              <w:t xml:space="preserve"> 325.10</w:t>
            </w:r>
          </w:p>
        </w:tc>
        <w:tc>
          <w:tcPr>
            <w:tcW w:w="1018"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p>
        </w:tc>
        <w:tc>
          <w:tcPr>
            <w:tcW w:w="1018"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p>
        </w:tc>
        <w:tc>
          <w:tcPr>
            <w:tcW w:w="1018"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rPr>
              <w:t>13 232</w:t>
            </w:r>
          </w:p>
        </w:tc>
        <w:tc>
          <w:tcPr>
            <w:tcW w:w="1018"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rPr>
              <w:t>3 573</w:t>
            </w:r>
          </w:p>
        </w:tc>
        <w:tc>
          <w:tcPr>
            <w:tcW w:w="1018"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rPr>
              <w:t>4 896</w:t>
            </w:r>
          </w:p>
        </w:tc>
        <w:tc>
          <w:tcPr>
            <w:tcW w:w="1018"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rPr>
              <w:t>6 087</w:t>
            </w:r>
          </w:p>
        </w:tc>
      </w:tr>
    </w:tbl>
    <w:p w:rsidR="007C6A5F" w:rsidRPr="00E4232C" w:rsidRDefault="007C6A5F" w:rsidP="007C6A5F">
      <w:pPr>
        <w:pStyle w:val="Note"/>
      </w:pPr>
      <w:r w:rsidRPr="00A96B1A">
        <w:rPr>
          <w:rStyle w:val="NoteLabel"/>
          <w:color w:val="000000" w:themeColor="text1"/>
        </w:rPr>
        <w:lastRenderedPageBreak/>
        <w:t>a</w:t>
      </w:r>
      <w:r>
        <w:t xml:space="preserve"> Based on 2018 SDAC data. Population at risk of falls due to inaccessible housing defined as  people that:: have a mobility limitation; either require assistance or have trouble moving around their place of residence; live in a household; and live in a dwelling that has not been modified to meet their needs.. </w:t>
      </w:r>
      <w:r w:rsidRPr="00A96B1A">
        <w:rPr>
          <w:rStyle w:val="NoteLabel"/>
          <w:color w:val="000000" w:themeColor="text1"/>
        </w:rPr>
        <w:t>b</w:t>
      </w:r>
      <w:r>
        <w:t xml:space="preserve"> Based on non</w:t>
      </w:r>
      <w:r>
        <w:noBreakHyphen/>
        <w:t>hospital treatment rates from the community (i.e. excluding residential aged care) in NSW in 2006</w:t>
      </w:r>
      <w:r>
        <w:noBreakHyphen/>
        <w:t xml:space="preserve">07 reported in UNSW, 2010, p. 28. </w:t>
      </w:r>
      <w:r w:rsidRPr="00A96B1A">
        <w:rPr>
          <w:rStyle w:val="NoteLabel"/>
          <w:color w:val="000000" w:themeColor="text1"/>
        </w:rPr>
        <w:t>c</w:t>
      </w:r>
      <w:r>
        <w:t xml:space="preserve"> Adjusted based on 56.3 per cent of falls resulting in emergency department attendance occurring at home as reported in Stathakis, V. Gray, S. and Berecki</w:t>
      </w:r>
      <w:r>
        <w:noBreakHyphen/>
        <w:t xml:space="preserve">Gisolf, J. 2015, p. 2. </w:t>
      </w:r>
      <w:r w:rsidRPr="00A96B1A">
        <w:rPr>
          <w:rStyle w:val="NoteLabel"/>
          <w:color w:val="000000" w:themeColor="text1"/>
        </w:rPr>
        <w:t xml:space="preserve">d </w:t>
      </w:r>
      <w:r>
        <w:t xml:space="preserve">Based on accessible housing reducing falls by 27 per cent. </w:t>
      </w:r>
      <w:r w:rsidRPr="00A96B1A">
        <w:rPr>
          <w:rStyle w:val="NoteLabel"/>
          <w:color w:val="000000" w:themeColor="text1"/>
        </w:rPr>
        <w:t xml:space="preserve">e </w:t>
      </w:r>
      <w:r>
        <w:t xml:space="preserve">Based on accessible housing reducing falls by 37 per cent. </w:t>
      </w:r>
      <w:r w:rsidRPr="00A96B1A">
        <w:rPr>
          <w:rStyle w:val="NoteLabel"/>
          <w:color w:val="000000" w:themeColor="text1"/>
        </w:rPr>
        <w:t xml:space="preserve">f </w:t>
      </w:r>
      <w:r>
        <w:t xml:space="preserve">Based on accessible housing reducing falls by 46 per cent. </w:t>
      </w:r>
    </w:p>
    <w:p w:rsidR="007C6A5F" w:rsidRDefault="007C6A5F" w:rsidP="007C6A5F">
      <w:pPr>
        <w:pStyle w:val="Source"/>
      </w:pPr>
      <w:r>
        <w:rPr>
          <w:i/>
        </w:rPr>
        <w:t>Source</w:t>
      </w:r>
      <w:r w:rsidRPr="00E4232C">
        <w:rPr>
          <w:i/>
        </w:rPr>
        <w:t>:</w:t>
      </w:r>
      <w:r>
        <w:t xml:space="preserve"> ABS Survey of Disability, Ageing and Carers 2018; University of NSW, </w:t>
      </w:r>
      <w:r w:rsidRPr="00FB0C5C">
        <w:rPr>
          <w:i/>
          <w:iCs/>
        </w:rPr>
        <w:t>The Incidence and Cost of Falls Injury Among Older People in New South Wales 2006/07</w:t>
      </w:r>
      <w:r>
        <w:t>, A Report to NSW Health, September 2010; Stathakis, V. Gray, S. and Berecki</w:t>
      </w:r>
      <w:r>
        <w:noBreakHyphen/>
        <w:t>Gisolf, J. 2015, “Fall</w:t>
      </w:r>
      <w:r>
        <w:noBreakHyphen/>
        <w:t xml:space="preserve">related injury profile for Victorians aged 65 years and older”, </w:t>
      </w:r>
      <w:r w:rsidRPr="00845C4B">
        <w:rPr>
          <w:i/>
          <w:iCs/>
        </w:rPr>
        <w:t>Hazard</w:t>
      </w:r>
      <w:r>
        <w:t>, Edition No. 80, Summer 2015, Victorian Injury Surveillance Unit, Monash University Accident Research Centre; CIE.</w:t>
      </w:r>
    </w:p>
    <w:p w:rsidR="007C6A5F" w:rsidRDefault="007C6A5F" w:rsidP="007C6A5F">
      <w:pPr>
        <w:pStyle w:val="BodyText"/>
        <w:rPr>
          <w:lang w:bidi="fa-IR"/>
        </w:rPr>
      </w:pPr>
      <w:r>
        <w:rPr>
          <w:lang w:bidi="fa-IR"/>
        </w:rPr>
        <w:t xml:space="preserve">Based on the above estimates of the number of additional non-hospital treatments avoided due to people with accessibility needs living in accessible housing, we estimate an additional cost of between $1.6 million and $2.7 million per year, with a central case estimate of around $2.2 million per year. </w:t>
      </w:r>
    </w:p>
    <w:p w:rsidR="007C6A5F" w:rsidRDefault="007C6A5F" w:rsidP="005A6F87">
      <w:pPr>
        <w:pStyle w:val="ListBullet"/>
        <w:numPr>
          <w:ilvl w:val="0"/>
          <w:numId w:val="17"/>
        </w:numPr>
        <w:rPr>
          <w:lang w:bidi="fa-IR"/>
        </w:rPr>
      </w:pPr>
      <w:r>
        <w:rPr>
          <w:lang w:bidi="fa-IR"/>
        </w:rPr>
        <w:t>Health care costs are based on the average cost reported in UNSW (2010) inflated to 2019 dollar terms, using the national CPI.</w:t>
      </w:r>
      <w:r>
        <w:rPr>
          <w:rStyle w:val="FootnoteReference"/>
          <w:lang w:bidi="fa-IR"/>
        </w:rPr>
        <w:footnoteReference w:id="82"/>
      </w:r>
    </w:p>
    <w:p w:rsidR="007C6A5F" w:rsidRDefault="007C6A5F" w:rsidP="005A6F87">
      <w:pPr>
        <w:pStyle w:val="ListBullet"/>
        <w:numPr>
          <w:ilvl w:val="0"/>
          <w:numId w:val="17"/>
        </w:numPr>
        <w:rPr>
          <w:lang w:bidi="fa-IR"/>
        </w:rPr>
      </w:pPr>
      <w:r>
        <w:rPr>
          <w:lang w:bidi="fa-IR"/>
        </w:rPr>
        <w:t>Note that these cost estimates include health care costs only; morbidity costs (if any) are not included. Morbidity costs are likely to be modest, where hospital treatment is not required.</w:t>
      </w:r>
    </w:p>
    <w:p w:rsidR="007C6A5F" w:rsidRDefault="007C6A5F" w:rsidP="007C6A5F">
      <w:pPr>
        <w:pStyle w:val="Caption"/>
        <w:ind w:left="568" w:hanging="568"/>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Pr>
          <w:noProof/>
        </w:rPr>
        <w:instrText>A</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13</w:instrText>
      </w:r>
      <w:r w:rsidRPr="00695C93">
        <w:fldChar w:fldCharType="end"/>
      </w:r>
      <w:r w:rsidRPr="00695C93">
        <w:instrText xml:space="preserve">" "" </w:instrText>
      </w:r>
      <w:r w:rsidRPr="00695C93">
        <w:fldChar w:fldCharType="separate"/>
      </w:r>
      <w:bookmarkStart w:id="6519" w:name="_Caption1583"/>
      <w:bookmarkStart w:id="6520" w:name="_Caption2372"/>
      <w:bookmarkStart w:id="6521" w:name="_Caption5531"/>
      <w:bookmarkStart w:id="6522" w:name="_Caption0873"/>
      <w:bookmarkStart w:id="6523" w:name="_Toc44598573"/>
      <w:bookmarkStart w:id="6524" w:name="_Toc45654204"/>
      <w:r w:rsidR="00272AF3">
        <w:rPr>
          <w:noProof/>
        </w:rPr>
        <w:t>A</w:t>
      </w:r>
      <w:r w:rsidR="00272AF3" w:rsidRPr="00695C93">
        <w:rPr>
          <w:noProof/>
        </w:rPr>
        <w:t>.</w:t>
      </w:r>
      <w:r w:rsidR="00272AF3">
        <w:rPr>
          <w:noProof/>
        </w:rPr>
        <w:t>13</w:t>
      </w:r>
      <w:bookmarkEnd w:id="6519"/>
      <w:bookmarkEnd w:id="6520"/>
      <w:bookmarkEnd w:id="6521"/>
      <w:bookmarkEnd w:id="6522"/>
      <w:r w:rsidRPr="00695C93">
        <w:fldChar w:fldCharType="end"/>
      </w:r>
      <w:r w:rsidRPr="00695C93">
        <w:tab/>
      </w:r>
      <w:r>
        <w:t>Estimated cost of additional non</w:t>
      </w:r>
      <w:r>
        <w:noBreakHyphen/>
        <w:t>hospital treatments due to inaccessible housing</w:t>
      </w:r>
      <w:bookmarkEnd w:id="6523"/>
      <w:bookmarkEnd w:id="6524"/>
    </w:p>
    <w:tbl>
      <w:tblPr>
        <w:tblStyle w:val="TableGridLight"/>
        <w:tblW w:w="7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A.13"/>
        <w:tblDescription w:val="Estimated cost of additional non hospital treatments due to inaccessible housing"/>
      </w:tblPr>
      <w:tblGrid>
        <w:gridCol w:w="2119"/>
        <w:gridCol w:w="1509"/>
        <w:gridCol w:w="1437"/>
        <w:gridCol w:w="1437"/>
        <w:gridCol w:w="1437"/>
      </w:tblGrid>
      <w:tr w:rsidR="007C6A5F" w:rsidTr="005E2144">
        <w:trPr>
          <w:trHeight w:val="461"/>
          <w:tblHeader/>
        </w:trPr>
        <w:tc>
          <w:tcPr>
            <w:tcW w:w="2119" w:type="dxa"/>
            <w:shd w:val="clear" w:color="auto" w:fill="6F6652" w:themeFill="accent5"/>
          </w:tcPr>
          <w:p w:rsidR="007C6A5F" w:rsidRDefault="005069DD" w:rsidP="00C36DA4">
            <w:pPr>
              <w:pStyle w:val="TableDataColumnHeading"/>
              <w:jc w:val="left"/>
              <w:rPr>
                <w:lang w:val="en-GB"/>
              </w:rPr>
            </w:pPr>
            <w:r>
              <w:rPr>
                <w:lang w:val="en-GB"/>
              </w:rPr>
              <w:t>Age group</w:t>
            </w:r>
          </w:p>
        </w:tc>
        <w:tc>
          <w:tcPr>
            <w:tcW w:w="1509" w:type="dxa"/>
            <w:shd w:val="clear" w:color="auto" w:fill="6F6652" w:themeFill="accent5"/>
          </w:tcPr>
          <w:p w:rsidR="007C6A5F" w:rsidRDefault="005069DD" w:rsidP="00C36DA4">
            <w:pPr>
              <w:pStyle w:val="TableDataColumnHeading"/>
              <w:rPr>
                <w:lang w:val="en-GB"/>
              </w:rPr>
            </w:pPr>
            <w:r>
              <w:rPr>
                <w:lang w:val="en-GB"/>
              </w:rPr>
              <w:t>Average cost per non</w:t>
            </w:r>
            <w:r>
              <w:rPr>
                <w:lang w:val="en-GB"/>
              </w:rPr>
              <w:noBreakHyphen/>
              <w:t>hospital treatment</w:t>
            </w:r>
            <w:r w:rsidRPr="00A96B1A">
              <w:rPr>
                <w:rStyle w:val="NoteLabel"/>
                <w:color w:val="FFFFFF" w:themeColor="background1"/>
              </w:rPr>
              <w:t>a</w:t>
            </w:r>
            <w:r>
              <w:rPr>
                <w:rStyle w:val="NoteLabel"/>
                <w:color w:val="FFFFFF" w:themeColor="background1"/>
              </w:rPr>
              <w:t xml:space="preserve"> </w:t>
            </w:r>
            <w:r>
              <w:rPr>
                <w:rStyle w:val="NoteLabel"/>
                <w:color w:val="FFFFFF" w:themeColor="background1"/>
              </w:rPr>
              <w:br/>
            </w:r>
            <w:r>
              <w:rPr>
                <w:lang w:val="en-GB"/>
              </w:rPr>
              <w:t>($)</w:t>
            </w:r>
          </w:p>
        </w:tc>
        <w:tc>
          <w:tcPr>
            <w:tcW w:w="1437" w:type="dxa"/>
            <w:shd w:val="clear" w:color="auto" w:fill="6F6652" w:themeFill="accent5"/>
          </w:tcPr>
          <w:p w:rsidR="007C6A5F" w:rsidRDefault="005069DD" w:rsidP="00C36DA4">
            <w:pPr>
              <w:pStyle w:val="TableDataColumnHeading"/>
              <w:rPr>
                <w:lang w:val="en-GB"/>
              </w:rPr>
            </w:pPr>
            <w:r>
              <w:rPr>
                <w:lang w:val="en-GB"/>
              </w:rPr>
              <w:t>Cost of additional non</w:t>
            </w:r>
            <w:r>
              <w:rPr>
                <w:lang w:val="en-GB"/>
              </w:rPr>
              <w:noBreakHyphen/>
              <w:t xml:space="preserve">hospital treatments due to inaccessible housing: </w:t>
            </w:r>
            <w:r w:rsidR="007C6A5F">
              <w:rPr>
                <w:lang w:val="en-GB"/>
              </w:rPr>
              <w:t>Low estimate</w:t>
            </w:r>
            <w:r>
              <w:rPr>
                <w:lang w:val="en-GB"/>
              </w:rPr>
              <w:t xml:space="preserve"> </w:t>
            </w:r>
            <w:r>
              <w:rPr>
                <w:lang w:val="en-GB"/>
              </w:rPr>
              <w:br/>
              <w:t>($ million)</w:t>
            </w:r>
          </w:p>
        </w:tc>
        <w:tc>
          <w:tcPr>
            <w:tcW w:w="1437" w:type="dxa"/>
            <w:shd w:val="clear" w:color="auto" w:fill="6F6652" w:themeFill="accent5"/>
          </w:tcPr>
          <w:p w:rsidR="007C6A5F" w:rsidRDefault="005069DD" w:rsidP="00C36DA4">
            <w:pPr>
              <w:pStyle w:val="TableDataColumnHeading"/>
              <w:rPr>
                <w:lang w:val="en-GB"/>
              </w:rPr>
            </w:pPr>
            <w:r>
              <w:rPr>
                <w:lang w:val="en-GB"/>
              </w:rPr>
              <w:t>Cost of additional non</w:t>
            </w:r>
            <w:r>
              <w:rPr>
                <w:lang w:val="en-GB"/>
              </w:rPr>
              <w:noBreakHyphen/>
              <w:t xml:space="preserve">hospital treatments due to inaccessible housing: </w:t>
            </w:r>
            <w:r w:rsidR="007C6A5F">
              <w:rPr>
                <w:lang w:val="en-GB"/>
              </w:rPr>
              <w:t>Central case</w:t>
            </w:r>
            <w:r>
              <w:rPr>
                <w:lang w:val="en-GB"/>
              </w:rPr>
              <w:br/>
              <w:t>($ million)</w:t>
            </w:r>
          </w:p>
        </w:tc>
        <w:tc>
          <w:tcPr>
            <w:tcW w:w="1437" w:type="dxa"/>
            <w:shd w:val="clear" w:color="auto" w:fill="6F6652" w:themeFill="accent5"/>
          </w:tcPr>
          <w:p w:rsidR="007C6A5F" w:rsidRDefault="005069DD" w:rsidP="00C36DA4">
            <w:pPr>
              <w:pStyle w:val="TableDataColumnHeading"/>
              <w:rPr>
                <w:lang w:val="en-GB"/>
              </w:rPr>
            </w:pPr>
            <w:r>
              <w:rPr>
                <w:lang w:val="en-GB"/>
              </w:rPr>
              <w:t>Cost of additional non</w:t>
            </w:r>
            <w:r>
              <w:rPr>
                <w:lang w:val="en-GB"/>
              </w:rPr>
              <w:noBreakHyphen/>
              <w:t xml:space="preserve">hospital treatments due to inaccessible housing: </w:t>
            </w:r>
            <w:r w:rsidR="007C6A5F">
              <w:rPr>
                <w:lang w:val="en-GB"/>
              </w:rPr>
              <w:t>High estimate</w:t>
            </w:r>
            <w:r>
              <w:rPr>
                <w:lang w:val="en-GB"/>
              </w:rPr>
              <w:br/>
              <w:t>($ million)</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0 to 4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0.03</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0.04</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0.04</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5 to 9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0.03</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0.04</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10 to 14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0.03</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0.03</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15 to 19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0.03</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0.04</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0.05</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20 to 24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0.03</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25 to 29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0.03</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0.04</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0.05</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30 to 34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0.04</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0.05</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0.07</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35 to 39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0.04</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0.05</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0.07</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40 to 44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0.06</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0.08</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0.09</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45 to 49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0.08</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0.11</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0.13</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50 to 54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0.08</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0.11</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0.14</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55 to 59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0.16</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0.20</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60 to 64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0.11</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0.14</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0.18</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65 to 69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399</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0.16</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0.20</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70 to 74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469</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0.10</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0.13</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0.17</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lastRenderedPageBreak/>
              <w:t>75 to 79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524</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0.16</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0.22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0.27</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80 to 84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499</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0.11</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0.15</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0.19</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85 to 89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576</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0.21</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0.29</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0.36</w:t>
            </w:r>
          </w:p>
        </w:tc>
      </w:tr>
      <w:tr w:rsidR="007C6A5F" w:rsidTr="00090C00">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90 to 94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450</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0.08</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0.12</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0.14</w:t>
            </w:r>
          </w:p>
        </w:tc>
      </w:tr>
      <w:tr w:rsidR="007C6A5F" w:rsidTr="00B5160B">
        <w:trPr>
          <w:trHeight w:val="230"/>
        </w:trPr>
        <w:tc>
          <w:tcPr>
            <w:tcW w:w="2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95+ years</w:t>
            </w:r>
          </w:p>
        </w:tc>
        <w:tc>
          <w:tcPr>
            <w:tcW w:w="15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377</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0.13</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0.17</w:t>
            </w:r>
          </w:p>
        </w:tc>
        <w:tc>
          <w:tcPr>
            <w:tcW w:w="143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0.21</w:t>
            </w:r>
          </w:p>
        </w:tc>
      </w:tr>
      <w:tr w:rsidR="007C6A5F" w:rsidRPr="00801E43" w:rsidTr="00B5160B">
        <w:trPr>
          <w:trHeight w:val="230"/>
        </w:trPr>
        <w:tc>
          <w:tcPr>
            <w:tcW w:w="2119"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jc w:val="left"/>
              <w:rPr>
                <w:rFonts w:ascii="Franklin Gothic Demi" w:hAnsi="Franklin Gothic Demi"/>
                <w:lang w:val="en-GB"/>
              </w:rPr>
            </w:pPr>
            <w:r w:rsidRPr="00801E43">
              <w:rPr>
                <w:rFonts w:ascii="Franklin Gothic Demi" w:hAnsi="Franklin Gothic Demi"/>
                <w:lang w:val="en-GB"/>
              </w:rPr>
              <w:t>Total</w:t>
            </w:r>
          </w:p>
        </w:tc>
        <w:tc>
          <w:tcPr>
            <w:tcW w:w="1509"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p>
        </w:tc>
        <w:tc>
          <w:tcPr>
            <w:tcW w:w="1437"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rPr>
              <w:t xml:space="preserve"> 1.57</w:t>
            </w:r>
          </w:p>
        </w:tc>
        <w:tc>
          <w:tcPr>
            <w:tcW w:w="1437"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rPr>
              <w:t xml:space="preserve"> 2.15</w:t>
            </w:r>
          </w:p>
        </w:tc>
        <w:tc>
          <w:tcPr>
            <w:tcW w:w="1437"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rPr>
              <w:t xml:space="preserve"> 2.67</w:t>
            </w:r>
          </w:p>
        </w:tc>
      </w:tr>
    </w:tbl>
    <w:p w:rsidR="007C6A5F" w:rsidRPr="00E4232C" w:rsidRDefault="007C6A5F" w:rsidP="007C6A5F">
      <w:pPr>
        <w:pStyle w:val="Note"/>
      </w:pPr>
      <w:r w:rsidRPr="00A96B1A">
        <w:rPr>
          <w:rStyle w:val="NoteLabel"/>
          <w:color w:val="000000" w:themeColor="text1"/>
        </w:rPr>
        <w:t>a</w:t>
      </w:r>
      <w:r>
        <w:t xml:space="preserve"> Based on average costs reported in UNSW (2010, p. 33) inflate to 2019 dollars using the national CPI.</w:t>
      </w:r>
    </w:p>
    <w:p w:rsidR="007C6A5F" w:rsidRDefault="007C6A5F" w:rsidP="007C6A5F">
      <w:pPr>
        <w:pStyle w:val="Source"/>
      </w:pPr>
      <w:r w:rsidRPr="00FE7AAF">
        <w:rPr>
          <w:i/>
          <w:lang w:bidi="fa-IR"/>
        </w:rPr>
        <w:t>Source:</w:t>
      </w:r>
      <w:r>
        <w:rPr>
          <w:lang w:bidi="fa-IR"/>
        </w:rPr>
        <w:t xml:space="preserve"> </w:t>
      </w:r>
      <w:r>
        <w:t xml:space="preserve">University of NSW, </w:t>
      </w:r>
      <w:r w:rsidRPr="00FB0C5C">
        <w:rPr>
          <w:i/>
          <w:iCs/>
        </w:rPr>
        <w:t>The Incidence and Cost of Falls Injury Among Older People in New South Wales 2006/07</w:t>
      </w:r>
      <w:r>
        <w:t>, A Report to NSW Health, September 2010; CIE.</w:t>
      </w:r>
    </w:p>
    <w:p w:rsidR="007C6A5F" w:rsidRDefault="007C6A5F" w:rsidP="007C6A5F">
      <w:pPr>
        <w:pStyle w:val="Heading6"/>
        <w:numPr>
          <w:ilvl w:val="5"/>
          <w:numId w:val="5"/>
        </w:numPr>
      </w:pPr>
      <w:bookmarkStart w:id="6525" w:name="_Toc32321775"/>
      <w:bookmarkStart w:id="6526" w:name="_Toc44598464"/>
      <w:bookmarkStart w:id="6527" w:name="_Toc45654095"/>
      <w:r>
        <w:lastRenderedPageBreak/>
        <w:t xml:space="preserve">Approach to estimating the cost of additional </w:t>
      </w:r>
      <w:bookmarkEnd w:id="6525"/>
      <w:r>
        <w:t>care</w:t>
      </w:r>
      <w:bookmarkEnd w:id="6526"/>
      <w:bookmarkEnd w:id="6527"/>
    </w:p>
    <w:p w:rsidR="007C6A5F" w:rsidRDefault="007C6A5F" w:rsidP="007C6A5F">
      <w:pPr>
        <w:pStyle w:val="Heading7"/>
        <w:numPr>
          <w:ilvl w:val="6"/>
          <w:numId w:val="5"/>
        </w:numPr>
        <w:rPr>
          <w:lang w:bidi="fa-IR"/>
        </w:rPr>
      </w:pPr>
      <w:r>
        <w:rPr>
          <w:lang w:bidi="fa-IR"/>
        </w:rPr>
        <w:t>The impact of accessible housing on care received</w:t>
      </w:r>
    </w:p>
    <w:p w:rsidR="007C6A5F" w:rsidRDefault="007C6A5F" w:rsidP="007C6A5F">
      <w:pPr>
        <w:pStyle w:val="BodyText"/>
        <w:rPr>
          <w:lang w:bidi="fa-IR"/>
        </w:rPr>
      </w:pPr>
      <w:r>
        <w:rPr>
          <w:lang w:eastAsia="en-US" w:bidi="fa-IR"/>
        </w:rPr>
        <w:t xml:space="preserve">There is (albeit limited) evidence that housing with accessibility features reduces care needs. </w:t>
      </w:r>
      <w:r>
        <w:rPr>
          <w:lang w:bidi="fa-IR"/>
        </w:rPr>
        <w:t>The main quantitative evidence on the impact of an accessible home environment is an Australian study comparing the self</w:t>
      </w:r>
      <w:r>
        <w:rPr>
          <w:lang w:bidi="fa-IR"/>
        </w:rPr>
        <w:noBreakHyphen/>
        <w:t>reported amount of formal and informal care received by 157 older people and people with disability (average age of 72) living in the community before and after home modifications (Carnemolla and Bridge 2019).</w:t>
      </w:r>
      <w:r>
        <w:rPr>
          <w:rStyle w:val="FootnoteReference"/>
          <w:lang w:bidi="fa-IR"/>
        </w:rPr>
        <w:footnoteReference w:id="83"/>
      </w:r>
      <w:r>
        <w:rPr>
          <w:lang w:bidi="fa-IR"/>
        </w:rPr>
        <w:t xml:space="preserve"> The home modifications were funded through Home and Community Care (HACC). The type of modifications received are shown in table B.1.</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B</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B</w:instrText>
      </w:r>
      <w:r>
        <w:rPr>
          <w:noProof/>
        </w:rPr>
        <w:fldChar w:fldCharType="end"/>
      </w:r>
      <w:r w:rsidRPr="00695C93">
        <w:instrText xml:space="preserve">." </w:instrText>
      </w:r>
      <w:r w:rsidRPr="00695C93">
        <w:fldChar w:fldCharType="separate"/>
      </w:r>
      <w:r>
        <w:rPr>
          <w:noProof/>
        </w:rPr>
        <w:instrText>B</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B</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w:instrText>
      </w:r>
      <w:r w:rsidRPr="00695C93">
        <w:fldChar w:fldCharType="end"/>
      </w:r>
      <w:r w:rsidRPr="00695C93">
        <w:instrText xml:space="preserve">" "" </w:instrText>
      </w:r>
      <w:r w:rsidRPr="00695C93">
        <w:fldChar w:fldCharType="separate"/>
      </w:r>
      <w:bookmarkStart w:id="6528" w:name="_Caption1078"/>
      <w:bookmarkStart w:id="6529" w:name="_Caption7874"/>
      <w:bookmarkStart w:id="6530" w:name="_Caption8016"/>
      <w:bookmarkStart w:id="6531" w:name="_Caption9282"/>
      <w:bookmarkStart w:id="6532" w:name="_Toc44598574"/>
      <w:bookmarkStart w:id="6533" w:name="_Toc45654205"/>
      <w:r w:rsidR="00272AF3">
        <w:rPr>
          <w:noProof/>
        </w:rPr>
        <w:t>B</w:t>
      </w:r>
      <w:r w:rsidR="00272AF3" w:rsidRPr="00695C93">
        <w:rPr>
          <w:noProof/>
        </w:rPr>
        <w:t>.</w:t>
      </w:r>
      <w:r w:rsidR="00272AF3">
        <w:rPr>
          <w:noProof/>
        </w:rPr>
        <w:t>1</w:t>
      </w:r>
      <w:bookmarkEnd w:id="6528"/>
      <w:bookmarkEnd w:id="6529"/>
      <w:bookmarkEnd w:id="6530"/>
      <w:bookmarkEnd w:id="6531"/>
      <w:r w:rsidRPr="00695C93">
        <w:fldChar w:fldCharType="end"/>
      </w:r>
      <w:r w:rsidRPr="00695C93">
        <w:tab/>
      </w:r>
      <w:r>
        <w:t>Type of modifications</w:t>
      </w:r>
      <w:bookmarkEnd w:id="6532"/>
      <w:bookmarkEnd w:id="6533"/>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B.1"/>
        <w:tblDescription w:val="Type of modifications"/>
      </w:tblPr>
      <w:tblGrid>
        <w:gridCol w:w="1690"/>
        <w:gridCol w:w="2279"/>
        <w:gridCol w:w="1708"/>
        <w:gridCol w:w="2260"/>
      </w:tblGrid>
      <w:tr w:rsidR="00D844AC" w:rsidRPr="00090C00" w:rsidTr="00D844AC">
        <w:trPr>
          <w:trHeight w:val="240"/>
          <w:tblHeader/>
        </w:trPr>
        <w:tc>
          <w:tcPr>
            <w:tcW w:w="1690" w:type="dxa"/>
            <w:shd w:val="clear" w:color="auto" w:fill="6F6652" w:themeFill="accent5"/>
          </w:tcPr>
          <w:p w:rsidR="00D844AC" w:rsidRPr="00090C00" w:rsidRDefault="00D844AC" w:rsidP="00C36DA4">
            <w:pPr>
              <w:pStyle w:val="TableDataColumnHeading"/>
              <w:jc w:val="left"/>
              <w:rPr>
                <w:lang w:val="en-GB"/>
              </w:rPr>
            </w:pPr>
            <w:r>
              <w:rPr>
                <w:lang w:val="en-GB"/>
              </w:rPr>
              <w:t>Location</w:t>
            </w:r>
          </w:p>
        </w:tc>
        <w:tc>
          <w:tcPr>
            <w:tcW w:w="2279" w:type="dxa"/>
            <w:shd w:val="clear" w:color="auto" w:fill="6F6652" w:themeFill="accent5"/>
          </w:tcPr>
          <w:p w:rsidR="00D844AC" w:rsidRPr="00090C00" w:rsidRDefault="00D844AC" w:rsidP="00C36DA4">
            <w:pPr>
              <w:pStyle w:val="TableDataColumnHeading"/>
              <w:jc w:val="left"/>
              <w:rPr>
                <w:lang w:val="en-GB"/>
              </w:rPr>
            </w:pPr>
            <w:r>
              <w:rPr>
                <w:lang w:val="en-GB"/>
              </w:rPr>
              <w:t>Modification</w:t>
            </w:r>
          </w:p>
        </w:tc>
        <w:tc>
          <w:tcPr>
            <w:tcW w:w="1708" w:type="dxa"/>
            <w:shd w:val="clear" w:color="auto" w:fill="6F6652" w:themeFill="accent5"/>
          </w:tcPr>
          <w:p w:rsidR="00D844AC" w:rsidRDefault="00D844AC" w:rsidP="00C36DA4">
            <w:pPr>
              <w:pStyle w:val="TableDataColumnHeading"/>
              <w:rPr>
                <w:lang w:val="en-GB"/>
              </w:rPr>
            </w:pPr>
            <w:r w:rsidRPr="00090C00">
              <w:rPr>
                <w:lang w:val="en-GB"/>
              </w:rPr>
              <w:t>Number of</w:t>
            </w:r>
            <w:r w:rsidR="005E5D54">
              <w:rPr>
                <w:lang w:val="en-GB"/>
              </w:rPr>
              <w:t xml:space="preserve"> </w:t>
            </w:r>
            <w:r w:rsidRPr="00090C00">
              <w:rPr>
                <w:lang w:val="en-GB"/>
              </w:rPr>
              <w:t>modifications</w:t>
            </w:r>
          </w:p>
          <w:p w:rsidR="00D844AC" w:rsidRPr="00090C00" w:rsidRDefault="00D844AC" w:rsidP="00C36DA4">
            <w:pPr>
              <w:pStyle w:val="TableDataColumnHeading"/>
              <w:rPr>
                <w:lang w:val="en-GB"/>
              </w:rPr>
            </w:pPr>
            <w:r>
              <w:rPr>
                <w:lang w:val="en-GB"/>
              </w:rPr>
              <w:t>(No.)</w:t>
            </w:r>
          </w:p>
        </w:tc>
        <w:tc>
          <w:tcPr>
            <w:tcW w:w="2260" w:type="dxa"/>
            <w:shd w:val="clear" w:color="auto" w:fill="6F6652" w:themeFill="accent5"/>
          </w:tcPr>
          <w:p w:rsidR="00D844AC" w:rsidRDefault="00D844AC" w:rsidP="00C36DA4">
            <w:pPr>
              <w:pStyle w:val="TableDataColumnHeading"/>
              <w:rPr>
                <w:lang w:val="en-GB"/>
              </w:rPr>
            </w:pPr>
            <w:r w:rsidRPr="00090C00">
              <w:rPr>
                <w:lang w:val="en-GB"/>
              </w:rPr>
              <w:t>Share of sample receiving modification</w:t>
            </w:r>
          </w:p>
          <w:p w:rsidR="00D844AC" w:rsidRPr="00090C00" w:rsidRDefault="00D844AC" w:rsidP="00C36DA4">
            <w:pPr>
              <w:pStyle w:val="TableDataColumnHeading"/>
              <w:rPr>
                <w:lang w:val="en-GB"/>
              </w:rPr>
            </w:pPr>
            <w:r>
              <w:rPr>
                <w:lang w:val="en-GB"/>
              </w:rPr>
              <w:t>(per cent)</w:t>
            </w:r>
          </w:p>
        </w:tc>
      </w:tr>
      <w:tr w:rsidR="00D844AC" w:rsidTr="00D844AC">
        <w:trPr>
          <w:trHeight w:val="230"/>
        </w:trPr>
        <w:tc>
          <w:tcPr>
            <w:tcW w:w="1690"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jc w:val="left"/>
              <w:rPr>
                <w:lang w:val="en-GB"/>
              </w:rPr>
            </w:pPr>
            <w:r>
              <w:rPr>
                <w:lang w:val="en-GB"/>
              </w:rPr>
              <w:t>Bathroom</w:t>
            </w:r>
          </w:p>
        </w:tc>
        <w:tc>
          <w:tcPr>
            <w:tcW w:w="2279"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jc w:val="left"/>
              <w:rPr>
                <w:lang w:val="en-GB"/>
              </w:rPr>
            </w:pPr>
            <w:r>
              <w:rPr>
                <w:lang w:val="en-GB"/>
              </w:rPr>
              <w:t>Major bathroom modification</w:t>
            </w:r>
          </w:p>
        </w:tc>
        <w:tc>
          <w:tcPr>
            <w:tcW w:w="1708"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rPr>
                <w:lang w:val="en-GB"/>
              </w:rPr>
            </w:pPr>
            <w:r>
              <w:rPr>
                <w:lang w:val="en-GB"/>
              </w:rPr>
              <w:t>55</w:t>
            </w:r>
          </w:p>
        </w:tc>
        <w:tc>
          <w:tcPr>
            <w:tcW w:w="2260"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rPr>
                <w:lang w:val="en-GB"/>
              </w:rPr>
            </w:pPr>
            <w:r>
              <w:rPr>
                <w:lang w:val="en-GB"/>
              </w:rPr>
              <w:t xml:space="preserve"> 35.0</w:t>
            </w:r>
          </w:p>
        </w:tc>
      </w:tr>
      <w:tr w:rsidR="00D844AC" w:rsidTr="00D844AC">
        <w:trPr>
          <w:trHeight w:val="230"/>
        </w:trPr>
        <w:tc>
          <w:tcPr>
            <w:tcW w:w="1690"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jc w:val="left"/>
              <w:rPr>
                <w:lang w:val="en-GB"/>
              </w:rPr>
            </w:pPr>
            <w:r w:rsidRPr="00AC5D1F">
              <w:rPr>
                <w:lang w:val="en-GB"/>
              </w:rPr>
              <w:t>Bathroom</w:t>
            </w:r>
          </w:p>
        </w:tc>
        <w:tc>
          <w:tcPr>
            <w:tcW w:w="2279"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jc w:val="left"/>
              <w:rPr>
                <w:lang w:val="en-GB"/>
              </w:rPr>
            </w:pPr>
            <w:r>
              <w:rPr>
                <w:lang w:val="en-GB"/>
              </w:rPr>
              <w:t>Grab rail in shower</w:t>
            </w:r>
          </w:p>
        </w:tc>
        <w:tc>
          <w:tcPr>
            <w:tcW w:w="1708"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rPr>
                <w:lang w:val="en-GB"/>
              </w:rPr>
            </w:pPr>
            <w:r>
              <w:rPr>
                <w:lang w:val="en-GB"/>
              </w:rPr>
              <w:t>36</w:t>
            </w:r>
          </w:p>
        </w:tc>
        <w:tc>
          <w:tcPr>
            <w:tcW w:w="2260"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rPr>
                <w:lang w:val="en-GB"/>
              </w:rPr>
            </w:pPr>
            <w:r>
              <w:rPr>
                <w:lang w:val="en-GB"/>
              </w:rPr>
              <w:t xml:space="preserve"> 22.9</w:t>
            </w:r>
          </w:p>
        </w:tc>
      </w:tr>
      <w:tr w:rsidR="00D844AC" w:rsidTr="00D844AC">
        <w:trPr>
          <w:trHeight w:val="230"/>
        </w:trPr>
        <w:tc>
          <w:tcPr>
            <w:tcW w:w="1690"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jc w:val="left"/>
              <w:rPr>
                <w:lang w:val="en-GB"/>
              </w:rPr>
            </w:pPr>
            <w:r w:rsidRPr="00AC5D1F">
              <w:rPr>
                <w:lang w:val="en-GB"/>
              </w:rPr>
              <w:t>Bathroom</w:t>
            </w:r>
          </w:p>
        </w:tc>
        <w:tc>
          <w:tcPr>
            <w:tcW w:w="2279"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jc w:val="left"/>
              <w:rPr>
                <w:lang w:val="en-GB"/>
              </w:rPr>
            </w:pPr>
            <w:r>
              <w:rPr>
                <w:lang w:val="en-GB"/>
              </w:rPr>
              <w:t>Grab rail in bath</w:t>
            </w:r>
          </w:p>
        </w:tc>
        <w:tc>
          <w:tcPr>
            <w:tcW w:w="1708"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rPr>
                <w:lang w:val="en-GB"/>
              </w:rPr>
            </w:pPr>
            <w:r>
              <w:rPr>
                <w:lang w:val="en-GB"/>
              </w:rPr>
              <w:t>7</w:t>
            </w:r>
          </w:p>
        </w:tc>
        <w:tc>
          <w:tcPr>
            <w:tcW w:w="2260"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rPr>
                <w:lang w:val="en-GB"/>
              </w:rPr>
            </w:pPr>
            <w:r>
              <w:rPr>
                <w:lang w:val="en-GB"/>
              </w:rPr>
              <w:t xml:space="preserve"> 4.5</w:t>
            </w:r>
          </w:p>
        </w:tc>
      </w:tr>
      <w:tr w:rsidR="00D844AC" w:rsidTr="00D844AC">
        <w:trPr>
          <w:trHeight w:val="230"/>
        </w:trPr>
        <w:tc>
          <w:tcPr>
            <w:tcW w:w="1690"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jc w:val="left"/>
              <w:rPr>
                <w:lang w:val="en-GB"/>
              </w:rPr>
            </w:pPr>
            <w:r w:rsidRPr="00AC5D1F">
              <w:rPr>
                <w:lang w:val="en-GB"/>
              </w:rPr>
              <w:t>Bathroom</w:t>
            </w:r>
          </w:p>
        </w:tc>
        <w:tc>
          <w:tcPr>
            <w:tcW w:w="2279"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jc w:val="left"/>
              <w:rPr>
                <w:lang w:val="en-GB"/>
              </w:rPr>
            </w:pPr>
            <w:r>
              <w:rPr>
                <w:lang w:val="en-GB"/>
              </w:rPr>
              <w:t>Hand held shower</w:t>
            </w:r>
          </w:p>
        </w:tc>
        <w:tc>
          <w:tcPr>
            <w:tcW w:w="1708"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rPr>
                <w:lang w:val="en-GB"/>
              </w:rPr>
            </w:pPr>
            <w:r>
              <w:rPr>
                <w:lang w:val="en-GB"/>
              </w:rPr>
              <w:t>16</w:t>
            </w:r>
          </w:p>
        </w:tc>
        <w:tc>
          <w:tcPr>
            <w:tcW w:w="2260"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rPr>
                <w:lang w:val="en-GB"/>
              </w:rPr>
            </w:pPr>
            <w:r>
              <w:rPr>
                <w:lang w:val="en-GB"/>
              </w:rPr>
              <w:t xml:space="preserve"> 10.2</w:t>
            </w:r>
          </w:p>
        </w:tc>
      </w:tr>
      <w:tr w:rsidR="00D844AC" w:rsidTr="00D844AC">
        <w:trPr>
          <w:trHeight w:val="230"/>
        </w:trPr>
        <w:tc>
          <w:tcPr>
            <w:tcW w:w="1690"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jc w:val="left"/>
              <w:rPr>
                <w:lang w:val="en-GB"/>
              </w:rPr>
            </w:pPr>
            <w:r w:rsidRPr="00AC5D1F">
              <w:rPr>
                <w:lang w:val="en-GB"/>
              </w:rPr>
              <w:t>Bathroom</w:t>
            </w:r>
          </w:p>
        </w:tc>
        <w:tc>
          <w:tcPr>
            <w:tcW w:w="2279"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jc w:val="left"/>
              <w:rPr>
                <w:lang w:val="en-GB"/>
              </w:rPr>
            </w:pPr>
            <w:r>
              <w:rPr>
                <w:lang w:val="en-GB"/>
              </w:rPr>
              <w:t>Shower screen removed</w:t>
            </w:r>
          </w:p>
        </w:tc>
        <w:tc>
          <w:tcPr>
            <w:tcW w:w="1708"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rPr>
                <w:lang w:val="en-GB"/>
              </w:rPr>
            </w:pPr>
            <w:r>
              <w:rPr>
                <w:lang w:val="en-GB"/>
              </w:rPr>
              <w:t>3</w:t>
            </w:r>
          </w:p>
        </w:tc>
        <w:tc>
          <w:tcPr>
            <w:tcW w:w="2260"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rPr>
                <w:lang w:val="en-GB"/>
              </w:rPr>
            </w:pPr>
            <w:r>
              <w:rPr>
                <w:lang w:val="en-GB"/>
              </w:rPr>
              <w:t xml:space="preserve"> 1.9</w:t>
            </w:r>
          </w:p>
        </w:tc>
      </w:tr>
      <w:tr w:rsidR="00D844AC" w:rsidTr="00D844AC">
        <w:trPr>
          <w:trHeight w:val="230"/>
        </w:trPr>
        <w:tc>
          <w:tcPr>
            <w:tcW w:w="1690"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jc w:val="left"/>
              <w:rPr>
                <w:lang w:val="en-GB"/>
              </w:rPr>
            </w:pPr>
            <w:r w:rsidRPr="00AC5D1F">
              <w:rPr>
                <w:lang w:val="en-GB"/>
              </w:rPr>
              <w:t>Bathroom</w:t>
            </w:r>
          </w:p>
        </w:tc>
        <w:tc>
          <w:tcPr>
            <w:tcW w:w="2279"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jc w:val="left"/>
              <w:rPr>
                <w:lang w:val="en-GB"/>
              </w:rPr>
            </w:pPr>
            <w:r>
              <w:rPr>
                <w:lang w:val="en-GB"/>
              </w:rPr>
              <w:t>Grab rail in toilet</w:t>
            </w:r>
          </w:p>
        </w:tc>
        <w:tc>
          <w:tcPr>
            <w:tcW w:w="1708"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rPr>
                <w:lang w:val="en-GB"/>
              </w:rPr>
            </w:pPr>
            <w:r>
              <w:rPr>
                <w:lang w:val="en-GB"/>
              </w:rPr>
              <w:t>17</w:t>
            </w:r>
          </w:p>
        </w:tc>
        <w:tc>
          <w:tcPr>
            <w:tcW w:w="2260"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rPr>
                <w:lang w:val="en-GB"/>
              </w:rPr>
            </w:pPr>
            <w:r>
              <w:rPr>
                <w:lang w:val="en-GB"/>
              </w:rPr>
              <w:t xml:space="preserve"> 10.8</w:t>
            </w:r>
          </w:p>
        </w:tc>
      </w:tr>
      <w:tr w:rsidR="00D844AC" w:rsidTr="00D844AC">
        <w:trPr>
          <w:trHeight w:val="230"/>
        </w:trPr>
        <w:tc>
          <w:tcPr>
            <w:tcW w:w="1690"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jc w:val="left"/>
              <w:rPr>
                <w:lang w:val="en-GB"/>
              </w:rPr>
            </w:pPr>
            <w:r>
              <w:rPr>
                <w:lang w:val="en-GB"/>
              </w:rPr>
              <w:t>Access</w:t>
            </w:r>
          </w:p>
        </w:tc>
        <w:tc>
          <w:tcPr>
            <w:tcW w:w="2279"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jc w:val="left"/>
              <w:rPr>
                <w:lang w:val="en-GB"/>
              </w:rPr>
            </w:pPr>
            <w:r>
              <w:rPr>
                <w:lang w:val="en-GB"/>
              </w:rPr>
              <w:t>Ramp</w:t>
            </w:r>
          </w:p>
        </w:tc>
        <w:tc>
          <w:tcPr>
            <w:tcW w:w="1708"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rPr>
                <w:lang w:val="en-GB"/>
              </w:rPr>
            </w:pPr>
            <w:r>
              <w:rPr>
                <w:lang w:val="en-GB"/>
              </w:rPr>
              <w:t>27</w:t>
            </w:r>
          </w:p>
        </w:tc>
        <w:tc>
          <w:tcPr>
            <w:tcW w:w="2260"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rPr>
                <w:lang w:val="en-GB"/>
              </w:rPr>
            </w:pPr>
            <w:r>
              <w:rPr>
                <w:lang w:val="en-GB"/>
              </w:rPr>
              <w:t xml:space="preserve"> 17.2</w:t>
            </w:r>
          </w:p>
        </w:tc>
      </w:tr>
      <w:tr w:rsidR="00D844AC" w:rsidTr="00D844AC">
        <w:trPr>
          <w:trHeight w:val="230"/>
        </w:trPr>
        <w:tc>
          <w:tcPr>
            <w:tcW w:w="1690"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jc w:val="left"/>
              <w:rPr>
                <w:lang w:val="en-GB"/>
              </w:rPr>
            </w:pPr>
            <w:r w:rsidRPr="000167A2">
              <w:rPr>
                <w:lang w:val="en-GB"/>
              </w:rPr>
              <w:t>Access</w:t>
            </w:r>
          </w:p>
        </w:tc>
        <w:tc>
          <w:tcPr>
            <w:tcW w:w="2279"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jc w:val="left"/>
              <w:rPr>
                <w:lang w:val="en-GB"/>
              </w:rPr>
            </w:pPr>
            <w:r>
              <w:rPr>
                <w:lang w:val="en-GB"/>
              </w:rPr>
              <w:t>Step modification</w:t>
            </w:r>
          </w:p>
        </w:tc>
        <w:tc>
          <w:tcPr>
            <w:tcW w:w="1708"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rPr>
                <w:lang w:val="en-GB"/>
              </w:rPr>
            </w:pPr>
            <w:r>
              <w:rPr>
                <w:lang w:val="en-GB"/>
              </w:rPr>
              <w:t>7</w:t>
            </w:r>
          </w:p>
        </w:tc>
        <w:tc>
          <w:tcPr>
            <w:tcW w:w="2260"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rPr>
                <w:lang w:val="en-GB"/>
              </w:rPr>
            </w:pPr>
            <w:r>
              <w:rPr>
                <w:lang w:val="en-GB"/>
              </w:rPr>
              <w:t xml:space="preserve"> 4.5</w:t>
            </w:r>
          </w:p>
        </w:tc>
      </w:tr>
      <w:tr w:rsidR="00D844AC" w:rsidTr="00D844AC">
        <w:trPr>
          <w:trHeight w:val="230"/>
        </w:trPr>
        <w:tc>
          <w:tcPr>
            <w:tcW w:w="1690"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jc w:val="left"/>
              <w:rPr>
                <w:lang w:val="en-GB"/>
              </w:rPr>
            </w:pPr>
            <w:r w:rsidRPr="000167A2">
              <w:rPr>
                <w:lang w:val="en-GB"/>
              </w:rPr>
              <w:t>Access</w:t>
            </w:r>
          </w:p>
        </w:tc>
        <w:tc>
          <w:tcPr>
            <w:tcW w:w="2279"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jc w:val="left"/>
              <w:rPr>
                <w:lang w:val="en-GB"/>
              </w:rPr>
            </w:pPr>
            <w:r>
              <w:rPr>
                <w:lang w:val="en-GB"/>
              </w:rPr>
              <w:t>Lift</w:t>
            </w:r>
          </w:p>
        </w:tc>
        <w:tc>
          <w:tcPr>
            <w:tcW w:w="1708"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rPr>
                <w:lang w:val="en-GB"/>
              </w:rPr>
            </w:pPr>
            <w:r>
              <w:rPr>
                <w:lang w:val="en-GB"/>
              </w:rPr>
              <w:t>5</w:t>
            </w:r>
          </w:p>
        </w:tc>
        <w:tc>
          <w:tcPr>
            <w:tcW w:w="2260"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rPr>
                <w:lang w:val="en-GB"/>
              </w:rPr>
            </w:pPr>
            <w:r>
              <w:rPr>
                <w:lang w:val="en-GB"/>
              </w:rPr>
              <w:t xml:space="preserve"> 3.2</w:t>
            </w:r>
          </w:p>
        </w:tc>
      </w:tr>
      <w:tr w:rsidR="00D844AC" w:rsidTr="00D844AC">
        <w:trPr>
          <w:trHeight w:val="230"/>
        </w:trPr>
        <w:tc>
          <w:tcPr>
            <w:tcW w:w="1690"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jc w:val="left"/>
              <w:rPr>
                <w:lang w:val="en-GB"/>
              </w:rPr>
            </w:pPr>
            <w:r w:rsidRPr="000167A2">
              <w:rPr>
                <w:lang w:val="en-GB"/>
              </w:rPr>
              <w:t>Access</w:t>
            </w:r>
          </w:p>
        </w:tc>
        <w:tc>
          <w:tcPr>
            <w:tcW w:w="2279"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jc w:val="left"/>
              <w:rPr>
                <w:lang w:val="en-GB"/>
              </w:rPr>
            </w:pPr>
            <w:r>
              <w:rPr>
                <w:lang w:val="en-GB"/>
              </w:rPr>
              <w:t>Widen doorway/remove wall</w:t>
            </w:r>
          </w:p>
        </w:tc>
        <w:tc>
          <w:tcPr>
            <w:tcW w:w="1708"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rPr>
                <w:lang w:val="en-GB"/>
              </w:rPr>
            </w:pPr>
            <w:r>
              <w:rPr>
                <w:lang w:val="en-GB"/>
              </w:rPr>
              <w:t>15</w:t>
            </w:r>
          </w:p>
        </w:tc>
        <w:tc>
          <w:tcPr>
            <w:tcW w:w="2260"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rPr>
                <w:lang w:val="en-GB"/>
              </w:rPr>
            </w:pPr>
            <w:r>
              <w:rPr>
                <w:lang w:val="en-GB"/>
              </w:rPr>
              <w:t xml:space="preserve"> 9.6</w:t>
            </w:r>
          </w:p>
        </w:tc>
      </w:tr>
      <w:tr w:rsidR="00D844AC" w:rsidTr="00D844AC">
        <w:trPr>
          <w:trHeight w:val="230"/>
        </w:trPr>
        <w:tc>
          <w:tcPr>
            <w:tcW w:w="1690"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jc w:val="left"/>
              <w:rPr>
                <w:lang w:val="en-GB"/>
              </w:rPr>
            </w:pPr>
            <w:r w:rsidRPr="000167A2">
              <w:rPr>
                <w:lang w:val="en-GB"/>
              </w:rPr>
              <w:t>Access</w:t>
            </w:r>
          </w:p>
        </w:tc>
        <w:tc>
          <w:tcPr>
            <w:tcW w:w="2279"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jc w:val="left"/>
              <w:rPr>
                <w:lang w:val="en-GB"/>
              </w:rPr>
            </w:pPr>
            <w:r>
              <w:rPr>
                <w:lang w:val="en-GB"/>
              </w:rPr>
              <w:t>Front/rear handrail entrance</w:t>
            </w:r>
          </w:p>
        </w:tc>
        <w:tc>
          <w:tcPr>
            <w:tcW w:w="1708"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rPr>
                <w:lang w:val="en-GB"/>
              </w:rPr>
            </w:pPr>
            <w:r>
              <w:rPr>
                <w:lang w:val="en-GB"/>
              </w:rPr>
              <w:t>54</w:t>
            </w:r>
          </w:p>
        </w:tc>
        <w:tc>
          <w:tcPr>
            <w:tcW w:w="2260" w:type="dxa"/>
            <w:tcBorders>
              <w:top w:val="single" w:sz="8" w:space="0" w:color="FFFFFF" w:themeColor="background1"/>
              <w:bottom w:val="single" w:sz="8" w:space="0" w:color="FFFFFF" w:themeColor="background1"/>
            </w:tcBorders>
            <w:shd w:val="clear" w:color="auto" w:fill="E9E8E5" w:themeFill="background2"/>
          </w:tcPr>
          <w:p w:rsidR="00D844AC" w:rsidRDefault="00D844AC" w:rsidP="00D844AC">
            <w:pPr>
              <w:pStyle w:val="TableDataEntries"/>
              <w:rPr>
                <w:lang w:val="en-GB"/>
              </w:rPr>
            </w:pPr>
            <w:r>
              <w:rPr>
                <w:lang w:val="en-GB"/>
              </w:rPr>
              <w:t xml:space="preserve"> 34.4</w:t>
            </w:r>
          </w:p>
        </w:tc>
      </w:tr>
      <w:tr w:rsidR="00D844AC" w:rsidTr="00D844AC">
        <w:trPr>
          <w:trHeight w:val="230"/>
        </w:trPr>
        <w:tc>
          <w:tcPr>
            <w:tcW w:w="1690" w:type="dxa"/>
            <w:tcBorders>
              <w:top w:val="single" w:sz="8" w:space="0" w:color="FFFFFF" w:themeColor="background1"/>
              <w:bottom w:val="single" w:sz="4" w:space="0" w:color="6F6652" w:themeColor="accent5"/>
            </w:tcBorders>
            <w:shd w:val="clear" w:color="auto" w:fill="E9E8E5" w:themeFill="background2"/>
          </w:tcPr>
          <w:p w:rsidR="00D844AC" w:rsidRDefault="00D844AC" w:rsidP="00C36DA4">
            <w:pPr>
              <w:pStyle w:val="TableDataEntries"/>
              <w:jc w:val="left"/>
              <w:rPr>
                <w:lang w:val="en-GB"/>
              </w:rPr>
            </w:pPr>
            <w:r>
              <w:rPr>
                <w:lang w:val="en-GB"/>
              </w:rPr>
              <w:t>Kitchen/laundry</w:t>
            </w:r>
          </w:p>
        </w:tc>
        <w:tc>
          <w:tcPr>
            <w:tcW w:w="2279" w:type="dxa"/>
            <w:tcBorders>
              <w:top w:val="single" w:sz="8" w:space="0" w:color="FFFFFF" w:themeColor="background1"/>
              <w:bottom w:val="single" w:sz="4" w:space="0" w:color="6F6652" w:themeColor="accent5"/>
            </w:tcBorders>
            <w:shd w:val="clear" w:color="auto" w:fill="E9E8E5" w:themeFill="background2"/>
          </w:tcPr>
          <w:p w:rsidR="00D844AC" w:rsidRDefault="00D844AC" w:rsidP="00C36DA4">
            <w:pPr>
              <w:pStyle w:val="TableDataEntries"/>
              <w:jc w:val="left"/>
              <w:rPr>
                <w:lang w:val="en-GB"/>
              </w:rPr>
            </w:pPr>
            <w:r>
              <w:rPr>
                <w:lang w:val="en-GB"/>
              </w:rPr>
              <w:t>Kitchen/laundry modification</w:t>
            </w:r>
          </w:p>
        </w:tc>
        <w:tc>
          <w:tcPr>
            <w:tcW w:w="1708" w:type="dxa"/>
            <w:tcBorders>
              <w:top w:val="single" w:sz="8" w:space="0" w:color="FFFFFF" w:themeColor="background1"/>
              <w:bottom w:val="single" w:sz="4" w:space="0" w:color="6F6652" w:themeColor="accent5"/>
            </w:tcBorders>
            <w:shd w:val="clear" w:color="auto" w:fill="E9E8E5" w:themeFill="background2"/>
          </w:tcPr>
          <w:p w:rsidR="00D844AC" w:rsidRDefault="00D844AC" w:rsidP="00C36DA4">
            <w:pPr>
              <w:pStyle w:val="TableDataEntries"/>
              <w:rPr>
                <w:lang w:val="en-GB"/>
              </w:rPr>
            </w:pPr>
            <w:r>
              <w:rPr>
                <w:lang w:val="en-GB"/>
              </w:rPr>
              <w:t>7</w:t>
            </w:r>
          </w:p>
        </w:tc>
        <w:tc>
          <w:tcPr>
            <w:tcW w:w="2260" w:type="dxa"/>
            <w:tcBorders>
              <w:top w:val="single" w:sz="8" w:space="0" w:color="FFFFFF" w:themeColor="background1"/>
              <w:bottom w:val="single" w:sz="4" w:space="0" w:color="6F6652" w:themeColor="accent5"/>
            </w:tcBorders>
            <w:shd w:val="clear" w:color="auto" w:fill="E9E8E5" w:themeFill="background2"/>
          </w:tcPr>
          <w:p w:rsidR="00D844AC" w:rsidRDefault="00D844AC" w:rsidP="00C36DA4">
            <w:pPr>
              <w:pStyle w:val="TableDataEntries"/>
              <w:rPr>
                <w:lang w:val="en-GB"/>
              </w:rPr>
            </w:pPr>
            <w:r>
              <w:rPr>
                <w:lang w:val="en-GB"/>
              </w:rPr>
              <w:t xml:space="preserve"> 4.5</w:t>
            </w:r>
          </w:p>
        </w:tc>
      </w:tr>
    </w:tbl>
    <w:p w:rsidR="007C6A5F" w:rsidRDefault="007C6A5F" w:rsidP="007C6A5F">
      <w:pPr>
        <w:pStyle w:val="Note"/>
        <w:rPr>
          <w:lang w:bidi="fa-IR"/>
        </w:rPr>
      </w:pPr>
      <w:r w:rsidRPr="007D1B4F">
        <w:rPr>
          <w:i/>
        </w:rPr>
        <w:t>Note:</w:t>
      </w:r>
      <w:r w:rsidRPr="00E879B8">
        <w:t xml:space="preserve"> </w:t>
      </w:r>
      <w:r>
        <w:t>Where participants received major bathroom modifications, they were not included in the count for other, itemised bathroom modifications. Kitchen and laundry modifications refer to cabinet height/design changes, widening of work areas or mounting of appliances for easier access.</w:t>
      </w:r>
    </w:p>
    <w:p w:rsidR="007C6A5F" w:rsidRDefault="007C6A5F" w:rsidP="007C6A5F">
      <w:pPr>
        <w:pStyle w:val="Source"/>
        <w:rPr>
          <w:lang w:bidi="fa-IR"/>
        </w:rPr>
      </w:pPr>
      <w:r w:rsidRPr="00D65696">
        <w:rPr>
          <w:i/>
          <w:lang w:bidi="fa-IR"/>
        </w:rPr>
        <w:t>Source:</w:t>
      </w:r>
      <w:r>
        <w:rPr>
          <w:lang w:bidi="fa-IR"/>
        </w:rPr>
        <w:t xml:space="preserve"> </w:t>
      </w:r>
      <w:r>
        <w:t xml:space="preserve">Carnemolla, P. and Bridge, C. 2019, Housing Design and Community Care: How Home Modifications Reduce Care Needs of Older People and People with Disability, </w:t>
      </w:r>
      <w:r w:rsidRPr="00873554">
        <w:rPr>
          <w:i/>
          <w:iCs/>
        </w:rPr>
        <w:t>International Journal of Environmental Research and Public Health</w:t>
      </w:r>
      <w:r>
        <w:t xml:space="preserve">, </w:t>
      </w:r>
      <w:r>
        <w:rPr>
          <w:lang w:bidi="fa-IR"/>
        </w:rPr>
        <w:t>p. 7.</w:t>
      </w:r>
    </w:p>
    <w:p w:rsidR="007C6A5F" w:rsidRDefault="007C6A5F" w:rsidP="007C6A5F">
      <w:pPr>
        <w:pStyle w:val="BodyText"/>
        <w:rPr>
          <w:lang w:bidi="fa-IR"/>
        </w:rPr>
      </w:pPr>
      <w:r>
        <w:rPr>
          <w:lang w:bidi="fa-IR"/>
        </w:rPr>
        <w:t>Carnemolla and Bridge (2019) found that there was a statistically significant reduction in both the amount of formal care and informal care received (table </w:t>
      </w:r>
      <w:r w:rsidRPr="00317781">
        <w:rPr>
          <w:lang w:bidi="fa-IR"/>
        </w:rPr>
        <w:t>B.2).</w:t>
      </w:r>
    </w:p>
    <w:p w:rsidR="007C6A5F" w:rsidRDefault="007C6A5F" w:rsidP="005A6F87">
      <w:pPr>
        <w:pStyle w:val="ListBullet"/>
        <w:numPr>
          <w:ilvl w:val="0"/>
          <w:numId w:val="17"/>
        </w:numPr>
        <w:rPr>
          <w:lang w:bidi="fa-IR"/>
        </w:rPr>
      </w:pPr>
      <w:r>
        <w:rPr>
          <w:lang w:bidi="fa-IR"/>
        </w:rPr>
        <w:t>The average number of hours of informal care fell by 5.96 hours per week (around 47 per cent).</w:t>
      </w:r>
    </w:p>
    <w:p w:rsidR="007C6A5F" w:rsidRDefault="007C6A5F" w:rsidP="005A6F87">
      <w:pPr>
        <w:pStyle w:val="ListBullet"/>
        <w:numPr>
          <w:ilvl w:val="0"/>
          <w:numId w:val="17"/>
        </w:numPr>
        <w:rPr>
          <w:lang w:bidi="fa-IR"/>
        </w:rPr>
      </w:pPr>
      <w:r>
        <w:rPr>
          <w:lang w:bidi="fa-IR"/>
        </w:rPr>
        <w:lastRenderedPageBreak/>
        <w:t>The average number of hours of formal care fell by 0.36 hours per week (around 17 per cent).</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B</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B</w:instrText>
      </w:r>
      <w:r>
        <w:rPr>
          <w:noProof/>
        </w:rPr>
        <w:fldChar w:fldCharType="end"/>
      </w:r>
      <w:r w:rsidRPr="00695C93">
        <w:instrText xml:space="preserve">." </w:instrText>
      </w:r>
      <w:r w:rsidRPr="00695C93">
        <w:fldChar w:fldCharType="separate"/>
      </w:r>
      <w:r>
        <w:rPr>
          <w:noProof/>
        </w:rPr>
        <w:instrText>B</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B</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2</w:instrText>
      </w:r>
      <w:r w:rsidRPr="00695C93">
        <w:fldChar w:fldCharType="end"/>
      </w:r>
      <w:r w:rsidRPr="00695C93">
        <w:instrText xml:space="preserve">" "" </w:instrText>
      </w:r>
      <w:r w:rsidRPr="00695C93">
        <w:fldChar w:fldCharType="separate"/>
      </w:r>
      <w:bookmarkStart w:id="6534" w:name="_Caption0431"/>
      <w:bookmarkStart w:id="6535" w:name="_Caption1627"/>
      <w:bookmarkStart w:id="6536" w:name="_Caption1548"/>
      <w:bookmarkStart w:id="6537" w:name="_Caption1337"/>
      <w:bookmarkStart w:id="6538" w:name="_Toc44598575"/>
      <w:bookmarkStart w:id="6539" w:name="_Toc45654206"/>
      <w:r w:rsidR="00272AF3">
        <w:rPr>
          <w:noProof/>
        </w:rPr>
        <w:t>B</w:t>
      </w:r>
      <w:r w:rsidR="00272AF3" w:rsidRPr="00695C93">
        <w:rPr>
          <w:noProof/>
        </w:rPr>
        <w:t>.</w:t>
      </w:r>
      <w:r w:rsidR="00272AF3">
        <w:rPr>
          <w:noProof/>
        </w:rPr>
        <w:t>2</w:t>
      </w:r>
      <w:bookmarkEnd w:id="6534"/>
      <w:bookmarkEnd w:id="6535"/>
      <w:bookmarkEnd w:id="6536"/>
      <w:bookmarkEnd w:id="6537"/>
      <w:r w:rsidRPr="00695C93">
        <w:fldChar w:fldCharType="end"/>
      </w:r>
      <w:r w:rsidRPr="00695C93">
        <w:tab/>
      </w:r>
      <w:r>
        <w:t>Average reduction in hours of care received following home modifications</w:t>
      </w:r>
      <w:bookmarkEnd w:id="6538"/>
      <w:bookmarkEnd w:id="6539"/>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B.2"/>
        <w:tblDescription w:val="Average reduction in hours of care received following home modifications"/>
      </w:tblPr>
      <w:tblGrid>
        <w:gridCol w:w="2596"/>
        <w:gridCol w:w="1780"/>
        <w:gridCol w:w="1781"/>
        <w:gridCol w:w="1780"/>
      </w:tblGrid>
      <w:tr w:rsidR="007C6A5F" w:rsidTr="006D6FC1">
        <w:trPr>
          <w:trHeight w:val="230"/>
          <w:tblHeader/>
        </w:trPr>
        <w:tc>
          <w:tcPr>
            <w:tcW w:w="2596" w:type="dxa"/>
            <w:shd w:val="clear" w:color="auto" w:fill="6F6652" w:themeFill="accent5"/>
          </w:tcPr>
          <w:p w:rsidR="007C6A5F" w:rsidRDefault="00585CE3" w:rsidP="00C36DA4">
            <w:pPr>
              <w:pStyle w:val="TableDataColumnHeading"/>
              <w:jc w:val="left"/>
              <w:rPr>
                <w:lang w:val="en-GB"/>
              </w:rPr>
            </w:pPr>
            <w:r>
              <w:rPr>
                <w:lang w:val="en-GB"/>
              </w:rPr>
              <w:t>Before/after modification</w:t>
            </w:r>
          </w:p>
        </w:tc>
        <w:tc>
          <w:tcPr>
            <w:tcW w:w="1780" w:type="dxa"/>
            <w:shd w:val="clear" w:color="auto" w:fill="6F6652" w:themeFill="accent5"/>
          </w:tcPr>
          <w:p w:rsidR="007C6A5F" w:rsidRDefault="007C6A5F" w:rsidP="00C36DA4">
            <w:pPr>
              <w:pStyle w:val="TableDataColumnHeading"/>
              <w:rPr>
                <w:lang w:val="en-GB"/>
              </w:rPr>
            </w:pPr>
            <w:r>
              <w:rPr>
                <w:lang w:val="en-GB"/>
              </w:rPr>
              <w:t>Informal care</w:t>
            </w:r>
          </w:p>
          <w:p w:rsidR="00E6524C" w:rsidRDefault="00E6524C" w:rsidP="00C36DA4">
            <w:pPr>
              <w:pStyle w:val="TableDataColumnHeading"/>
              <w:rPr>
                <w:lang w:val="en-GB"/>
              </w:rPr>
            </w:pPr>
            <w:r>
              <w:rPr>
                <w:lang w:val="en-GB"/>
              </w:rPr>
              <w:t>(Hours per week)</w:t>
            </w:r>
          </w:p>
        </w:tc>
        <w:tc>
          <w:tcPr>
            <w:tcW w:w="1781" w:type="dxa"/>
            <w:shd w:val="clear" w:color="auto" w:fill="6F6652" w:themeFill="accent5"/>
          </w:tcPr>
          <w:p w:rsidR="007C6A5F" w:rsidRDefault="007C6A5F" w:rsidP="00C36DA4">
            <w:pPr>
              <w:pStyle w:val="TableDataColumnHeading"/>
              <w:rPr>
                <w:lang w:val="en-GB"/>
              </w:rPr>
            </w:pPr>
            <w:r>
              <w:rPr>
                <w:lang w:val="en-GB"/>
              </w:rPr>
              <w:t>Formal care</w:t>
            </w:r>
          </w:p>
          <w:p w:rsidR="00E6524C" w:rsidRDefault="00E6524C" w:rsidP="00C36DA4">
            <w:pPr>
              <w:pStyle w:val="TableDataColumnHeading"/>
              <w:rPr>
                <w:lang w:val="en-GB"/>
              </w:rPr>
            </w:pPr>
            <w:r>
              <w:rPr>
                <w:lang w:val="en-GB"/>
              </w:rPr>
              <w:t>(Hours per week)</w:t>
            </w:r>
          </w:p>
        </w:tc>
        <w:tc>
          <w:tcPr>
            <w:tcW w:w="1780" w:type="dxa"/>
            <w:shd w:val="clear" w:color="auto" w:fill="6F6652" w:themeFill="accent5"/>
          </w:tcPr>
          <w:p w:rsidR="007C6A5F" w:rsidRDefault="007C6A5F" w:rsidP="00C36DA4">
            <w:pPr>
              <w:pStyle w:val="TableDataColumnHeading"/>
              <w:rPr>
                <w:lang w:val="en-GB"/>
              </w:rPr>
            </w:pPr>
            <w:r>
              <w:rPr>
                <w:lang w:val="en-GB"/>
              </w:rPr>
              <w:t>Total</w:t>
            </w:r>
          </w:p>
          <w:p w:rsidR="00E6524C" w:rsidRDefault="00E6524C" w:rsidP="00C36DA4">
            <w:pPr>
              <w:pStyle w:val="TableDataColumnHeading"/>
              <w:rPr>
                <w:lang w:val="en-GB"/>
              </w:rPr>
            </w:pPr>
            <w:r>
              <w:rPr>
                <w:lang w:val="en-GB"/>
              </w:rPr>
              <w:t>(Hours per week)</w:t>
            </w:r>
          </w:p>
        </w:tc>
      </w:tr>
      <w:tr w:rsidR="007C6A5F" w:rsidTr="005F6B0D">
        <w:trPr>
          <w:trHeight w:val="230"/>
        </w:trPr>
        <w:tc>
          <w:tcPr>
            <w:tcW w:w="259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Before modification</w:t>
            </w:r>
          </w:p>
        </w:tc>
        <w:tc>
          <w:tcPr>
            <w:tcW w:w="178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12.88</w:t>
            </w:r>
          </w:p>
        </w:tc>
        <w:tc>
          <w:tcPr>
            <w:tcW w:w="178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2.14</w:t>
            </w:r>
          </w:p>
        </w:tc>
        <w:tc>
          <w:tcPr>
            <w:tcW w:w="178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15.02</w:t>
            </w:r>
          </w:p>
        </w:tc>
      </w:tr>
      <w:tr w:rsidR="007C6A5F" w:rsidTr="00B5160B">
        <w:trPr>
          <w:trHeight w:val="230"/>
        </w:trPr>
        <w:tc>
          <w:tcPr>
            <w:tcW w:w="259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After modification</w:t>
            </w:r>
          </w:p>
        </w:tc>
        <w:tc>
          <w:tcPr>
            <w:tcW w:w="178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6.92</w:t>
            </w:r>
          </w:p>
        </w:tc>
        <w:tc>
          <w:tcPr>
            <w:tcW w:w="178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1.78</w:t>
            </w:r>
          </w:p>
        </w:tc>
        <w:tc>
          <w:tcPr>
            <w:tcW w:w="178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8.70</w:t>
            </w:r>
          </w:p>
        </w:tc>
      </w:tr>
      <w:tr w:rsidR="007C6A5F" w:rsidRPr="00801E43" w:rsidTr="00B5160B">
        <w:trPr>
          <w:trHeight w:val="230"/>
        </w:trPr>
        <w:tc>
          <w:tcPr>
            <w:tcW w:w="2596"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jc w:val="left"/>
              <w:rPr>
                <w:rFonts w:ascii="Franklin Gothic Demi" w:hAnsi="Franklin Gothic Demi"/>
                <w:lang w:val="en-GB"/>
              </w:rPr>
            </w:pPr>
            <w:r w:rsidRPr="00801E43">
              <w:rPr>
                <w:rFonts w:ascii="Franklin Gothic Demi" w:hAnsi="Franklin Gothic Demi"/>
                <w:lang w:val="en-GB"/>
              </w:rPr>
              <w:t>Change</w:t>
            </w:r>
          </w:p>
        </w:tc>
        <w:tc>
          <w:tcPr>
            <w:tcW w:w="1780"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lang w:val="en-GB"/>
              </w:rPr>
              <w:t>- 5.96</w:t>
            </w:r>
          </w:p>
        </w:tc>
        <w:tc>
          <w:tcPr>
            <w:tcW w:w="1781"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lang w:val="en-GB"/>
              </w:rPr>
              <w:t>- 0.36</w:t>
            </w:r>
          </w:p>
        </w:tc>
        <w:tc>
          <w:tcPr>
            <w:tcW w:w="1780"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rPr>
                <w:rFonts w:ascii="Franklin Gothic Demi" w:hAnsi="Franklin Gothic Demi"/>
                <w:lang w:val="en-GB"/>
              </w:rPr>
            </w:pPr>
            <w:r w:rsidRPr="00801E43">
              <w:rPr>
                <w:rFonts w:ascii="Franklin Gothic Demi" w:hAnsi="Franklin Gothic Demi"/>
                <w:lang w:val="en-GB"/>
              </w:rPr>
              <w:t>- 6.32</w:t>
            </w:r>
          </w:p>
        </w:tc>
      </w:tr>
    </w:tbl>
    <w:p w:rsidR="007C6A5F" w:rsidRDefault="007C6A5F" w:rsidP="007C6A5F">
      <w:pPr>
        <w:pStyle w:val="Source"/>
        <w:rPr>
          <w:lang w:bidi="fa-IR"/>
        </w:rPr>
      </w:pPr>
      <w:r w:rsidRPr="007F37B7">
        <w:rPr>
          <w:i/>
          <w:lang w:bidi="fa-IR"/>
        </w:rPr>
        <w:t>Source:</w:t>
      </w:r>
      <w:r>
        <w:rPr>
          <w:lang w:bidi="fa-IR"/>
        </w:rPr>
        <w:t xml:space="preserve"> </w:t>
      </w:r>
      <w:r>
        <w:t xml:space="preserve">Carnemolla, P. and Bridge, C. 2019, Housing Design and Community Care: How Home Modifications Reduce Care Needs of Older People and People with Disability, </w:t>
      </w:r>
      <w:r w:rsidRPr="00873554">
        <w:rPr>
          <w:i/>
          <w:iCs/>
        </w:rPr>
        <w:t>International Journal of Environmental Research and Public Health</w:t>
      </w:r>
      <w:r>
        <w:t xml:space="preserve">, </w:t>
      </w:r>
      <w:r>
        <w:rPr>
          <w:lang w:bidi="fa-IR"/>
        </w:rPr>
        <w:t>pp. 7</w:t>
      </w:r>
      <w:r>
        <w:rPr>
          <w:lang w:bidi="fa-IR"/>
        </w:rPr>
        <w:noBreakHyphen/>
        <w:t>8.</w:t>
      </w:r>
    </w:p>
    <w:p w:rsidR="007C6A5F" w:rsidRDefault="007C6A5F" w:rsidP="007C6A5F">
      <w:pPr>
        <w:pStyle w:val="BodyText"/>
        <w:rPr>
          <w:lang w:bidi="fa-IR"/>
        </w:rPr>
      </w:pPr>
      <w:r>
        <w:rPr>
          <w:lang w:bidi="fa-IR"/>
        </w:rPr>
        <w:t>The relevance of these results to the proposed changes to the NCC are not entirely clear.</w:t>
      </w:r>
    </w:p>
    <w:p w:rsidR="007C6A5F" w:rsidRDefault="007C6A5F" w:rsidP="005A6F87">
      <w:pPr>
        <w:pStyle w:val="ListBullet"/>
        <w:numPr>
          <w:ilvl w:val="0"/>
          <w:numId w:val="17"/>
        </w:numPr>
        <w:rPr>
          <w:lang w:bidi="fa-IR"/>
        </w:rPr>
      </w:pPr>
      <w:r>
        <w:rPr>
          <w:lang w:bidi="fa-IR"/>
        </w:rPr>
        <w:t>It is not clear whether the sample is representative of the general population with mobility limitations living in inaccessible housing and the amount of care they receive.</w:t>
      </w:r>
    </w:p>
    <w:p w:rsidR="007C6A5F" w:rsidRDefault="007C6A5F" w:rsidP="005A6F87">
      <w:pPr>
        <w:pStyle w:val="ListBullet"/>
        <w:numPr>
          <w:ilvl w:val="0"/>
          <w:numId w:val="17"/>
        </w:numPr>
        <w:rPr>
          <w:lang w:bidi="fa-IR"/>
        </w:rPr>
      </w:pPr>
      <w:r>
        <w:rPr>
          <w:lang w:bidi="fa-IR"/>
        </w:rPr>
        <w:t>The study relates to home modifications, which are tailored to the specific needs of the recipient. By contrast, the NCC proposal is a general standard that applies to all.</w:t>
      </w:r>
    </w:p>
    <w:p w:rsidR="007C6A5F" w:rsidRDefault="007C6A5F" w:rsidP="005A6F87">
      <w:pPr>
        <w:pStyle w:val="ListBullet"/>
        <w:numPr>
          <w:ilvl w:val="0"/>
          <w:numId w:val="17"/>
        </w:numPr>
        <w:rPr>
          <w:lang w:bidi="fa-IR"/>
        </w:rPr>
      </w:pPr>
      <w:r>
        <w:rPr>
          <w:lang w:bidi="fa-IR"/>
        </w:rPr>
        <w:t>Not all of the home modifications under HACC align with the changes to the NCC. For example, the installation of grab</w:t>
      </w:r>
      <w:r>
        <w:rPr>
          <w:lang w:bidi="fa-IR"/>
        </w:rPr>
        <w:noBreakHyphen/>
        <w:t>rails made up a significant share of the modifications in the sample, but are not included in the NCC proposal.</w:t>
      </w:r>
    </w:p>
    <w:p w:rsidR="007C6A5F" w:rsidRDefault="007C6A5F" w:rsidP="007C6A5F">
      <w:pPr>
        <w:pStyle w:val="BodyText"/>
        <w:rPr>
          <w:lang w:bidi="fa-IR"/>
        </w:rPr>
      </w:pPr>
      <w:r>
        <w:rPr>
          <w:lang w:bidi="fa-IR"/>
        </w:rPr>
        <w:t>Nevertheless, this study provides reliable evidence that those that live in a home environment that lacks key accessibility features are likely to receive significantly more care/assistance than they would be if they lived in an accessible dwelling.</w:t>
      </w:r>
    </w:p>
    <w:p w:rsidR="007C6A5F" w:rsidRDefault="007C6A5F" w:rsidP="007C6A5F">
      <w:pPr>
        <w:pStyle w:val="BodyText"/>
        <w:rPr>
          <w:lang w:bidi="fa-IR"/>
        </w:rPr>
      </w:pPr>
      <w:r>
        <w:rPr>
          <w:lang w:bidi="fa-IR"/>
        </w:rPr>
        <w:t>If the results reported in Carnemolla and Bridge (2019) are indicative of the average amount of the additional assistance received by those living in inaccessible housing, this implies:</w:t>
      </w:r>
    </w:p>
    <w:p w:rsidR="007C6A5F" w:rsidRDefault="007C6A5F" w:rsidP="005A6F87">
      <w:pPr>
        <w:pStyle w:val="ListBullet"/>
        <w:numPr>
          <w:ilvl w:val="0"/>
          <w:numId w:val="17"/>
        </w:numPr>
        <w:rPr>
          <w:lang w:bidi="fa-IR"/>
        </w:rPr>
      </w:pPr>
      <w:r>
        <w:rPr>
          <w:lang w:bidi="fa-IR"/>
        </w:rPr>
        <w:t>For those receiving informal assistance, we estimate that the cost of the additional assistance due to inaccessible housing could be around $6 040 per year, based on the following evidence and assumptions.</w:t>
      </w:r>
    </w:p>
    <w:p w:rsidR="007C6A5F" w:rsidRDefault="007C6A5F" w:rsidP="005A6F87">
      <w:pPr>
        <w:pStyle w:val="ListBullet2"/>
        <w:numPr>
          <w:ilvl w:val="1"/>
          <w:numId w:val="17"/>
        </w:numPr>
        <w:ind w:left="568" w:hanging="284"/>
        <w:rPr>
          <w:lang w:bidi="fa-IR"/>
        </w:rPr>
      </w:pPr>
      <w:r>
        <w:rPr>
          <w:lang w:bidi="fa-IR"/>
        </w:rPr>
        <w:t>An additional 5.98 hours of informal care/assistance per week (from Carnemolla and Bridge, 2019), implying an additional 310 hours of care/assistance per year.</w:t>
      </w:r>
    </w:p>
    <w:p w:rsidR="007C6A5F" w:rsidRDefault="007C6A5F" w:rsidP="005A6F87">
      <w:pPr>
        <w:pStyle w:val="ListBullet2"/>
        <w:numPr>
          <w:ilvl w:val="1"/>
          <w:numId w:val="17"/>
        </w:numPr>
        <w:ind w:left="568" w:hanging="284"/>
        <w:rPr>
          <w:lang w:bidi="fa-IR"/>
        </w:rPr>
      </w:pPr>
      <w:r>
        <w:rPr>
          <w:lang w:bidi="fa-IR"/>
        </w:rPr>
        <w:t>The additional time spent by informal carers is valued at the minimum wage in Australia of $19.49 per hour.</w:t>
      </w:r>
      <w:r>
        <w:rPr>
          <w:rStyle w:val="FootnoteReference"/>
          <w:lang w:bidi="fa-IR"/>
        </w:rPr>
        <w:footnoteReference w:id="84"/>
      </w:r>
      <w:r>
        <w:rPr>
          <w:lang w:bidi="fa-IR"/>
        </w:rPr>
        <w:t xml:space="preserve"> </w:t>
      </w:r>
      <w:r>
        <w:t>This approach to valuing informal care is consistent with some other studies in the literature.</w:t>
      </w:r>
      <w:r>
        <w:rPr>
          <w:rStyle w:val="FootnoteReference"/>
        </w:rPr>
        <w:footnoteReference w:id="85"/>
      </w:r>
    </w:p>
    <w:p w:rsidR="007C6A5F" w:rsidRDefault="007C6A5F" w:rsidP="005A6F87">
      <w:pPr>
        <w:pStyle w:val="ListBullet"/>
        <w:numPr>
          <w:ilvl w:val="0"/>
          <w:numId w:val="17"/>
        </w:numPr>
        <w:rPr>
          <w:lang w:bidi="fa-IR"/>
        </w:rPr>
      </w:pPr>
      <w:r>
        <w:rPr>
          <w:lang w:bidi="fa-IR"/>
        </w:rPr>
        <w:lastRenderedPageBreak/>
        <w:t>For those receiving formal assistance, we estimate that the cost of the additional assistance due to inaccessible housing could be around $1217 per year, based on the following.</w:t>
      </w:r>
    </w:p>
    <w:p w:rsidR="007C6A5F" w:rsidRDefault="007C6A5F" w:rsidP="005A6F87">
      <w:pPr>
        <w:pStyle w:val="ListBullet2"/>
        <w:numPr>
          <w:ilvl w:val="1"/>
          <w:numId w:val="17"/>
        </w:numPr>
        <w:ind w:left="568" w:hanging="284"/>
        <w:rPr>
          <w:lang w:bidi="fa-IR"/>
        </w:rPr>
      </w:pPr>
      <w:r>
        <w:rPr>
          <w:lang w:bidi="fa-IR"/>
        </w:rPr>
        <w:t>An additional 0.36 hours of formal care/assistance per week (from Carnemolla and Bridge, 2019), implying an additional 18.72 hours of care/assistance per year.</w:t>
      </w:r>
    </w:p>
    <w:p w:rsidR="007C6A5F" w:rsidRDefault="007C6A5F" w:rsidP="005A6F87">
      <w:pPr>
        <w:pStyle w:val="ListBullet2"/>
        <w:numPr>
          <w:ilvl w:val="1"/>
          <w:numId w:val="17"/>
        </w:numPr>
        <w:ind w:left="568" w:hanging="284"/>
        <w:rPr>
          <w:lang w:bidi="fa-IR"/>
        </w:rPr>
      </w:pPr>
      <w:r>
        <w:rPr>
          <w:lang w:bidi="fa-IR"/>
        </w:rPr>
        <w:t>Under the NDIS Price Catalogue, the hourly rate for assistance with daily life varies depending on the type of assistance provided, location (non</w:t>
      </w:r>
      <w:r>
        <w:rPr>
          <w:lang w:bidi="fa-IR"/>
        </w:rPr>
        <w:noBreakHyphen/>
        <w:t>remote, remote, very remote) and when the service is provided (time of day, weekend/weekday/ public holiday). We use a rate of $65 per hour, which we consider broadly representative of the various rates.</w:t>
      </w:r>
      <w:r>
        <w:rPr>
          <w:rStyle w:val="FootnoteReference"/>
          <w:lang w:bidi="fa-IR"/>
        </w:rPr>
        <w:footnoteReference w:id="86"/>
      </w:r>
      <w:r>
        <w:rPr>
          <w:lang w:bidi="fa-IR"/>
        </w:rPr>
        <w:t xml:space="preserve"> This rate is significantly higher than the average hourly earnings for ‘personal carers and assistants’ is $34.90 per hour (based on ABS Cat 6306 Employee Earnings and Hours). However, average hourly earnings exclude some on-costs and overheads and possibly some other costs. We therefore, consider the NDIS rates more appropriate.</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B</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B</w:instrText>
      </w:r>
      <w:r>
        <w:rPr>
          <w:noProof/>
        </w:rPr>
        <w:fldChar w:fldCharType="end"/>
      </w:r>
      <w:r w:rsidRPr="00695C93">
        <w:instrText xml:space="preserve">." </w:instrText>
      </w:r>
      <w:r w:rsidRPr="00695C93">
        <w:fldChar w:fldCharType="separate"/>
      </w:r>
      <w:r>
        <w:rPr>
          <w:noProof/>
        </w:rPr>
        <w:instrText>B</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B</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3</w:instrText>
      </w:r>
      <w:r w:rsidRPr="00695C93">
        <w:fldChar w:fldCharType="end"/>
      </w:r>
      <w:r w:rsidRPr="00695C93">
        <w:instrText xml:space="preserve">" "" </w:instrText>
      </w:r>
      <w:r w:rsidRPr="00695C93">
        <w:fldChar w:fldCharType="separate"/>
      </w:r>
      <w:bookmarkStart w:id="6540" w:name="_Caption8630"/>
      <w:bookmarkStart w:id="6541" w:name="_Caption1483"/>
      <w:bookmarkStart w:id="6542" w:name="_Caption0766"/>
      <w:bookmarkStart w:id="6543" w:name="_Caption1502"/>
      <w:bookmarkStart w:id="6544" w:name="_Toc44598576"/>
      <w:bookmarkStart w:id="6545" w:name="_Toc45654207"/>
      <w:r w:rsidR="00272AF3">
        <w:rPr>
          <w:noProof/>
        </w:rPr>
        <w:t>B</w:t>
      </w:r>
      <w:r w:rsidR="00272AF3" w:rsidRPr="00695C93">
        <w:rPr>
          <w:noProof/>
        </w:rPr>
        <w:t>.</w:t>
      </w:r>
      <w:r w:rsidR="00272AF3">
        <w:rPr>
          <w:noProof/>
        </w:rPr>
        <w:t>3</w:t>
      </w:r>
      <w:bookmarkEnd w:id="6540"/>
      <w:bookmarkEnd w:id="6541"/>
      <w:bookmarkEnd w:id="6542"/>
      <w:bookmarkEnd w:id="6543"/>
      <w:r w:rsidRPr="00695C93">
        <w:fldChar w:fldCharType="end"/>
      </w:r>
      <w:r w:rsidRPr="00695C93">
        <w:tab/>
      </w:r>
      <w:r>
        <w:t>Annual cost of additional care</w:t>
      </w:r>
      <w:bookmarkEnd w:id="6544"/>
      <w:bookmarkEnd w:id="6545"/>
    </w:p>
    <w:tbl>
      <w:tblPr>
        <w:tblStyle w:val="TableGridLight"/>
        <w:tblW w:w="7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B.3"/>
        <w:tblDescription w:val="Annual cost of additional care"/>
      </w:tblPr>
      <w:tblGrid>
        <w:gridCol w:w="2515"/>
        <w:gridCol w:w="1356"/>
        <w:gridCol w:w="1356"/>
        <w:gridCol w:w="1356"/>
        <w:gridCol w:w="1356"/>
      </w:tblGrid>
      <w:tr w:rsidR="007C6A5F" w:rsidTr="006D6FC1">
        <w:trPr>
          <w:trHeight w:val="461"/>
          <w:tblHeader/>
        </w:trPr>
        <w:tc>
          <w:tcPr>
            <w:tcW w:w="2515" w:type="dxa"/>
            <w:shd w:val="clear" w:color="auto" w:fill="6F6652" w:themeFill="accent5"/>
          </w:tcPr>
          <w:p w:rsidR="007C6A5F" w:rsidRDefault="00585CE3" w:rsidP="00C36DA4">
            <w:pPr>
              <w:pStyle w:val="TableDataColumnHeading"/>
              <w:jc w:val="left"/>
              <w:rPr>
                <w:lang w:val="en-GB"/>
              </w:rPr>
            </w:pPr>
            <w:r>
              <w:rPr>
                <w:lang w:val="en-GB"/>
              </w:rPr>
              <w:t>Care type</w:t>
            </w:r>
          </w:p>
        </w:tc>
        <w:tc>
          <w:tcPr>
            <w:tcW w:w="1356" w:type="dxa"/>
            <w:shd w:val="clear" w:color="auto" w:fill="6F6652" w:themeFill="accent5"/>
          </w:tcPr>
          <w:p w:rsidR="007C6A5F" w:rsidRDefault="007C6A5F" w:rsidP="00C36DA4">
            <w:pPr>
              <w:pStyle w:val="TableDataColumnHeading"/>
              <w:rPr>
                <w:lang w:val="en-GB"/>
              </w:rPr>
            </w:pPr>
            <w:r>
              <w:rPr>
                <w:lang w:val="en-GB"/>
              </w:rPr>
              <w:t>Additional care per week</w:t>
            </w:r>
          </w:p>
          <w:p w:rsidR="00E6524C" w:rsidRDefault="00E6524C" w:rsidP="00C36DA4">
            <w:pPr>
              <w:pStyle w:val="TableDataColumnHeading"/>
              <w:rPr>
                <w:lang w:val="en-GB"/>
              </w:rPr>
            </w:pPr>
            <w:r>
              <w:rPr>
                <w:lang w:val="en-GB"/>
              </w:rPr>
              <w:t>(Hours)</w:t>
            </w:r>
          </w:p>
        </w:tc>
        <w:tc>
          <w:tcPr>
            <w:tcW w:w="1356" w:type="dxa"/>
            <w:shd w:val="clear" w:color="auto" w:fill="6F6652" w:themeFill="accent5"/>
          </w:tcPr>
          <w:p w:rsidR="007C6A5F" w:rsidRDefault="007C6A5F" w:rsidP="00C36DA4">
            <w:pPr>
              <w:pStyle w:val="TableDataColumnHeading"/>
              <w:rPr>
                <w:lang w:val="en-GB"/>
              </w:rPr>
            </w:pPr>
            <w:r>
              <w:rPr>
                <w:lang w:val="en-GB"/>
              </w:rPr>
              <w:t>Additional care per year</w:t>
            </w:r>
          </w:p>
          <w:p w:rsidR="00E6524C" w:rsidRDefault="00E6524C" w:rsidP="00C36DA4">
            <w:pPr>
              <w:pStyle w:val="TableDataColumnHeading"/>
              <w:rPr>
                <w:lang w:val="en-GB"/>
              </w:rPr>
            </w:pPr>
            <w:r>
              <w:rPr>
                <w:lang w:val="en-GB"/>
              </w:rPr>
              <w:t>(Hours)</w:t>
            </w:r>
          </w:p>
        </w:tc>
        <w:tc>
          <w:tcPr>
            <w:tcW w:w="1356" w:type="dxa"/>
            <w:shd w:val="clear" w:color="auto" w:fill="6F6652" w:themeFill="accent5"/>
          </w:tcPr>
          <w:p w:rsidR="007C6A5F" w:rsidRDefault="007C6A5F" w:rsidP="00C36DA4">
            <w:pPr>
              <w:pStyle w:val="TableDataColumnHeading"/>
              <w:rPr>
                <w:lang w:val="en-GB"/>
              </w:rPr>
            </w:pPr>
            <w:r>
              <w:rPr>
                <w:lang w:val="en-GB"/>
              </w:rPr>
              <w:t xml:space="preserve">Unit </w:t>
            </w:r>
            <w:r w:rsidR="00E6524C">
              <w:rPr>
                <w:lang w:val="en-GB"/>
              </w:rPr>
              <w:t xml:space="preserve">                           </w:t>
            </w:r>
            <w:r>
              <w:rPr>
                <w:lang w:val="en-GB"/>
              </w:rPr>
              <w:t>cost</w:t>
            </w:r>
          </w:p>
          <w:p w:rsidR="00E6524C" w:rsidRDefault="00E6524C" w:rsidP="00C36DA4">
            <w:pPr>
              <w:pStyle w:val="TableDataColumnHeading"/>
              <w:rPr>
                <w:lang w:val="en-GB"/>
              </w:rPr>
            </w:pPr>
            <w:r>
              <w:rPr>
                <w:lang w:val="en-GB"/>
              </w:rPr>
              <w:t>($ per hour)</w:t>
            </w:r>
          </w:p>
        </w:tc>
        <w:tc>
          <w:tcPr>
            <w:tcW w:w="1356" w:type="dxa"/>
            <w:shd w:val="clear" w:color="auto" w:fill="6F6652" w:themeFill="accent5"/>
          </w:tcPr>
          <w:p w:rsidR="007C6A5F" w:rsidRDefault="007C6A5F" w:rsidP="00C36DA4">
            <w:pPr>
              <w:pStyle w:val="TableDataColumnHeading"/>
              <w:rPr>
                <w:lang w:val="en-GB"/>
              </w:rPr>
            </w:pPr>
            <w:r>
              <w:rPr>
                <w:lang w:val="en-GB"/>
              </w:rPr>
              <w:t>Cost of additional care</w:t>
            </w:r>
          </w:p>
          <w:p w:rsidR="00E6524C" w:rsidRDefault="00E6524C" w:rsidP="00C36DA4">
            <w:pPr>
              <w:pStyle w:val="TableDataColumnHeading"/>
              <w:rPr>
                <w:lang w:val="en-GB"/>
              </w:rPr>
            </w:pPr>
            <w:r>
              <w:rPr>
                <w:lang w:val="en-GB"/>
              </w:rPr>
              <w:t>($ per hour)</w:t>
            </w:r>
          </w:p>
        </w:tc>
      </w:tr>
      <w:tr w:rsidR="007C6A5F" w:rsidTr="00B5160B">
        <w:trPr>
          <w:trHeight w:val="230"/>
        </w:trPr>
        <w:tc>
          <w:tcPr>
            <w:tcW w:w="251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Informal care</w:t>
            </w:r>
          </w:p>
        </w:tc>
        <w:tc>
          <w:tcPr>
            <w:tcW w:w="135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- 5.96</w:t>
            </w:r>
          </w:p>
        </w:tc>
        <w:tc>
          <w:tcPr>
            <w:tcW w:w="135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- 309.92</w:t>
            </w:r>
          </w:p>
        </w:tc>
        <w:tc>
          <w:tcPr>
            <w:tcW w:w="135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19.49</w:t>
            </w:r>
          </w:p>
        </w:tc>
        <w:tc>
          <w:tcPr>
            <w:tcW w:w="135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-6 040</w:t>
            </w:r>
          </w:p>
        </w:tc>
      </w:tr>
      <w:tr w:rsidR="007C6A5F" w:rsidTr="00B5160B">
        <w:trPr>
          <w:trHeight w:val="230"/>
        </w:trPr>
        <w:tc>
          <w:tcPr>
            <w:tcW w:w="2515"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jc w:val="left"/>
              <w:rPr>
                <w:lang w:val="en-GB"/>
              </w:rPr>
            </w:pPr>
            <w:r>
              <w:rPr>
                <w:lang w:val="en-GB"/>
              </w:rPr>
              <w:t>Formal care</w:t>
            </w:r>
          </w:p>
        </w:tc>
        <w:tc>
          <w:tcPr>
            <w:tcW w:w="1356"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rPr>
                <w:lang w:val="en-GB"/>
              </w:rPr>
              <w:t>- 0.36</w:t>
            </w:r>
          </w:p>
        </w:tc>
        <w:tc>
          <w:tcPr>
            <w:tcW w:w="1356"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rPr>
                <w:lang w:val="en-GB"/>
              </w:rPr>
              <w:t>- 18.72</w:t>
            </w:r>
          </w:p>
        </w:tc>
        <w:tc>
          <w:tcPr>
            <w:tcW w:w="1356"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rPr>
                <w:lang w:val="en-GB"/>
              </w:rPr>
              <w:t xml:space="preserve"> 65.00</w:t>
            </w:r>
          </w:p>
        </w:tc>
        <w:tc>
          <w:tcPr>
            <w:tcW w:w="1356"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rPr>
                <w:lang w:val="en-GB"/>
              </w:rPr>
              <w:t>-1 217</w:t>
            </w:r>
          </w:p>
        </w:tc>
      </w:tr>
    </w:tbl>
    <w:p w:rsidR="007C6A5F" w:rsidRDefault="007C6A5F" w:rsidP="007C6A5F">
      <w:pPr>
        <w:pStyle w:val="Source"/>
        <w:rPr>
          <w:lang w:bidi="fa-IR"/>
        </w:rPr>
      </w:pPr>
      <w:r w:rsidRPr="005642CF">
        <w:rPr>
          <w:i/>
          <w:lang w:bidi="fa-IR"/>
        </w:rPr>
        <w:t>Source:</w:t>
      </w:r>
      <w:r>
        <w:rPr>
          <w:lang w:bidi="fa-IR"/>
        </w:rPr>
        <w:t xml:space="preserve"> CIE estimates based on: Carnemolla and Bridge (2019) (see table xx above); </w:t>
      </w:r>
      <w:r>
        <w:rPr>
          <w:lang w:val="en-US"/>
        </w:rPr>
        <w:t xml:space="preserve">NDIS website, </w:t>
      </w:r>
      <w:hyperlink r:id="rId45" w:history="1">
        <w:r>
          <w:rPr>
            <w:rStyle w:val="Hyperlink"/>
          </w:rPr>
          <w:t>https://www.ndis.gov.au/providers/price-guides-and-pricing</w:t>
        </w:r>
      </w:hyperlink>
      <w:r>
        <w:t xml:space="preserve">, accessed 24 May 2020; Fair Work Ombudsman website, </w:t>
      </w:r>
      <w:hyperlink r:id="rId46" w:history="1">
        <w:r>
          <w:rPr>
            <w:rStyle w:val="Hyperlink"/>
          </w:rPr>
          <w:t>https://www.fairwork.gov.au/how-we-will-help/templates-and-guides/fact-sheets/minimum-workplace-entitlements/minimum-wages</w:t>
        </w:r>
      </w:hyperlink>
      <w:r>
        <w:t>, accessed 24 May 2020.</w:t>
      </w:r>
    </w:p>
    <w:p w:rsidR="007C6A5F" w:rsidRDefault="007C6A5F" w:rsidP="007C6A5F">
      <w:pPr>
        <w:pStyle w:val="Heading7"/>
        <w:numPr>
          <w:ilvl w:val="6"/>
          <w:numId w:val="5"/>
        </w:numPr>
        <w:rPr>
          <w:lang w:bidi="fa-IR"/>
        </w:rPr>
      </w:pPr>
      <w:r>
        <w:rPr>
          <w:lang w:bidi="fa-IR"/>
        </w:rPr>
        <w:t>How many people require additional care due to inaccessible housing?</w:t>
      </w:r>
    </w:p>
    <w:p w:rsidR="007C6A5F" w:rsidRDefault="007C6A5F" w:rsidP="007C6A5F">
      <w:pPr>
        <w:pStyle w:val="BodyText"/>
        <w:rPr>
          <w:lang w:bidi="fa-IR"/>
        </w:rPr>
      </w:pPr>
      <w:r>
        <w:rPr>
          <w:lang w:bidi="fa-IR"/>
        </w:rPr>
        <w:t>As noted above, the SDAC survey does not explicitly identify whether dwellings have relevant accessibility features. Nevertheless, we can infer the relevant population based on their response to various survey questions.</w:t>
      </w:r>
    </w:p>
    <w:p w:rsidR="007C6A5F" w:rsidRDefault="007C6A5F" w:rsidP="007C6A5F">
      <w:pPr>
        <w:pStyle w:val="BodyText"/>
        <w:rPr>
          <w:lang w:bidi="fa-IR"/>
        </w:rPr>
      </w:pPr>
      <w:r>
        <w:rPr>
          <w:lang w:bidi="fa-IR"/>
        </w:rPr>
        <w:t>The SDAC survey reports whether people receive a range of different types of assistance, including, assistance with:</w:t>
      </w:r>
    </w:p>
    <w:p w:rsidR="007C6A5F" w:rsidRDefault="007C6A5F" w:rsidP="005A6F87">
      <w:pPr>
        <w:pStyle w:val="ListBullet"/>
        <w:numPr>
          <w:ilvl w:val="0"/>
          <w:numId w:val="17"/>
        </w:numPr>
        <w:rPr>
          <w:lang w:bidi="fa-IR"/>
        </w:rPr>
      </w:pPr>
      <w:r>
        <w:rPr>
          <w:lang w:bidi="fa-IR"/>
        </w:rPr>
        <w:t>cognitive and emotional</w:t>
      </w:r>
    </w:p>
    <w:p w:rsidR="007C6A5F" w:rsidRDefault="007C6A5F" w:rsidP="005A6F87">
      <w:pPr>
        <w:pStyle w:val="ListBullet"/>
        <w:numPr>
          <w:ilvl w:val="0"/>
          <w:numId w:val="17"/>
        </w:numPr>
        <w:rPr>
          <w:lang w:bidi="fa-IR"/>
        </w:rPr>
      </w:pPr>
      <w:r>
        <w:rPr>
          <w:lang w:bidi="fa-IR"/>
        </w:rPr>
        <w:t>communications</w:t>
      </w:r>
    </w:p>
    <w:p w:rsidR="007C6A5F" w:rsidRDefault="007C6A5F" w:rsidP="005A6F87">
      <w:pPr>
        <w:pStyle w:val="ListBullet"/>
        <w:numPr>
          <w:ilvl w:val="0"/>
          <w:numId w:val="17"/>
        </w:numPr>
        <w:rPr>
          <w:lang w:bidi="fa-IR"/>
        </w:rPr>
      </w:pPr>
      <w:r>
        <w:rPr>
          <w:lang w:bidi="fa-IR"/>
        </w:rPr>
        <w:t>health care</w:t>
      </w:r>
    </w:p>
    <w:p w:rsidR="007C6A5F" w:rsidRDefault="007C6A5F" w:rsidP="005A6F87">
      <w:pPr>
        <w:pStyle w:val="ListBullet"/>
        <w:numPr>
          <w:ilvl w:val="0"/>
          <w:numId w:val="17"/>
        </w:numPr>
        <w:rPr>
          <w:lang w:bidi="fa-IR"/>
        </w:rPr>
      </w:pPr>
      <w:r>
        <w:rPr>
          <w:lang w:bidi="fa-IR"/>
        </w:rPr>
        <w:t>household chores</w:t>
      </w:r>
    </w:p>
    <w:p w:rsidR="007C6A5F" w:rsidRDefault="007C6A5F" w:rsidP="005A6F87">
      <w:pPr>
        <w:pStyle w:val="ListBullet"/>
        <w:numPr>
          <w:ilvl w:val="0"/>
          <w:numId w:val="17"/>
        </w:numPr>
        <w:rPr>
          <w:lang w:bidi="fa-IR"/>
        </w:rPr>
      </w:pPr>
      <w:r>
        <w:rPr>
          <w:lang w:bidi="fa-IR"/>
        </w:rPr>
        <w:t>meal preparation</w:t>
      </w:r>
    </w:p>
    <w:p w:rsidR="007C6A5F" w:rsidRDefault="007C6A5F" w:rsidP="005A6F87">
      <w:pPr>
        <w:pStyle w:val="ListBullet"/>
        <w:numPr>
          <w:ilvl w:val="0"/>
          <w:numId w:val="17"/>
        </w:numPr>
        <w:rPr>
          <w:lang w:bidi="fa-IR"/>
        </w:rPr>
      </w:pPr>
      <w:r>
        <w:rPr>
          <w:lang w:bidi="fa-IR"/>
        </w:rPr>
        <w:lastRenderedPageBreak/>
        <w:t>mobility</w:t>
      </w:r>
    </w:p>
    <w:p w:rsidR="007C6A5F" w:rsidRDefault="007C6A5F" w:rsidP="005A6F87">
      <w:pPr>
        <w:pStyle w:val="ListBullet"/>
        <w:numPr>
          <w:ilvl w:val="0"/>
          <w:numId w:val="17"/>
        </w:numPr>
        <w:rPr>
          <w:lang w:bidi="fa-IR"/>
        </w:rPr>
      </w:pPr>
      <w:r>
        <w:rPr>
          <w:lang w:bidi="fa-IR"/>
        </w:rPr>
        <w:t>property maintenance</w:t>
      </w:r>
    </w:p>
    <w:p w:rsidR="007C6A5F" w:rsidRDefault="007C6A5F" w:rsidP="005A6F87">
      <w:pPr>
        <w:pStyle w:val="ListBullet"/>
        <w:numPr>
          <w:ilvl w:val="0"/>
          <w:numId w:val="17"/>
        </w:numPr>
        <w:rPr>
          <w:lang w:bidi="fa-IR"/>
        </w:rPr>
      </w:pPr>
      <w:r>
        <w:rPr>
          <w:lang w:bidi="fa-IR"/>
        </w:rPr>
        <w:t>reading and writing</w:t>
      </w:r>
    </w:p>
    <w:p w:rsidR="007C6A5F" w:rsidRDefault="007C6A5F" w:rsidP="005A6F87">
      <w:pPr>
        <w:pStyle w:val="ListBullet"/>
        <w:numPr>
          <w:ilvl w:val="0"/>
          <w:numId w:val="17"/>
        </w:numPr>
        <w:rPr>
          <w:lang w:bidi="fa-IR"/>
        </w:rPr>
      </w:pPr>
      <w:r>
        <w:rPr>
          <w:lang w:bidi="fa-IR"/>
        </w:rPr>
        <w:t>self-care</w:t>
      </w:r>
    </w:p>
    <w:p w:rsidR="007C6A5F" w:rsidRDefault="007C6A5F" w:rsidP="005A6F87">
      <w:pPr>
        <w:pStyle w:val="ListBullet"/>
        <w:numPr>
          <w:ilvl w:val="0"/>
          <w:numId w:val="17"/>
        </w:numPr>
        <w:rPr>
          <w:lang w:bidi="fa-IR"/>
        </w:rPr>
      </w:pPr>
      <w:r>
        <w:rPr>
          <w:lang w:bidi="fa-IR"/>
        </w:rPr>
        <w:t>transport.</w:t>
      </w:r>
    </w:p>
    <w:p w:rsidR="007C6A5F" w:rsidRDefault="007C6A5F" w:rsidP="007C6A5F">
      <w:pPr>
        <w:pStyle w:val="BodyText"/>
        <w:rPr>
          <w:lang w:bidi="fa-IR"/>
        </w:rPr>
      </w:pPr>
      <w:r>
        <w:rPr>
          <w:lang w:bidi="fa-IR"/>
        </w:rPr>
        <w:t>The need for assistance (and the amount of assistance received) for many of these tasks is likely to be unrelated to the accessibility features of the home. We therefore assume that the people most likely to be receiving additional assistance/care due to living in housing that lacks accessibility features are those with a mobility limitation living in households, who received assistance with mobility tasks.</w:t>
      </w:r>
    </w:p>
    <w:p w:rsidR="007C6A5F" w:rsidRPr="00C8624F" w:rsidRDefault="007C6A5F" w:rsidP="007C6A5F">
      <w:pPr>
        <w:pStyle w:val="BodyText"/>
        <w:rPr>
          <w:lang w:bidi="fa-IR"/>
        </w:rPr>
      </w:pPr>
      <w:r>
        <w:rPr>
          <w:lang w:bidi="fa-IR"/>
        </w:rPr>
        <w:t xml:space="preserve">We also exclude those living in housing that has already been modified due to disability or age (implicitly this assumes that modified housing </w:t>
      </w:r>
      <w:r w:rsidR="003F7020">
        <w:rPr>
          <w:lang w:bidi="fa-IR"/>
        </w:rPr>
        <w:t>is</w:t>
      </w:r>
      <w:r>
        <w:rPr>
          <w:lang w:bidi="fa-IR"/>
        </w:rPr>
        <w:t xml:space="preserve"> already accessible).</w:t>
      </w:r>
    </w:p>
    <w:p w:rsidR="007C6A5F" w:rsidRDefault="007C6A5F" w:rsidP="007C6A5F">
      <w:pPr>
        <w:pStyle w:val="BodyText"/>
        <w:rPr>
          <w:lang w:bidi="fa-IR"/>
        </w:rPr>
      </w:pPr>
      <w:r>
        <w:rPr>
          <w:lang w:bidi="fa-IR"/>
        </w:rPr>
        <w:t>Furthermore, not all assistance with mobility tasks occur in the home. For example, some people require assistance with mobility away from the home. We therefore include only the proportion that indicated they need assistance moving around the place of residence (either always or sometimes). A significant number of people who either: ‘do not need assistance moving around the place of residence, but have difficulty’ or ‘has no difficulty moving around the place of residence’ also receive assistance with mobility tasks. However, the assistance received mostly relates to mobility away from home. It is therefore less likely that an accessible home would significantly reduce the amount of assistance these people receive.</w:t>
      </w:r>
    </w:p>
    <w:p w:rsidR="007C6A5F" w:rsidRDefault="007C6A5F" w:rsidP="007C6A5F">
      <w:pPr>
        <w:pStyle w:val="BodyText"/>
        <w:rPr>
          <w:lang w:bidi="fa-IR"/>
        </w:rPr>
      </w:pPr>
      <w:r>
        <w:rPr>
          <w:lang w:bidi="fa-IR"/>
        </w:rPr>
        <w:t>The SDAC survey also provides information on how frequently assistance with mobility tasks is received. We exclude people who receive assistance with mobility tasks less than once per week; it is less likely that an accessible home environment would significantly reduce the amount of assistance received by those that currently receive little assistance.</w:t>
      </w:r>
    </w:p>
    <w:p w:rsidR="007C6A5F" w:rsidRDefault="007C6A5F" w:rsidP="007C6A5F">
      <w:pPr>
        <w:pStyle w:val="Heading8"/>
        <w:numPr>
          <w:ilvl w:val="7"/>
          <w:numId w:val="5"/>
        </w:numPr>
        <w:rPr>
          <w:lang w:bidi="fa-IR"/>
        </w:rPr>
      </w:pPr>
      <w:r>
        <w:rPr>
          <w:lang w:bidi="fa-IR"/>
        </w:rPr>
        <w:t>Informal care</w:t>
      </w:r>
    </w:p>
    <w:p w:rsidR="007C6A5F" w:rsidRDefault="007C6A5F" w:rsidP="007C6A5F">
      <w:pPr>
        <w:pStyle w:val="BodyText"/>
        <w:rPr>
          <w:lang w:bidi="fa-IR"/>
        </w:rPr>
      </w:pPr>
      <w:r>
        <w:rPr>
          <w:lang w:bidi="fa-IR"/>
        </w:rPr>
        <w:t>Based on the parameters outlined above, SDAC data suggests that there could be around 111 500 people receiving additional informal assistance (i.e. informal assistance that potentially would not otherwise be needed) due to their dwelling not meeting their accessibility needs (table B.4).</w:t>
      </w:r>
    </w:p>
    <w:p w:rsidR="007C6A5F" w:rsidRDefault="007C6A5F" w:rsidP="007C6A5F">
      <w:pPr>
        <w:pStyle w:val="Caption"/>
        <w:ind w:left="568" w:hanging="568"/>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B</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B</w:instrText>
      </w:r>
      <w:r>
        <w:rPr>
          <w:noProof/>
        </w:rPr>
        <w:fldChar w:fldCharType="end"/>
      </w:r>
      <w:r w:rsidRPr="00695C93">
        <w:instrText xml:space="preserve">." </w:instrText>
      </w:r>
      <w:r w:rsidRPr="00695C93">
        <w:fldChar w:fldCharType="separate"/>
      </w:r>
      <w:r>
        <w:rPr>
          <w:noProof/>
        </w:rPr>
        <w:instrText>B</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B</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4</w:instrText>
      </w:r>
      <w:r w:rsidRPr="00695C93">
        <w:fldChar w:fldCharType="end"/>
      </w:r>
      <w:r w:rsidRPr="00695C93">
        <w:instrText xml:space="preserve">" "" </w:instrText>
      </w:r>
      <w:r w:rsidRPr="00695C93">
        <w:fldChar w:fldCharType="separate"/>
      </w:r>
      <w:bookmarkStart w:id="6546" w:name="_Caption8431"/>
      <w:bookmarkStart w:id="6547" w:name="_Caption1270"/>
      <w:bookmarkStart w:id="6548" w:name="_Caption6854"/>
      <w:bookmarkStart w:id="6549" w:name="_Caption7510"/>
      <w:bookmarkStart w:id="6550" w:name="_Toc44598577"/>
      <w:bookmarkStart w:id="6551" w:name="_Toc45654208"/>
      <w:r w:rsidR="00272AF3">
        <w:rPr>
          <w:noProof/>
        </w:rPr>
        <w:t>B</w:t>
      </w:r>
      <w:r w:rsidR="00272AF3" w:rsidRPr="00695C93">
        <w:rPr>
          <w:noProof/>
        </w:rPr>
        <w:t>.</w:t>
      </w:r>
      <w:r w:rsidR="00272AF3">
        <w:rPr>
          <w:noProof/>
        </w:rPr>
        <w:t>4</w:t>
      </w:r>
      <w:bookmarkEnd w:id="6546"/>
      <w:bookmarkEnd w:id="6547"/>
      <w:bookmarkEnd w:id="6548"/>
      <w:bookmarkEnd w:id="6549"/>
      <w:r w:rsidRPr="00695C93">
        <w:fldChar w:fldCharType="end"/>
      </w:r>
      <w:r w:rsidRPr="00695C93">
        <w:tab/>
      </w:r>
      <w:r>
        <w:t>Number of people receiving additional informal care due to inaccessible housing</w:t>
      </w:r>
      <w:bookmarkEnd w:id="6550"/>
      <w:bookmarkEnd w:id="6551"/>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B.4"/>
        <w:tblDescription w:val="Number of people receiving additional informal care due to inaccessible housing"/>
      </w:tblPr>
      <w:tblGrid>
        <w:gridCol w:w="3033"/>
        <w:gridCol w:w="1635"/>
        <w:gridCol w:w="1995"/>
        <w:gridCol w:w="1275"/>
      </w:tblGrid>
      <w:tr w:rsidR="007C6A5F" w:rsidTr="006D6FC1">
        <w:trPr>
          <w:trHeight w:val="691"/>
          <w:tblHeader/>
        </w:trPr>
        <w:tc>
          <w:tcPr>
            <w:tcW w:w="3033" w:type="dxa"/>
            <w:shd w:val="clear" w:color="auto" w:fill="6F6652" w:themeFill="accent5"/>
          </w:tcPr>
          <w:p w:rsidR="007C6A5F" w:rsidRDefault="007C6A5F" w:rsidP="00C36DA4">
            <w:pPr>
              <w:pStyle w:val="TableDataColumnHeading"/>
              <w:jc w:val="left"/>
              <w:rPr>
                <w:lang w:val="en-GB"/>
              </w:rPr>
            </w:pPr>
            <w:r>
              <w:rPr>
                <w:lang w:val="en-GB"/>
              </w:rPr>
              <w:t>Frequency of informal assistance</w:t>
            </w:r>
          </w:p>
        </w:tc>
        <w:tc>
          <w:tcPr>
            <w:tcW w:w="1635" w:type="dxa"/>
            <w:shd w:val="clear" w:color="auto" w:fill="6F6652" w:themeFill="accent5"/>
          </w:tcPr>
          <w:p w:rsidR="007C6A5F" w:rsidRDefault="007C6A5F" w:rsidP="00C36DA4">
            <w:pPr>
              <w:pStyle w:val="TableDataColumnHeading"/>
              <w:rPr>
                <w:lang w:val="en-GB"/>
              </w:rPr>
            </w:pPr>
            <w:r>
              <w:rPr>
                <w:lang w:val="en-GB"/>
              </w:rPr>
              <w:t>Receives informal assistance only</w:t>
            </w:r>
          </w:p>
          <w:p w:rsidR="000D6D12" w:rsidRDefault="000D6D12" w:rsidP="00C36DA4">
            <w:pPr>
              <w:pStyle w:val="TableDataColumnHeading"/>
              <w:rPr>
                <w:lang w:val="en-GB"/>
              </w:rPr>
            </w:pPr>
            <w:r>
              <w:rPr>
                <w:lang w:val="en-GB"/>
              </w:rPr>
              <w:t>(‘000)</w:t>
            </w:r>
          </w:p>
        </w:tc>
        <w:tc>
          <w:tcPr>
            <w:tcW w:w="1995" w:type="dxa"/>
            <w:shd w:val="clear" w:color="auto" w:fill="6F6652" w:themeFill="accent5"/>
          </w:tcPr>
          <w:p w:rsidR="007C6A5F" w:rsidRDefault="007C6A5F" w:rsidP="00C36DA4">
            <w:pPr>
              <w:pStyle w:val="TableDataColumnHeading"/>
              <w:rPr>
                <w:lang w:val="en-GB"/>
              </w:rPr>
            </w:pPr>
            <w:r>
              <w:rPr>
                <w:lang w:val="en-GB"/>
              </w:rPr>
              <w:t>Receives formal and informal assistance</w:t>
            </w:r>
          </w:p>
          <w:p w:rsidR="000D6D12" w:rsidRDefault="000D6D12" w:rsidP="00C36DA4">
            <w:pPr>
              <w:pStyle w:val="TableDataColumnHeading"/>
              <w:rPr>
                <w:lang w:val="en-GB"/>
              </w:rPr>
            </w:pPr>
            <w:r>
              <w:rPr>
                <w:lang w:val="en-GB"/>
              </w:rPr>
              <w:t>(‘000)</w:t>
            </w:r>
          </w:p>
        </w:tc>
        <w:tc>
          <w:tcPr>
            <w:tcW w:w="1275" w:type="dxa"/>
            <w:shd w:val="clear" w:color="auto" w:fill="6F6652" w:themeFill="accent5"/>
          </w:tcPr>
          <w:p w:rsidR="007C6A5F" w:rsidRDefault="007C6A5F" w:rsidP="000D6D12">
            <w:pPr>
              <w:pStyle w:val="TableDataColumnHeading"/>
              <w:spacing w:after="0"/>
              <w:rPr>
                <w:lang w:val="en-GB"/>
              </w:rPr>
            </w:pPr>
            <w:r>
              <w:rPr>
                <w:lang w:val="en-GB"/>
              </w:rPr>
              <w:t>Total</w:t>
            </w:r>
          </w:p>
          <w:p w:rsidR="000D6D12" w:rsidRDefault="000D6D12" w:rsidP="000D6D12">
            <w:pPr>
              <w:pStyle w:val="TableDataColumnHeading"/>
              <w:spacing w:before="0" w:after="0"/>
              <w:rPr>
                <w:lang w:val="en-GB"/>
              </w:rPr>
            </w:pPr>
          </w:p>
          <w:p w:rsidR="000D6D12" w:rsidRDefault="000D6D12" w:rsidP="00C36DA4">
            <w:pPr>
              <w:pStyle w:val="TableDataColumnHeading"/>
              <w:rPr>
                <w:lang w:val="en-GB"/>
              </w:rPr>
            </w:pPr>
            <w:r>
              <w:rPr>
                <w:lang w:val="en-GB"/>
              </w:rPr>
              <w:t>(‘000)</w:t>
            </w:r>
          </w:p>
        </w:tc>
      </w:tr>
      <w:tr w:rsidR="007C6A5F" w:rsidTr="000D6D12">
        <w:trPr>
          <w:trHeight w:val="230"/>
        </w:trPr>
        <w:tc>
          <w:tcPr>
            <w:tcW w:w="30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6 or more times a day</w:t>
            </w:r>
          </w:p>
        </w:tc>
        <w:tc>
          <w:tcPr>
            <w:tcW w:w="16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28.7</w:t>
            </w:r>
          </w:p>
        </w:tc>
        <w:tc>
          <w:tcPr>
            <w:tcW w:w="199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7.5</w:t>
            </w:r>
          </w:p>
        </w:tc>
        <w:tc>
          <w:tcPr>
            <w:tcW w:w="127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33.3</w:t>
            </w:r>
          </w:p>
        </w:tc>
      </w:tr>
      <w:tr w:rsidR="007C6A5F" w:rsidTr="000D6D12">
        <w:trPr>
          <w:trHeight w:val="230"/>
        </w:trPr>
        <w:tc>
          <w:tcPr>
            <w:tcW w:w="30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3 to 5 times a day</w:t>
            </w:r>
          </w:p>
        </w:tc>
        <w:tc>
          <w:tcPr>
            <w:tcW w:w="16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25.4</w:t>
            </w:r>
          </w:p>
        </w:tc>
        <w:tc>
          <w:tcPr>
            <w:tcW w:w="199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4.6</w:t>
            </w:r>
          </w:p>
        </w:tc>
        <w:tc>
          <w:tcPr>
            <w:tcW w:w="127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30.0</w:t>
            </w:r>
          </w:p>
        </w:tc>
      </w:tr>
      <w:tr w:rsidR="007C6A5F" w:rsidTr="000D6D12">
        <w:trPr>
          <w:trHeight w:val="230"/>
        </w:trPr>
        <w:tc>
          <w:tcPr>
            <w:tcW w:w="30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Twice a day</w:t>
            </w:r>
          </w:p>
        </w:tc>
        <w:tc>
          <w:tcPr>
            <w:tcW w:w="16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12.5</w:t>
            </w:r>
          </w:p>
        </w:tc>
        <w:tc>
          <w:tcPr>
            <w:tcW w:w="199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0.0</w:t>
            </w:r>
          </w:p>
        </w:tc>
        <w:tc>
          <w:tcPr>
            <w:tcW w:w="127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11.4</w:t>
            </w:r>
          </w:p>
        </w:tc>
      </w:tr>
      <w:tr w:rsidR="007C6A5F" w:rsidTr="000D6D12">
        <w:trPr>
          <w:trHeight w:val="230"/>
        </w:trPr>
        <w:tc>
          <w:tcPr>
            <w:tcW w:w="30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Once a day</w:t>
            </w:r>
          </w:p>
        </w:tc>
        <w:tc>
          <w:tcPr>
            <w:tcW w:w="16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9.7</w:t>
            </w:r>
          </w:p>
        </w:tc>
        <w:tc>
          <w:tcPr>
            <w:tcW w:w="199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1.6</w:t>
            </w:r>
          </w:p>
        </w:tc>
        <w:tc>
          <w:tcPr>
            <w:tcW w:w="127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10.6</w:t>
            </w:r>
          </w:p>
        </w:tc>
      </w:tr>
      <w:tr w:rsidR="007C6A5F" w:rsidTr="000D6D12">
        <w:trPr>
          <w:trHeight w:val="230"/>
        </w:trPr>
        <w:tc>
          <w:tcPr>
            <w:tcW w:w="30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lastRenderedPageBreak/>
              <w:t>2 to 6 times a week</w:t>
            </w:r>
          </w:p>
        </w:tc>
        <w:tc>
          <w:tcPr>
            <w:tcW w:w="16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20.0</w:t>
            </w:r>
          </w:p>
        </w:tc>
        <w:tc>
          <w:tcPr>
            <w:tcW w:w="199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4.6</w:t>
            </w:r>
          </w:p>
        </w:tc>
        <w:tc>
          <w:tcPr>
            <w:tcW w:w="127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23.3</w:t>
            </w:r>
          </w:p>
        </w:tc>
      </w:tr>
      <w:tr w:rsidR="007C6A5F" w:rsidTr="000D6D12">
        <w:trPr>
          <w:trHeight w:val="230"/>
        </w:trPr>
        <w:tc>
          <w:tcPr>
            <w:tcW w:w="30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Once a week</w:t>
            </w:r>
          </w:p>
        </w:tc>
        <w:tc>
          <w:tcPr>
            <w:tcW w:w="16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3.4</w:t>
            </w:r>
          </w:p>
        </w:tc>
        <w:tc>
          <w:tcPr>
            <w:tcW w:w="199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0.0</w:t>
            </w:r>
          </w:p>
        </w:tc>
        <w:tc>
          <w:tcPr>
            <w:tcW w:w="127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5.6</w:t>
            </w:r>
          </w:p>
        </w:tc>
      </w:tr>
      <w:tr w:rsidR="007C6A5F" w:rsidRPr="00AB532E" w:rsidTr="000D6D12">
        <w:trPr>
          <w:trHeight w:val="230"/>
        </w:trPr>
        <w:tc>
          <w:tcPr>
            <w:tcW w:w="3033" w:type="dxa"/>
            <w:tcBorders>
              <w:top w:val="single" w:sz="8" w:space="0" w:color="FFFFFF" w:themeColor="background1"/>
              <w:bottom w:val="single" w:sz="4" w:space="0" w:color="6F6652" w:themeColor="accent5"/>
            </w:tcBorders>
            <w:shd w:val="clear" w:color="auto" w:fill="C2DADB" w:themeFill="accent6" w:themeFillTint="99"/>
          </w:tcPr>
          <w:p w:rsidR="007C6A5F" w:rsidRPr="00AB532E" w:rsidRDefault="007C6A5F" w:rsidP="00C36DA4">
            <w:pPr>
              <w:pStyle w:val="TableDataEntries"/>
              <w:jc w:val="left"/>
              <w:rPr>
                <w:rFonts w:ascii="Franklin Gothic Demi" w:hAnsi="Franklin Gothic Demi"/>
                <w:lang w:val="en-GB"/>
              </w:rPr>
            </w:pPr>
            <w:r w:rsidRPr="00AB532E">
              <w:rPr>
                <w:rFonts w:ascii="Franklin Gothic Demi" w:hAnsi="Franklin Gothic Demi"/>
                <w:lang w:val="en-GB"/>
              </w:rPr>
              <w:t>Total</w:t>
            </w:r>
          </w:p>
        </w:tc>
        <w:tc>
          <w:tcPr>
            <w:tcW w:w="1635" w:type="dxa"/>
            <w:tcBorders>
              <w:top w:val="single" w:sz="8" w:space="0" w:color="FFFFFF" w:themeColor="background1"/>
              <w:bottom w:val="single" w:sz="4" w:space="0" w:color="6F6652" w:themeColor="accent5"/>
            </w:tcBorders>
            <w:shd w:val="clear" w:color="auto" w:fill="C2DADB" w:themeFill="accent6" w:themeFillTint="99"/>
          </w:tcPr>
          <w:p w:rsidR="007C6A5F" w:rsidRPr="00AB532E" w:rsidRDefault="007C6A5F" w:rsidP="00C36DA4">
            <w:pPr>
              <w:pStyle w:val="TableDataEntries"/>
              <w:rPr>
                <w:rFonts w:ascii="Franklin Gothic Demi" w:hAnsi="Franklin Gothic Demi"/>
                <w:lang w:val="en-GB"/>
              </w:rPr>
            </w:pPr>
            <w:r w:rsidRPr="00AB532E">
              <w:rPr>
                <w:rFonts w:ascii="Franklin Gothic Demi" w:hAnsi="Franklin Gothic Demi"/>
                <w:lang w:val="en-GB"/>
              </w:rPr>
              <w:t xml:space="preserve"> 96.1</w:t>
            </w:r>
          </w:p>
        </w:tc>
        <w:tc>
          <w:tcPr>
            <w:tcW w:w="1995" w:type="dxa"/>
            <w:tcBorders>
              <w:top w:val="single" w:sz="8" w:space="0" w:color="FFFFFF" w:themeColor="background1"/>
              <w:bottom w:val="single" w:sz="4" w:space="0" w:color="6F6652" w:themeColor="accent5"/>
            </w:tcBorders>
            <w:shd w:val="clear" w:color="auto" w:fill="C2DADB" w:themeFill="accent6" w:themeFillTint="99"/>
          </w:tcPr>
          <w:p w:rsidR="007C6A5F" w:rsidRPr="00AB532E" w:rsidRDefault="007C6A5F" w:rsidP="00C36DA4">
            <w:pPr>
              <w:pStyle w:val="TableDataEntries"/>
              <w:rPr>
                <w:rFonts w:ascii="Franklin Gothic Demi" w:hAnsi="Franklin Gothic Demi"/>
                <w:lang w:val="en-GB"/>
              </w:rPr>
            </w:pPr>
            <w:r w:rsidRPr="00AB532E">
              <w:rPr>
                <w:rFonts w:ascii="Franklin Gothic Demi" w:hAnsi="Franklin Gothic Demi"/>
                <w:lang w:val="en-GB"/>
              </w:rPr>
              <w:t xml:space="preserve"> 19.4</w:t>
            </w:r>
          </w:p>
        </w:tc>
        <w:tc>
          <w:tcPr>
            <w:tcW w:w="1275" w:type="dxa"/>
            <w:tcBorders>
              <w:top w:val="single" w:sz="8" w:space="0" w:color="FFFFFF" w:themeColor="background1"/>
              <w:bottom w:val="single" w:sz="4" w:space="0" w:color="6F6652" w:themeColor="accent5"/>
            </w:tcBorders>
            <w:shd w:val="clear" w:color="auto" w:fill="C2DADB" w:themeFill="accent6" w:themeFillTint="99"/>
          </w:tcPr>
          <w:p w:rsidR="007C6A5F" w:rsidRPr="00AB532E" w:rsidRDefault="007C6A5F" w:rsidP="00C36DA4">
            <w:pPr>
              <w:pStyle w:val="TableDataEntries"/>
              <w:rPr>
                <w:rFonts w:ascii="Franklin Gothic Demi" w:hAnsi="Franklin Gothic Demi"/>
                <w:lang w:val="en-GB"/>
              </w:rPr>
            </w:pPr>
            <w:r w:rsidRPr="00AB532E">
              <w:rPr>
                <w:rFonts w:ascii="Franklin Gothic Demi" w:hAnsi="Franklin Gothic Demi"/>
                <w:lang w:val="en-GB"/>
              </w:rPr>
              <w:t xml:space="preserve"> 111.5</w:t>
            </w:r>
          </w:p>
        </w:tc>
      </w:tr>
    </w:tbl>
    <w:p w:rsidR="007C6A5F" w:rsidRDefault="007C6A5F" w:rsidP="007C6A5F">
      <w:pPr>
        <w:pStyle w:val="Source"/>
        <w:rPr>
          <w:lang w:bidi="fa-IR"/>
        </w:rPr>
      </w:pPr>
      <w:r w:rsidRPr="0065558D">
        <w:rPr>
          <w:i/>
          <w:lang w:bidi="fa-IR"/>
        </w:rPr>
        <w:t>Source:</w:t>
      </w:r>
      <w:r>
        <w:rPr>
          <w:lang w:bidi="fa-IR"/>
        </w:rPr>
        <w:t xml:space="preserve"> CIE based on ABS, 2018 Survey of Disabilities, Ageing and Carers, TableBuilder.</w:t>
      </w:r>
    </w:p>
    <w:p w:rsidR="007C6A5F" w:rsidRDefault="007C6A5F" w:rsidP="007C6A5F">
      <w:pPr>
        <w:pStyle w:val="Heading8"/>
        <w:numPr>
          <w:ilvl w:val="7"/>
          <w:numId w:val="5"/>
        </w:numPr>
        <w:rPr>
          <w:lang w:bidi="fa-IR"/>
        </w:rPr>
      </w:pPr>
      <w:r>
        <w:rPr>
          <w:lang w:bidi="fa-IR"/>
        </w:rPr>
        <w:t>Formal care</w:t>
      </w:r>
    </w:p>
    <w:p w:rsidR="007C6A5F" w:rsidRDefault="007C6A5F" w:rsidP="007C6A5F">
      <w:pPr>
        <w:pStyle w:val="BodyText"/>
        <w:rPr>
          <w:lang w:bidi="fa-IR"/>
        </w:rPr>
      </w:pPr>
      <w:r>
        <w:rPr>
          <w:lang w:bidi="fa-IR"/>
        </w:rPr>
        <w:t>SDAC data suggests that around 21 300 people could be receiving additional formal care as a result of living in inaccessible housing (based on the parameters outlined above) (table </w:t>
      </w:r>
      <w:r w:rsidRPr="00C056D2">
        <w:rPr>
          <w:lang w:bidi="fa-IR"/>
        </w:rPr>
        <w:t>B.5</w:t>
      </w:r>
      <w:r>
        <w:rPr>
          <w:lang w:bidi="fa-IR"/>
        </w:rPr>
        <w:t>).</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B</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B</w:instrText>
      </w:r>
      <w:r>
        <w:rPr>
          <w:noProof/>
        </w:rPr>
        <w:fldChar w:fldCharType="end"/>
      </w:r>
      <w:r w:rsidRPr="00695C93">
        <w:instrText xml:space="preserve">." </w:instrText>
      </w:r>
      <w:r w:rsidRPr="00695C93">
        <w:fldChar w:fldCharType="separate"/>
      </w:r>
      <w:r>
        <w:rPr>
          <w:noProof/>
        </w:rPr>
        <w:instrText>B</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B</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5</w:instrText>
      </w:r>
      <w:r w:rsidRPr="00695C93">
        <w:fldChar w:fldCharType="end"/>
      </w:r>
      <w:r w:rsidRPr="00695C93">
        <w:instrText xml:space="preserve">" "" </w:instrText>
      </w:r>
      <w:r w:rsidRPr="00695C93">
        <w:fldChar w:fldCharType="separate"/>
      </w:r>
      <w:bookmarkStart w:id="6552" w:name="_Caption1330"/>
      <w:bookmarkStart w:id="6553" w:name="_Caption2003"/>
      <w:bookmarkStart w:id="6554" w:name="_Caption1938"/>
      <w:bookmarkStart w:id="6555" w:name="_Caption5919"/>
      <w:bookmarkStart w:id="6556" w:name="_Toc44598578"/>
      <w:bookmarkStart w:id="6557" w:name="_Toc45654209"/>
      <w:r w:rsidR="00272AF3">
        <w:rPr>
          <w:noProof/>
        </w:rPr>
        <w:t>B</w:t>
      </w:r>
      <w:r w:rsidR="00272AF3" w:rsidRPr="00695C93">
        <w:rPr>
          <w:noProof/>
        </w:rPr>
        <w:t>.</w:t>
      </w:r>
      <w:r w:rsidR="00272AF3">
        <w:rPr>
          <w:noProof/>
        </w:rPr>
        <w:t>5</w:t>
      </w:r>
      <w:bookmarkEnd w:id="6552"/>
      <w:bookmarkEnd w:id="6553"/>
      <w:bookmarkEnd w:id="6554"/>
      <w:bookmarkEnd w:id="6555"/>
      <w:r w:rsidRPr="00695C93">
        <w:fldChar w:fldCharType="end"/>
      </w:r>
      <w:r w:rsidRPr="00695C93">
        <w:tab/>
      </w:r>
      <w:r>
        <w:t>Number of people receiving additional formal care due to inaccessible housing</w:t>
      </w:r>
      <w:bookmarkEnd w:id="6556"/>
      <w:bookmarkEnd w:id="6557"/>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B.5"/>
        <w:tblDescription w:val="Number of people receiving additional formal care due to inaccessible housing"/>
      </w:tblPr>
      <w:tblGrid>
        <w:gridCol w:w="3033"/>
        <w:gridCol w:w="1635"/>
        <w:gridCol w:w="1995"/>
        <w:gridCol w:w="1275"/>
      </w:tblGrid>
      <w:tr w:rsidR="007C6A5F" w:rsidTr="006D6FC1">
        <w:trPr>
          <w:trHeight w:val="691"/>
          <w:tblHeader/>
        </w:trPr>
        <w:tc>
          <w:tcPr>
            <w:tcW w:w="3033" w:type="dxa"/>
            <w:shd w:val="clear" w:color="auto" w:fill="6F6652" w:themeFill="accent5"/>
          </w:tcPr>
          <w:p w:rsidR="007C6A5F" w:rsidRDefault="007C6A5F" w:rsidP="00C36DA4">
            <w:pPr>
              <w:pStyle w:val="TableDataColumnHeading"/>
              <w:jc w:val="left"/>
              <w:rPr>
                <w:lang w:val="en-GB"/>
              </w:rPr>
            </w:pPr>
            <w:r>
              <w:rPr>
                <w:lang w:val="en-GB"/>
              </w:rPr>
              <w:t>Frequency of formal assistance</w:t>
            </w:r>
          </w:p>
        </w:tc>
        <w:tc>
          <w:tcPr>
            <w:tcW w:w="1635" w:type="dxa"/>
            <w:shd w:val="clear" w:color="auto" w:fill="6F6652" w:themeFill="accent5"/>
          </w:tcPr>
          <w:p w:rsidR="007C6A5F" w:rsidRDefault="007C6A5F" w:rsidP="00C36DA4">
            <w:pPr>
              <w:pStyle w:val="TableDataColumnHeading"/>
              <w:rPr>
                <w:lang w:val="en-GB"/>
              </w:rPr>
            </w:pPr>
            <w:r>
              <w:rPr>
                <w:lang w:val="en-GB"/>
              </w:rPr>
              <w:t>Receives formal assistance only</w:t>
            </w:r>
          </w:p>
          <w:p w:rsidR="000D6D12" w:rsidRDefault="000D6D12" w:rsidP="00C36DA4">
            <w:pPr>
              <w:pStyle w:val="TableDataColumnHeading"/>
              <w:rPr>
                <w:lang w:val="en-GB"/>
              </w:rPr>
            </w:pPr>
            <w:r>
              <w:rPr>
                <w:lang w:val="en-GB"/>
              </w:rPr>
              <w:t>(‘000)</w:t>
            </w:r>
          </w:p>
        </w:tc>
        <w:tc>
          <w:tcPr>
            <w:tcW w:w="1995" w:type="dxa"/>
            <w:shd w:val="clear" w:color="auto" w:fill="6F6652" w:themeFill="accent5"/>
          </w:tcPr>
          <w:p w:rsidR="007C6A5F" w:rsidRDefault="007C6A5F" w:rsidP="00C36DA4">
            <w:pPr>
              <w:pStyle w:val="TableDataColumnHeading"/>
              <w:rPr>
                <w:lang w:val="en-GB"/>
              </w:rPr>
            </w:pPr>
            <w:r>
              <w:rPr>
                <w:lang w:val="en-GB"/>
              </w:rPr>
              <w:t>Receives formal and informal assistance</w:t>
            </w:r>
          </w:p>
          <w:p w:rsidR="000D6D12" w:rsidRDefault="000D6D12" w:rsidP="00C36DA4">
            <w:pPr>
              <w:pStyle w:val="TableDataColumnHeading"/>
              <w:rPr>
                <w:lang w:val="en-GB"/>
              </w:rPr>
            </w:pPr>
            <w:r>
              <w:rPr>
                <w:lang w:val="en-GB"/>
              </w:rPr>
              <w:t>(‘000)</w:t>
            </w:r>
          </w:p>
        </w:tc>
        <w:tc>
          <w:tcPr>
            <w:tcW w:w="1275" w:type="dxa"/>
            <w:shd w:val="clear" w:color="auto" w:fill="6F6652" w:themeFill="accent5"/>
          </w:tcPr>
          <w:p w:rsidR="007C6A5F" w:rsidRDefault="007C6A5F" w:rsidP="000D6D12">
            <w:pPr>
              <w:pStyle w:val="TableDataColumnHeading"/>
              <w:spacing w:after="0"/>
              <w:rPr>
                <w:lang w:val="en-GB"/>
              </w:rPr>
            </w:pPr>
            <w:r>
              <w:rPr>
                <w:lang w:val="en-GB"/>
              </w:rPr>
              <w:t>Total</w:t>
            </w:r>
          </w:p>
          <w:p w:rsidR="000D6D12" w:rsidRDefault="000D6D12" w:rsidP="000D6D12">
            <w:pPr>
              <w:pStyle w:val="TableDataColumnHeading"/>
              <w:spacing w:before="0" w:after="0"/>
              <w:rPr>
                <w:lang w:val="en-GB"/>
              </w:rPr>
            </w:pPr>
          </w:p>
          <w:p w:rsidR="000D6D12" w:rsidRDefault="000D6D12" w:rsidP="00C36DA4">
            <w:pPr>
              <w:pStyle w:val="TableDataColumnHeading"/>
              <w:rPr>
                <w:lang w:val="en-GB"/>
              </w:rPr>
            </w:pPr>
            <w:r>
              <w:rPr>
                <w:lang w:val="en-GB"/>
              </w:rPr>
              <w:t>(‘000)</w:t>
            </w:r>
          </w:p>
        </w:tc>
      </w:tr>
      <w:tr w:rsidR="007C6A5F" w:rsidTr="000D6D12">
        <w:trPr>
          <w:trHeight w:val="230"/>
        </w:trPr>
        <w:tc>
          <w:tcPr>
            <w:tcW w:w="30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6 or more times a day</w:t>
            </w:r>
          </w:p>
        </w:tc>
        <w:tc>
          <w:tcPr>
            <w:tcW w:w="1635"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1.4</w:t>
            </w:r>
          </w:p>
        </w:tc>
        <w:tc>
          <w:tcPr>
            <w:tcW w:w="1995"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2.2</w:t>
            </w:r>
          </w:p>
        </w:tc>
        <w:tc>
          <w:tcPr>
            <w:tcW w:w="1275"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3.5</w:t>
            </w:r>
          </w:p>
        </w:tc>
      </w:tr>
      <w:tr w:rsidR="007C6A5F" w:rsidTr="000D6D12">
        <w:trPr>
          <w:trHeight w:val="230"/>
        </w:trPr>
        <w:tc>
          <w:tcPr>
            <w:tcW w:w="30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3 to 5 times a day</w:t>
            </w:r>
          </w:p>
        </w:tc>
        <w:tc>
          <w:tcPr>
            <w:tcW w:w="1635"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0</w:t>
            </w:r>
          </w:p>
        </w:tc>
        <w:tc>
          <w:tcPr>
            <w:tcW w:w="1995"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1.2</w:t>
            </w:r>
          </w:p>
        </w:tc>
        <w:tc>
          <w:tcPr>
            <w:tcW w:w="1275"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1.2</w:t>
            </w:r>
          </w:p>
        </w:tc>
      </w:tr>
      <w:tr w:rsidR="007C6A5F" w:rsidTr="000D6D12">
        <w:trPr>
          <w:trHeight w:val="230"/>
        </w:trPr>
        <w:tc>
          <w:tcPr>
            <w:tcW w:w="30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Twice a day</w:t>
            </w:r>
          </w:p>
        </w:tc>
        <w:tc>
          <w:tcPr>
            <w:tcW w:w="1635"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0</w:t>
            </w:r>
          </w:p>
        </w:tc>
        <w:tc>
          <w:tcPr>
            <w:tcW w:w="1995"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0</w:t>
            </w:r>
          </w:p>
        </w:tc>
        <w:tc>
          <w:tcPr>
            <w:tcW w:w="1275"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0</w:t>
            </w:r>
          </w:p>
        </w:tc>
      </w:tr>
      <w:tr w:rsidR="007C6A5F" w:rsidTr="000D6D12">
        <w:trPr>
          <w:trHeight w:val="230"/>
        </w:trPr>
        <w:tc>
          <w:tcPr>
            <w:tcW w:w="30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Once a day</w:t>
            </w:r>
          </w:p>
        </w:tc>
        <w:tc>
          <w:tcPr>
            <w:tcW w:w="1635"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0</w:t>
            </w:r>
          </w:p>
        </w:tc>
        <w:tc>
          <w:tcPr>
            <w:tcW w:w="1995"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1.7</w:t>
            </w:r>
          </w:p>
        </w:tc>
        <w:tc>
          <w:tcPr>
            <w:tcW w:w="1275"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1.7</w:t>
            </w:r>
          </w:p>
        </w:tc>
      </w:tr>
      <w:tr w:rsidR="007C6A5F" w:rsidTr="000D6D12">
        <w:trPr>
          <w:trHeight w:val="230"/>
        </w:trPr>
        <w:tc>
          <w:tcPr>
            <w:tcW w:w="30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2 to 6 times a week</w:t>
            </w:r>
          </w:p>
        </w:tc>
        <w:tc>
          <w:tcPr>
            <w:tcW w:w="1635"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2.9</w:t>
            </w:r>
          </w:p>
        </w:tc>
        <w:tc>
          <w:tcPr>
            <w:tcW w:w="1995"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9</w:t>
            </w:r>
          </w:p>
        </w:tc>
        <w:tc>
          <w:tcPr>
            <w:tcW w:w="1275"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9.5</w:t>
            </w:r>
          </w:p>
        </w:tc>
      </w:tr>
      <w:tr w:rsidR="007C6A5F" w:rsidTr="000D6D12">
        <w:trPr>
          <w:trHeight w:val="230"/>
        </w:trPr>
        <w:tc>
          <w:tcPr>
            <w:tcW w:w="30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Once a week</w:t>
            </w:r>
          </w:p>
        </w:tc>
        <w:tc>
          <w:tcPr>
            <w:tcW w:w="1635"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1.4</w:t>
            </w:r>
          </w:p>
        </w:tc>
        <w:tc>
          <w:tcPr>
            <w:tcW w:w="1995"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1.3</w:t>
            </w:r>
          </w:p>
        </w:tc>
        <w:tc>
          <w:tcPr>
            <w:tcW w:w="1275" w:type="dxa"/>
            <w:tcBorders>
              <w:top w:val="single" w:sz="8" w:space="0" w:color="FFFFFF" w:themeColor="background1"/>
              <w:bottom w:val="single" w:sz="8" w:space="0" w:color="FFFFFF" w:themeColor="background1"/>
            </w:tcBorders>
            <w:shd w:val="clear" w:color="auto" w:fill="E9E8E5" w:themeFill="background2"/>
          </w:tcPr>
          <w:p w:rsidR="007C6A5F" w:rsidRPr="00F36A14" w:rsidRDefault="007C6A5F" w:rsidP="00C36DA4">
            <w:pPr>
              <w:pStyle w:val="TableDataEntries"/>
            </w:pPr>
            <w:r w:rsidRPr="00F36A14">
              <w:t>3.2</w:t>
            </w:r>
          </w:p>
        </w:tc>
      </w:tr>
      <w:tr w:rsidR="007C6A5F" w:rsidRPr="00801E43" w:rsidTr="000D6D12">
        <w:trPr>
          <w:trHeight w:val="230"/>
        </w:trPr>
        <w:tc>
          <w:tcPr>
            <w:tcW w:w="3033" w:type="dxa"/>
            <w:tcBorders>
              <w:top w:val="single" w:sz="8" w:space="0" w:color="FFFFFF" w:themeColor="background1"/>
              <w:bottom w:val="single" w:sz="4" w:space="0" w:color="6F6652" w:themeColor="accent5"/>
            </w:tcBorders>
            <w:shd w:val="clear" w:color="auto" w:fill="C2DADB" w:themeFill="accent6" w:themeFillTint="99"/>
          </w:tcPr>
          <w:p w:rsidR="007C6A5F" w:rsidRPr="00801E43" w:rsidRDefault="007C6A5F" w:rsidP="00C36DA4">
            <w:pPr>
              <w:pStyle w:val="TableDataEntries"/>
              <w:jc w:val="left"/>
              <w:rPr>
                <w:rFonts w:ascii="Franklin Gothic Demi" w:hAnsi="Franklin Gothic Demi"/>
                <w:lang w:val="en-GB"/>
              </w:rPr>
            </w:pPr>
            <w:r w:rsidRPr="00801E43">
              <w:rPr>
                <w:rFonts w:ascii="Franklin Gothic Demi" w:hAnsi="Franklin Gothic Demi"/>
                <w:lang w:val="en-GB"/>
              </w:rPr>
              <w:t>Total</w:t>
            </w:r>
          </w:p>
        </w:tc>
        <w:tc>
          <w:tcPr>
            <w:tcW w:w="1635" w:type="dxa"/>
            <w:tcBorders>
              <w:top w:val="single" w:sz="8" w:space="0" w:color="FFFFFF" w:themeColor="background1"/>
              <w:bottom w:val="single" w:sz="4" w:space="0" w:color="6F6652" w:themeColor="accent5"/>
            </w:tcBorders>
            <w:shd w:val="clear" w:color="auto" w:fill="C2DADB" w:themeFill="accent6" w:themeFillTint="99"/>
          </w:tcPr>
          <w:p w:rsidR="007C6A5F" w:rsidRPr="00F36A14" w:rsidRDefault="007C6A5F" w:rsidP="00C36DA4">
            <w:pPr>
              <w:pStyle w:val="TableDataEntries"/>
              <w:rPr>
                <w:rFonts w:ascii="Franklin Gothic Demi" w:hAnsi="Franklin Gothic Demi"/>
              </w:rPr>
            </w:pPr>
            <w:r w:rsidRPr="00F36A14">
              <w:rPr>
                <w:rFonts w:ascii="Franklin Gothic Demi" w:hAnsi="Franklin Gothic Demi"/>
              </w:rPr>
              <w:t>3.3</w:t>
            </w:r>
          </w:p>
        </w:tc>
        <w:tc>
          <w:tcPr>
            <w:tcW w:w="1995" w:type="dxa"/>
            <w:tcBorders>
              <w:top w:val="single" w:sz="8" w:space="0" w:color="FFFFFF" w:themeColor="background1"/>
              <w:bottom w:val="single" w:sz="4" w:space="0" w:color="6F6652" w:themeColor="accent5"/>
            </w:tcBorders>
            <w:shd w:val="clear" w:color="auto" w:fill="C2DADB" w:themeFill="accent6" w:themeFillTint="99"/>
          </w:tcPr>
          <w:p w:rsidR="007C6A5F" w:rsidRPr="00F36A14" w:rsidRDefault="007C6A5F" w:rsidP="00C36DA4">
            <w:pPr>
              <w:pStyle w:val="TableDataEntries"/>
              <w:rPr>
                <w:rFonts w:ascii="Franklin Gothic Demi" w:hAnsi="Franklin Gothic Demi"/>
              </w:rPr>
            </w:pPr>
            <w:r w:rsidRPr="00F36A14">
              <w:rPr>
                <w:rFonts w:ascii="Franklin Gothic Demi" w:hAnsi="Franklin Gothic Demi"/>
              </w:rPr>
              <w:t>15.8</w:t>
            </w:r>
          </w:p>
        </w:tc>
        <w:tc>
          <w:tcPr>
            <w:tcW w:w="1275" w:type="dxa"/>
            <w:tcBorders>
              <w:top w:val="single" w:sz="8" w:space="0" w:color="FFFFFF" w:themeColor="background1"/>
              <w:bottom w:val="single" w:sz="4" w:space="0" w:color="6F6652" w:themeColor="accent5"/>
            </w:tcBorders>
            <w:shd w:val="clear" w:color="auto" w:fill="C2DADB" w:themeFill="accent6" w:themeFillTint="99"/>
          </w:tcPr>
          <w:p w:rsidR="007C6A5F" w:rsidRPr="00F36A14" w:rsidRDefault="007C6A5F" w:rsidP="00C36DA4">
            <w:pPr>
              <w:pStyle w:val="TableDataEntries"/>
              <w:rPr>
                <w:rFonts w:ascii="Franklin Gothic Demi" w:hAnsi="Franklin Gothic Demi"/>
              </w:rPr>
            </w:pPr>
            <w:r w:rsidRPr="00F36A14">
              <w:rPr>
                <w:rFonts w:ascii="Franklin Gothic Demi" w:hAnsi="Franklin Gothic Demi"/>
              </w:rPr>
              <w:t>21.3</w:t>
            </w:r>
          </w:p>
        </w:tc>
      </w:tr>
    </w:tbl>
    <w:p w:rsidR="007C6A5F" w:rsidRDefault="007C6A5F" w:rsidP="007C6A5F">
      <w:pPr>
        <w:pStyle w:val="Source"/>
        <w:rPr>
          <w:lang w:bidi="fa-IR"/>
        </w:rPr>
      </w:pPr>
      <w:r w:rsidRPr="0065558D">
        <w:rPr>
          <w:i/>
          <w:lang w:bidi="fa-IR"/>
        </w:rPr>
        <w:t>Source:</w:t>
      </w:r>
      <w:r>
        <w:rPr>
          <w:lang w:bidi="fa-IR"/>
        </w:rPr>
        <w:t xml:space="preserve"> CIE based on ABS, 2018 Survey of Disabilities, Ageing and Carers, TableBuilder.</w:t>
      </w:r>
    </w:p>
    <w:p w:rsidR="007C6A5F" w:rsidRDefault="007C6A5F" w:rsidP="007C6A5F">
      <w:pPr>
        <w:pStyle w:val="Heading6"/>
        <w:numPr>
          <w:ilvl w:val="5"/>
          <w:numId w:val="5"/>
        </w:numPr>
      </w:pPr>
      <w:bookmarkStart w:id="6558" w:name="_Ref31914917"/>
      <w:bookmarkStart w:id="6559" w:name="_Ref31915001"/>
      <w:bookmarkStart w:id="6560" w:name="_Toc32321776"/>
      <w:bookmarkStart w:id="6561" w:name="_Toc44598465"/>
      <w:bookmarkStart w:id="6562" w:name="_Toc45654096"/>
      <w:r>
        <w:lastRenderedPageBreak/>
        <w:t>Approach to estimating the avoidable costs of home modifications</w:t>
      </w:r>
      <w:bookmarkEnd w:id="6558"/>
      <w:bookmarkEnd w:id="6559"/>
      <w:bookmarkEnd w:id="6560"/>
      <w:bookmarkEnd w:id="6561"/>
      <w:bookmarkEnd w:id="6562"/>
    </w:p>
    <w:p w:rsidR="007C6A5F" w:rsidRDefault="007C6A5F" w:rsidP="007C6A5F">
      <w:pPr>
        <w:pStyle w:val="Heading7"/>
        <w:numPr>
          <w:ilvl w:val="6"/>
          <w:numId w:val="5"/>
        </w:numPr>
        <w:rPr>
          <w:lang w:bidi="fa-IR"/>
        </w:rPr>
      </w:pPr>
      <w:r>
        <w:rPr>
          <w:lang w:bidi="fa-IR"/>
        </w:rPr>
        <w:t>Avoidable home modifications</w:t>
      </w:r>
    </w:p>
    <w:p w:rsidR="007C6A5F" w:rsidRPr="003E6C2A" w:rsidRDefault="007C6A5F" w:rsidP="007C6A5F">
      <w:pPr>
        <w:pStyle w:val="BodyText"/>
        <w:rPr>
          <w:lang w:bidi="fa-IR"/>
        </w:rPr>
      </w:pPr>
      <w:r>
        <w:rPr>
          <w:lang w:bidi="fa-IR"/>
        </w:rPr>
        <w:t>Not all home modifications would be avoidable if dwellings were built to comply with universal design principles. Under universal design principles, dwellings are designed to meet a broad range of needs, rather than the specific needs of people with a disability.</w:t>
      </w:r>
    </w:p>
    <w:p w:rsidR="007C6A5F" w:rsidRDefault="007C6A5F" w:rsidP="007C6A5F">
      <w:pPr>
        <w:pStyle w:val="BodyText"/>
        <w:rPr>
          <w:lang w:bidi="fa-IR"/>
        </w:rPr>
      </w:pPr>
      <w:r>
        <w:rPr>
          <w:lang w:bidi="fa-IR"/>
        </w:rPr>
        <w:t>The ABS’s SDAC provides data on the types of modifications made to the dwellings of people with disabilities. However, not all of the modifications identified in the SDAC could be avoided if the dwelling is designed to comply with universal design principles. We assume that a sub-group of these modifications (structural modifications, ramps, toilets, baths and laundries, kitchens and doors widened) would be not be needed if dwellings had been designed to comply with universal design principles (table </w:t>
      </w:r>
      <w:r>
        <w:rPr>
          <w:lang w:bidi="fa-IR"/>
        </w:rPr>
        <w:fldChar w:fldCharType="begin"/>
      </w:r>
      <w:r>
        <w:rPr>
          <w:lang w:bidi="fa-IR"/>
        </w:rPr>
        <w:instrText xml:space="preserve"> REF _Caption5780 </w:instrText>
      </w:r>
      <w:r>
        <w:rPr>
          <w:lang w:bidi="fa-IR"/>
        </w:rPr>
        <w:fldChar w:fldCharType="separate"/>
      </w:r>
      <w:r>
        <w:rPr>
          <w:noProof/>
        </w:rPr>
        <w:t>C</w:t>
      </w:r>
      <w:r w:rsidRPr="00695C93">
        <w:rPr>
          <w:noProof/>
        </w:rPr>
        <w:t>.</w:t>
      </w:r>
      <w:r>
        <w:rPr>
          <w:noProof/>
        </w:rPr>
        <w:t>1</w:t>
      </w:r>
      <w:r>
        <w:rPr>
          <w:lang w:bidi="fa-IR"/>
        </w:rPr>
        <w:fldChar w:fldCharType="end"/>
      </w:r>
      <w:r>
        <w:rPr>
          <w:lang w:bidi="fa-IR"/>
        </w:rPr>
        <w:t>).</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C</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C</w:instrText>
      </w:r>
      <w:r>
        <w:rPr>
          <w:noProof/>
        </w:rPr>
        <w:fldChar w:fldCharType="end"/>
      </w:r>
      <w:r w:rsidRPr="00695C93">
        <w:instrText xml:space="preserve">." </w:instrText>
      </w:r>
      <w:r w:rsidRPr="00695C93">
        <w:fldChar w:fldCharType="separate"/>
      </w:r>
      <w:r>
        <w:rPr>
          <w:noProof/>
        </w:rPr>
        <w:instrText>C</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C</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w:instrText>
      </w:r>
      <w:r w:rsidRPr="00695C93">
        <w:fldChar w:fldCharType="end"/>
      </w:r>
      <w:r w:rsidRPr="00695C93">
        <w:instrText xml:space="preserve">" "" </w:instrText>
      </w:r>
      <w:r w:rsidRPr="00695C93">
        <w:fldChar w:fldCharType="separate"/>
      </w:r>
      <w:bookmarkStart w:id="6563" w:name="_Caption2132"/>
      <w:bookmarkStart w:id="6564" w:name="_Caption3582"/>
      <w:bookmarkStart w:id="6565" w:name="_Caption9502"/>
      <w:bookmarkStart w:id="6566" w:name="_Caption5643"/>
      <w:bookmarkStart w:id="6567" w:name="_Caption6062"/>
      <w:bookmarkStart w:id="6568" w:name="_Caption7029"/>
      <w:bookmarkStart w:id="6569" w:name="_Caption9106"/>
      <w:bookmarkStart w:id="6570" w:name="_Caption1262"/>
      <w:bookmarkStart w:id="6571" w:name="_Caption9060"/>
      <w:bookmarkStart w:id="6572" w:name="_Caption0225"/>
      <w:bookmarkStart w:id="6573" w:name="_Caption7492"/>
      <w:bookmarkStart w:id="6574" w:name="_Caption4630"/>
      <w:bookmarkStart w:id="6575" w:name="_Caption2476"/>
      <w:bookmarkStart w:id="6576" w:name="_Caption1010"/>
      <w:bookmarkStart w:id="6577" w:name="_Caption8818"/>
      <w:bookmarkStart w:id="6578" w:name="_Caption8890"/>
      <w:bookmarkStart w:id="6579" w:name="_Caption5780"/>
      <w:bookmarkStart w:id="6580" w:name="_Caption9178"/>
      <w:bookmarkStart w:id="6581" w:name="_Caption1640"/>
      <w:bookmarkStart w:id="6582" w:name="_Caption8206"/>
      <w:bookmarkStart w:id="6583" w:name="_Caption0741"/>
      <w:bookmarkStart w:id="6584" w:name="_Caption2442"/>
      <w:bookmarkStart w:id="6585" w:name="_Caption4216"/>
      <w:bookmarkStart w:id="6586" w:name="_Caption4191"/>
      <w:bookmarkStart w:id="6587" w:name="_Caption8634"/>
      <w:bookmarkStart w:id="6588" w:name="_Caption7968"/>
      <w:bookmarkStart w:id="6589" w:name="_Caption3886"/>
      <w:bookmarkStart w:id="6590" w:name="_Caption7989"/>
      <w:bookmarkStart w:id="6591" w:name="_Caption5653"/>
      <w:bookmarkStart w:id="6592" w:name="_Caption8613"/>
      <w:bookmarkStart w:id="6593" w:name="_Caption2812"/>
      <w:bookmarkStart w:id="6594" w:name="_Caption1053"/>
      <w:bookmarkStart w:id="6595" w:name="_Caption3513"/>
      <w:bookmarkStart w:id="6596" w:name="_Caption7230"/>
      <w:bookmarkStart w:id="6597" w:name="_Caption7474"/>
      <w:bookmarkStart w:id="6598" w:name="_Caption4421"/>
      <w:bookmarkStart w:id="6599" w:name="_Caption8933"/>
      <w:bookmarkStart w:id="6600" w:name="_Caption8185"/>
      <w:bookmarkStart w:id="6601" w:name="_Caption6773"/>
      <w:bookmarkStart w:id="6602" w:name="_Caption7193"/>
      <w:bookmarkStart w:id="6603" w:name="_Caption1789"/>
      <w:bookmarkStart w:id="6604" w:name="_Caption6063"/>
      <w:bookmarkStart w:id="6605" w:name="_Caption6849"/>
      <w:bookmarkStart w:id="6606" w:name="_Caption0379"/>
      <w:bookmarkStart w:id="6607" w:name="_Caption7397"/>
      <w:bookmarkStart w:id="6608" w:name="_Caption9003"/>
      <w:bookmarkStart w:id="6609" w:name="_Caption5437"/>
      <w:bookmarkStart w:id="6610" w:name="_Caption4408"/>
      <w:bookmarkStart w:id="6611" w:name="_Caption5912"/>
      <w:bookmarkStart w:id="6612" w:name="_Caption1292"/>
      <w:bookmarkStart w:id="6613" w:name="_Caption1773"/>
      <w:bookmarkStart w:id="6614" w:name="_Caption0045"/>
      <w:bookmarkStart w:id="6615" w:name="_Caption4270"/>
      <w:bookmarkStart w:id="6616" w:name="_Caption0063"/>
      <w:bookmarkStart w:id="6617" w:name="_Caption7717"/>
      <w:bookmarkStart w:id="6618" w:name="_Caption4456"/>
      <w:bookmarkStart w:id="6619" w:name="_Caption4139"/>
      <w:bookmarkStart w:id="6620" w:name="_Caption6197"/>
      <w:bookmarkStart w:id="6621" w:name="_Caption3563"/>
      <w:bookmarkStart w:id="6622" w:name="_Caption7779"/>
      <w:bookmarkStart w:id="6623" w:name="_Caption4107"/>
      <w:bookmarkStart w:id="6624" w:name="_Caption4130"/>
      <w:bookmarkStart w:id="6625" w:name="_Caption6878"/>
      <w:bookmarkStart w:id="6626" w:name="_Caption9176"/>
      <w:bookmarkStart w:id="6627" w:name="_Caption5506"/>
      <w:bookmarkStart w:id="6628" w:name="_Caption9239"/>
      <w:bookmarkStart w:id="6629" w:name="_Caption0627"/>
      <w:bookmarkStart w:id="6630" w:name="_Caption0498"/>
      <w:bookmarkStart w:id="6631" w:name="_Caption2509"/>
      <w:bookmarkStart w:id="6632" w:name="_Caption9132"/>
      <w:bookmarkStart w:id="6633" w:name="_Caption7329"/>
      <w:bookmarkStart w:id="6634" w:name="_Caption8643"/>
      <w:bookmarkStart w:id="6635" w:name="_Caption0196"/>
      <w:bookmarkStart w:id="6636" w:name="_Caption5360"/>
      <w:bookmarkStart w:id="6637" w:name="_Caption5742"/>
      <w:bookmarkStart w:id="6638" w:name="_Caption5496"/>
      <w:bookmarkStart w:id="6639" w:name="_Caption7151"/>
      <w:bookmarkStart w:id="6640" w:name="_Caption6222"/>
      <w:bookmarkStart w:id="6641" w:name="_Caption3882"/>
      <w:bookmarkStart w:id="6642" w:name="_Caption7308"/>
      <w:bookmarkStart w:id="6643" w:name="_Toc44598579"/>
      <w:bookmarkStart w:id="6644" w:name="_Toc45654210"/>
      <w:bookmarkStart w:id="6645" w:name="_Toc32321871"/>
      <w:r w:rsidR="00272AF3">
        <w:rPr>
          <w:noProof/>
        </w:rPr>
        <w:t>C</w:t>
      </w:r>
      <w:r w:rsidR="00272AF3" w:rsidRPr="00695C93">
        <w:rPr>
          <w:noProof/>
        </w:rPr>
        <w:t>.</w:t>
      </w:r>
      <w:r w:rsidR="00272AF3">
        <w:rPr>
          <w:noProof/>
        </w:rPr>
        <w:t>1</w:t>
      </w:r>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r w:rsidRPr="00695C93">
        <w:fldChar w:fldCharType="end"/>
      </w:r>
      <w:r w:rsidRPr="00695C93">
        <w:tab/>
      </w:r>
      <w:r>
        <w:t>Avoidable modifications</w:t>
      </w:r>
      <w:bookmarkEnd w:id="6643"/>
      <w:bookmarkEnd w:id="6644"/>
      <w:r>
        <w:t xml:space="preserve"> </w:t>
      </w:r>
      <w:bookmarkEnd w:id="6645"/>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C.1"/>
        <w:tblDescription w:val="Avoidable modifications "/>
      </w:tblPr>
      <w:tblGrid>
        <w:gridCol w:w="3968"/>
        <w:gridCol w:w="3969"/>
      </w:tblGrid>
      <w:tr w:rsidR="007C6A5F" w:rsidTr="006D6FC1">
        <w:trPr>
          <w:tblHeader/>
        </w:trPr>
        <w:tc>
          <w:tcPr>
            <w:tcW w:w="3968" w:type="dxa"/>
            <w:tcBorders>
              <w:bottom w:val="single" w:sz="8" w:space="0" w:color="FFFFFF" w:themeColor="background1"/>
            </w:tcBorders>
            <w:shd w:val="clear" w:color="auto" w:fill="6F6652" w:themeFill="accent5"/>
          </w:tcPr>
          <w:p w:rsidR="007C6A5F" w:rsidRDefault="007C6A5F" w:rsidP="00C36DA4">
            <w:pPr>
              <w:pStyle w:val="TableTextColumnHeading"/>
            </w:pPr>
            <w:r>
              <w:t>Modifications that could be avoided if dwellings complied with universal design principles</w:t>
            </w:r>
          </w:p>
        </w:tc>
        <w:tc>
          <w:tcPr>
            <w:tcW w:w="3969" w:type="dxa"/>
            <w:tcBorders>
              <w:bottom w:val="single" w:sz="8" w:space="0" w:color="FFFFFF" w:themeColor="background1"/>
            </w:tcBorders>
            <w:shd w:val="clear" w:color="auto" w:fill="6F6652" w:themeFill="accent5"/>
          </w:tcPr>
          <w:p w:rsidR="007C6A5F" w:rsidRDefault="007C6A5F" w:rsidP="00C36DA4">
            <w:pPr>
              <w:pStyle w:val="TableTextColumnHeading"/>
            </w:pPr>
            <w:r>
              <w:t>Modifications that would still be needed even if the dwelling complied with universal design principles</w:t>
            </w:r>
          </w:p>
        </w:tc>
      </w:tr>
      <w:tr w:rsidR="007C6A5F" w:rsidTr="00B5160B">
        <w:tc>
          <w:tcPr>
            <w:tcW w:w="3968"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ListBullet"/>
            </w:pPr>
            <w:r>
              <w:t>Structural changes</w:t>
            </w:r>
          </w:p>
          <w:p w:rsidR="007C6A5F" w:rsidRDefault="007C6A5F" w:rsidP="00C36DA4">
            <w:pPr>
              <w:pStyle w:val="TableListBullet"/>
            </w:pPr>
            <w:r>
              <w:t>Ramps</w:t>
            </w:r>
          </w:p>
          <w:p w:rsidR="007C6A5F" w:rsidRDefault="007C6A5F" w:rsidP="00C36DA4">
            <w:pPr>
              <w:pStyle w:val="TableListBullet"/>
            </w:pPr>
            <w:r>
              <w:t>Toilet bath or laundry, kitchen</w:t>
            </w:r>
          </w:p>
          <w:p w:rsidR="007C6A5F" w:rsidRDefault="007C6A5F" w:rsidP="00C36DA4">
            <w:pPr>
              <w:pStyle w:val="TableListBullet"/>
            </w:pPr>
            <w:r>
              <w:t>Doors widened</w:t>
            </w:r>
          </w:p>
        </w:tc>
        <w:tc>
          <w:tcPr>
            <w:tcW w:w="3969"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ListBullet"/>
            </w:pPr>
            <w:r>
              <w:t>Hand rails &amp; Grab rails</w:t>
            </w:r>
          </w:p>
          <w:p w:rsidR="007C6A5F" w:rsidRDefault="007C6A5F" w:rsidP="00C36DA4">
            <w:pPr>
              <w:pStyle w:val="TableListBullet"/>
            </w:pPr>
            <w:r>
              <w:t>Remote controls</w:t>
            </w:r>
          </w:p>
          <w:p w:rsidR="007C6A5F" w:rsidRDefault="007C6A5F" w:rsidP="00C36DA4">
            <w:pPr>
              <w:pStyle w:val="TableListBullet"/>
            </w:pPr>
            <w:r>
              <w:t>New or changed heating air conditioning</w:t>
            </w:r>
          </w:p>
          <w:p w:rsidR="007C6A5F" w:rsidRDefault="007C6A5F" w:rsidP="00C36DA4">
            <w:pPr>
              <w:pStyle w:val="TableListBullet"/>
            </w:pPr>
            <w:r>
              <w:t>Install home automation</w:t>
            </w:r>
          </w:p>
          <w:p w:rsidR="007C6A5F" w:rsidRDefault="007C6A5F" w:rsidP="00C36DA4">
            <w:pPr>
              <w:pStyle w:val="TableListBullet"/>
            </w:pPr>
            <w:r>
              <w:t>Telemonitoring system</w:t>
            </w:r>
          </w:p>
          <w:p w:rsidR="007C6A5F" w:rsidRDefault="007C6A5F" w:rsidP="00C36DA4">
            <w:pPr>
              <w:pStyle w:val="TableListBullet"/>
            </w:pPr>
            <w:r>
              <w:t>Other change to dwelling,</w:t>
            </w:r>
          </w:p>
        </w:tc>
      </w:tr>
    </w:tbl>
    <w:p w:rsidR="007C6A5F" w:rsidRDefault="007C6A5F" w:rsidP="007C6A5F">
      <w:pPr>
        <w:pStyle w:val="Note"/>
      </w:pPr>
      <w:r w:rsidRPr="007D1B4F">
        <w:rPr>
          <w:i/>
        </w:rPr>
        <w:t>Note:</w:t>
      </w:r>
      <w:r w:rsidRPr="00E879B8">
        <w:t xml:space="preserve"> </w:t>
      </w:r>
      <w:r>
        <w:t>Modification types are taken form SDAC survey</w:t>
      </w:r>
    </w:p>
    <w:p w:rsidR="007C6A5F" w:rsidRDefault="007C6A5F" w:rsidP="007C6A5F">
      <w:pPr>
        <w:pStyle w:val="Source"/>
      </w:pPr>
      <w:r>
        <w:rPr>
          <w:i/>
        </w:rPr>
        <w:t>Source</w:t>
      </w:r>
      <w:r w:rsidRPr="00E4232C">
        <w:rPr>
          <w:i/>
        </w:rPr>
        <w:t>:</w:t>
      </w:r>
      <w:r w:rsidR="00AB532E">
        <w:t xml:space="preserve"> </w:t>
      </w:r>
      <w:r>
        <w:t>CIE.</w:t>
      </w:r>
    </w:p>
    <w:p w:rsidR="007C6A5F" w:rsidRDefault="007C6A5F" w:rsidP="007C6A5F">
      <w:pPr>
        <w:pStyle w:val="Heading7"/>
        <w:numPr>
          <w:ilvl w:val="6"/>
          <w:numId w:val="5"/>
        </w:numPr>
        <w:rPr>
          <w:lang w:eastAsia="en-US"/>
        </w:rPr>
      </w:pPr>
      <w:r>
        <w:rPr>
          <w:lang w:eastAsia="en-US"/>
        </w:rPr>
        <w:t>Number of avoidable home modifications</w:t>
      </w:r>
    </w:p>
    <w:p w:rsidR="007C6A5F" w:rsidRDefault="007C6A5F" w:rsidP="007C6A5F">
      <w:pPr>
        <w:pStyle w:val="BodyText"/>
        <w:rPr>
          <w:lang w:eastAsia="en-US"/>
        </w:rPr>
      </w:pPr>
      <w:r>
        <w:rPr>
          <w:lang w:eastAsia="en-US"/>
        </w:rPr>
        <w:t>To estimate the number of dwellings that have avoidable modifications annually, we compare the number of people who live in dwellings with avoidable modifications in 2018 with 2015, based on SDAC data (table C.2).</w:t>
      </w:r>
    </w:p>
    <w:p w:rsidR="007C6A5F" w:rsidRDefault="007C6A5F" w:rsidP="005A6F87">
      <w:pPr>
        <w:pStyle w:val="ListBullet"/>
        <w:numPr>
          <w:ilvl w:val="0"/>
          <w:numId w:val="17"/>
        </w:numPr>
        <w:rPr>
          <w:lang w:eastAsia="en-US"/>
        </w:rPr>
      </w:pPr>
      <w:r>
        <w:rPr>
          <w:lang w:eastAsia="en-US"/>
        </w:rPr>
        <w:t xml:space="preserve">The 2015 SDAC does not report the number of dwellings with kitchen modifications. However, 2018 data suggests there are </w:t>
      </w:r>
      <w:r w:rsidRPr="00B26798">
        <w:rPr>
          <w:lang w:eastAsia="en-US"/>
        </w:rPr>
        <w:t>relatively few dwellings with a kitchen modification only</w:t>
      </w:r>
      <w:r>
        <w:rPr>
          <w:lang w:eastAsia="en-US"/>
        </w:rPr>
        <w:t xml:space="preserve"> (i.e. most dwellings with a kitchen modification have also had another modifications).</w:t>
      </w:r>
    </w:p>
    <w:p w:rsidR="007C6A5F" w:rsidRDefault="007C6A5F" w:rsidP="005A6F87">
      <w:pPr>
        <w:pStyle w:val="ListBullet"/>
        <w:numPr>
          <w:ilvl w:val="0"/>
          <w:numId w:val="17"/>
        </w:numPr>
        <w:rPr>
          <w:lang w:eastAsia="en-US"/>
        </w:rPr>
      </w:pPr>
      <w:r>
        <w:rPr>
          <w:lang w:eastAsia="en-US"/>
        </w:rPr>
        <w:t xml:space="preserve">The SDAC data suggests that there were around 33 000 more people living in modified dwellings in 2018, compared to 2015. However, this does not take into account the fact that over the 3 year period between surveys, some people that were </w:t>
      </w:r>
      <w:r>
        <w:rPr>
          <w:lang w:eastAsia="en-US"/>
        </w:rPr>
        <w:lastRenderedPageBreak/>
        <w:t xml:space="preserve">living in accessible housing may have moved out </w:t>
      </w:r>
      <w:r>
        <w:rPr>
          <w:lang w:eastAsia="en-US" w:bidi="fa-IR"/>
        </w:rPr>
        <w:t>of a modified dwelling, due to death or other reasons (i.e. the churn). Furthermore, when a modified dwelling is vacated, it is unlikely that the new resident will have the same accessibility needs. A simple comparison between the survey periods is therefore likely to understate the number of home modifications over the period. To take this into account, we make the following adjustments.</w:t>
      </w:r>
    </w:p>
    <w:p w:rsidR="007C6A5F" w:rsidRDefault="007C6A5F" w:rsidP="005A6F87">
      <w:pPr>
        <w:pStyle w:val="ListBullet2"/>
        <w:numPr>
          <w:ilvl w:val="1"/>
          <w:numId w:val="17"/>
        </w:numPr>
        <w:ind w:left="568" w:hanging="284"/>
        <w:rPr>
          <w:lang w:eastAsia="en-US"/>
        </w:rPr>
      </w:pPr>
      <w:r>
        <w:rPr>
          <w:lang w:eastAsia="en-US"/>
        </w:rPr>
        <w:t>We assume that 3.6 per cent of people living in modified dwelling die every year (based on the average mortality rates for the age profile living in modified dwellings). We assume that all others remain in their modified dwelling.</w:t>
      </w:r>
    </w:p>
    <w:p w:rsidR="007C6A5F" w:rsidRDefault="007C6A5F" w:rsidP="005A6F87">
      <w:pPr>
        <w:pStyle w:val="ListBullet2"/>
        <w:numPr>
          <w:ilvl w:val="1"/>
          <w:numId w:val="17"/>
        </w:numPr>
        <w:ind w:left="568" w:hanging="284"/>
        <w:rPr>
          <w:lang w:eastAsia="en-US"/>
        </w:rPr>
      </w:pPr>
      <w:r>
        <w:rPr>
          <w:lang w:eastAsia="en-US"/>
        </w:rPr>
        <w:t>We assume that when a modified dwelling becomes vacant, the new residents do not have the same accessibility needs.</w:t>
      </w:r>
    </w:p>
    <w:p w:rsidR="007C6A5F" w:rsidRDefault="007C6A5F" w:rsidP="005A6F87">
      <w:pPr>
        <w:pStyle w:val="ListBullet"/>
        <w:numPr>
          <w:ilvl w:val="0"/>
          <w:numId w:val="17"/>
        </w:numPr>
        <w:rPr>
          <w:lang w:eastAsia="en-US"/>
        </w:rPr>
      </w:pPr>
      <w:r>
        <w:rPr>
          <w:lang w:eastAsia="en-US" w:bidi="fa-IR"/>
        </w:rPr>
        <w:t xml:space="preserve">With these adjustments, we estimate that around 22 000 dwelling are modified annually to meet the accessibility needs of the resident(s) (table </w:t>
      </w:r>
      <w:r w:rsidRPr="00317781">
        <w:rPr>
          <w:lang w:eastAsia="en-US" w:bidi="fa-IR"/>
        </w:rPr>
        <w:t>C.2).</w:t>
      </w:r>
      <w:r>
        <w:rPr>
          <w:lang w:eastAsia="en-US" w:bidi="fa-IR"/>
        </w:rPr>
        <w:t xml:space="preserve"> </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C</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C</w:instrText>
      </w:r>
      <w:r>
        <w:rPr>
          <w:noProof/>
        </w:rPr>
        <w:fldChar w:fldCharType="end"/>
      </w:r>
      <w:r w:rsidRPr="00695C93">
        <w:instrText xml:space="preserve">." </w:instrText>
      </w:r>
      <w:r w:rsidRPr="00695C93">
        <w:fldChar w:fldCharType="separate"/>
      </w:r>
      <w:r>
        <w:rPr>
          <w:noProof/>
        </w:rPr>
        <w:instrText>C</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C</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2</w:instrText>
      </w:r>
      <w:r w:rsidRPr="00695C93">
        <w:fldChar w:fldCharType="end"/>
      </w:r>
      <w:r w:rsidRPr="00695C93">
        <w:instrText xml:space="preserve">" "" </w:instrText>
      </w:r>
      <w:r w:rsidRPr="00695C93">
        <w:fldChar w:fldCharType="separate"/>
      </w:r>
      <w:bookmarkStart w:id="6646" w:name="_Caption4110"/>
      <w:bookmarkStart w:id="6647" w:name="_Caption8883"/>
      <w:bookmarkStart w:id="6648" w:name="_Caption2997"/>
      <w:bookmarkStart w:id="6649" w:name="_Caption5639"/>
      <w:bookmarkStart w:id="6650" w:name="_Toc44598580"/>
      <w:bookmarkStart w:id="6651" w:name="_Toc45654211"/>
      <w:r w:rsidR="00272AF3">
        <w:rPr>
          <w:noProof/>
        </w:rPr>
        <w:t>C</w:t>
      </w:r>
      <w:r w:rsidR="00272AF3" w:rsidRPr="00695C93">
        <w:rPr>
          <w:noProof/>
        </w:rPr>
        <w:t>.</w:t>
      </w:r>
      <w:r w:rsidR="00272AF3">
        <w:rPr>
          <w:noProof/>
        </w:rPr>
        <w:t>2</w:t>
      </w:r>
      <w:bookmarkEnd w:id="6646"/>
      <w:bookmarkEnd w:id="6647"/>
      <w:bookmarkEnd w:id="6648"/>
      <w:bookmarkEnd w:id="6649"/>
      <w:r w:rsidRPr="00695C93">
        <w:fldChar w:fldCharType="end"/>
      </w:r>
      <w:r w:rsidRPr="00695C93">
        <w:tab/>
      </w:r>
      <w:r>
        <w:t>Number of dwellings modified</w:t>
      </w:r>
      <w:bookmarkEnd w:id="6650"/>
      <w:bookmarkEnd w:id="6651"/>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C.2"/>
        <w:tblDescription w:val="Number of dwellings modified"/>
      </w:tblPr>
      <w:tblGrid>
        <w:gridCol w:w="1833"/>
        <w:gridCol w:w="1173"/>
        <w:gridCol w:w="1173"/>
        <w:gridCol w:w="1173"/>
        <w:gridCol w:w="1413"/>
        <w:gridCol w:w="1173"/>
      </w:tblGrid>
      <w:tr w:rsidR="007C6A5F" w:rsidTr="006D6FC1">
        <w:trPr>
          <w:trHeight w:val="1382"/>
          <w:tblHeader/>
        </w:trPr>
        <w:tc>
          <w:tcPr>
            <w:tcW w:w="1833" w:type="dxa"/>
            <w:shd w:val="clear" w:color="auto" w:fill="6F6652" w:themeFill="accent5"/>
          </w:tcPr>
          <w:p w:rsidR="007C6A5F" w:rsidRDefault="00D47BF3" w:rsidP="00C36DA4">
            <w:pPr>
              <w:pStyle w:val="TableDataColumnHeading"/>
              <w:jc w:val="left"/>
              <w:rPr>
                <w:lang w:val="en-GB"/>
              </w:rPr>
            </w:pPr>
            <w:r>
              <w:rPr>
                <w:lang w:val="en-GB"/>
              </w:rPr>
              <w:t>Number of dwellings modified</w:t>
            </w:r>
          </w:p>
        </w:tc>
        <w:tc>
          <w:tcPr>
            <w:tcW w:w="1173" w:type="dxa"/>
            <w:shd w:val="clear" w:color="auto" w:fill="6F6652" w:themeFill="accent5"/>
          </w:tcPr>
          <w:p w:rsidR="007C6A5F" w:rsidRDefault="007C6A5F" w:rsidP="00C36DA4">
            <w:pPr>
              <w:pStyle w:val="TableDataColumnHeading"/>
              <w:rPr>
                <w:lang w:val="en-GB"/>
              </w:rPr>
            </w:pPr>
            <w:r>
              <w:rPr>
                <w:lang w:val="en-GB"/>
              </w:rPr>
              <w:t xml:space="preserve">Number of modified dwellings </w:t>
            </w:r>
            <w:r w:rsidR="000D6D12">
              <w:rPr>
                <w:lang w:val="en-GB"/>
              </w:rPr>
              <w:t>–</w:t>
            </w:r>
            <w:r>
              <w:rPr>
                <w:lang w:val="en-GB"/>
              </w:rPr>
              <w:t xml:space="preserve"> 2015</w:t>
            </w:r>
          </w:p>
          <w:p w:rsidR="000D6D12" w:rsidRDefault="000D6D12" w:rsidP="000D6D12">
            <w:pPr>
              <w:pStyle w:val="TableDataColumnHeading"/>
              <w:spacing w:before="0"/>
              <w:rPr>
                <w:lang w:val="en-GB"/>
              </w:rPr>
            </w:pPr>
            <w:r>
              <w:rPr>
                <w:lang w:val="en-GB"/>
              </w:rPr>
              <w:t>(‘000)</w:t>
            </w:r>
          </w:p>
        </w:tc>
        <w:tc>
          <w:tcPr>
            <w:tcW w:w="1173" w:type="dxa"/>
            <w:shd w:val="clear" w:color="auto" w:fill="6F6652" w:themeFill="accent5"/>
          </w:tcPr>
          <w:p w:rsidR="007C6A5F" w:rsidRDefault="007C6A5F" w:rsidP="000D6D12">
            <w:pPr>
              <w:pStyle w:val="TableDataColumnHeading"/>
              <w:spacing w:after="0"/>
              <w:rPr>
                <w:rStyle w:val="NoteLabel"/>
                <w:color w:val="FFFFFF" w:themeColor="background1"/>
              </w:rPr>
            </w:pPr>
            <w:r>
              <w:rPr>
                <w:lang w:val="en-GB"/>
              </w:rPr>
              <w:t>Number remaining in previously modified dwelling</w:t>
            </w:r>
            <w:r w:rsidRPr="00A96B1A">
              <w:rPr>
                <w:rStyle w:val="NoteLabel"/>
                <w:color w:val="FFFFFF" w:themeColor="background1"/>
              </w:rPr>
              <w:t>a</w:t>
            </w:r>
          </w:p>
          <w:p w:rsidR="000D6D12" w:rsidRDefault="000D6D12" w:rsidP="000D6D12">
            <w:pPr>
              <w:pStyle w:val="TableDataColumnHeading"/>
              <w:rPr>
                <w:lang w:val="en-GB"/>
              </w:rPr>
            </w:pPr>
            <w:r>
              <w:rPr>
                <w:lang w:val="en-GB"/>
              </w:rPr>
              <w:t>(‘000)</w:t>
            </w:r>
          </w:p>
        </w:tc>
        <w:tc>
          <w:tcPr>
            <w:tcW w:w="1173" w:type="dxa"/>
            <w:shd w:val="clear" w:color="auto" w:fill="6F6652" w:themeFill="accent5"/>
          </w:tcPr>
          <w:p w:rsidR="007C6A5F" w:rsidRDefault="007C6A5F" w:rsidP="00C36DA4">
            <w:pPr>
              <w:pStyle w:val="TableDataColumnHeading"/>
              <w:rPr>
                <w:lang w:val="en-GB"/>
              </w:rPr>
            </w:pPr>
            <w:r>
              <w:rPr>
                <w:lang w:val="en-GB"/>
              </w:rPr>
              <w:t xml:space="preserve">Number of modified dwellings </w:t>
            </w:r>
            <w:r w:rsidR="000D6D12">
              <w:rPr>
                <w:lang w:val="en-GB"/>
              </w:rPr>
              <w:t>–</w:t>
            </w:r>
            <w:r>
              <w:rPr>
                <w:lang w:val="en-GB"/>
              </w:rPr>
              <w:t xml:space="preserve"> 2018</w:t>
            </w:r>
          </w:p>
          <w:p w:rsidR="000D6D12" w:rsidRDefault="000D6D12" w:rsidP="000D6D12">
            <w:pPr>
              <w:pStyle w:val="TableDataColumnHeading"/>
              <w:rPr>
                <w:lang w:val="en-GB"/>
              </w:rPr>
            </w:pPr>
            <w:r>
              <w:rPr>
                <w:lang w:val="en-GB"/>
              </w:rPr>
              <w:t>(‘000)</w:t>
            </w:r>
          </w:p>
        </w:tc>
        <w:tc>
          <w:tcPr>
            <w:tcW w:w="1413" w:type="dxa"/>
            <w:shd w:val="clear" w:color="auto" w:fill="6F6652" w:themeFill="accent5"/>
          </w:tcPr>
          <w:p w:rsidR="007C6A5F" w:rsidRDefault="007C6A5F" w:rsidP="000D6D12">
            <w:pPr>
              <w:pStyle w:val="TableDataColumnHeading"/>
              <w:spacing w:after="0"/>
              <w:rPr>
                <w:lang w:val="en-GB"/>
              </w:rPr>
            </w:pPr>
            <w:r>
              <w:rPr>
                <w:lang w:val="en-GB"/>
              </w:rPr>
              <w:t>Estimated number of modified dwellings over period</w:t>
            </w:r>
          </w:p>
          <w:p w:rsidR="000D6D12" w:rsidRDefault="000D6D12" w:rsidP="000D6D12">
            <w:pPr>
              <w:pStyle w:val="TableDataColumnHeading"/>
              <w:rPr>
                <w:lang w:val="en-GB"/>
              </w:rPr>
            </w:pPr>
            <w:r>
              <w:rPr>
                <w:lang w:val="en-GB"/>
              </w:rPr>
              <w:t>(‘000)</w:t>
            </w:r>
          </w:p>
        </w:tc>
        <w:tc>
          <w:tcPr>
            <w:tcW w:w="1173" w:type="dxa"/>
            <w:shd w:val="clear" w:color="auto" w:fill="6F6652" w:themeFill="accent5"/>
          </w:tcPr>
          <w:p w:rsidR="007C6A5F" w:rsidRDefault="007C6A5F" w:rsidP="00C36DA4">
            <w:pPr>
              <w:pStyle w:val="TableDataColumnHeading"/>
              <w:rPr>
                <w:lang w:val="en-GB"/>
              </w:rPr>
            </w:pPr>
            <w:r>
              <w:rPr>
                <w:lang w:val="en-GB"/>
              </w:rPr>
              <w:t xml:space="preserve">Estimated number of dwellings modified annually </w:t>
            </w:r>
          </w:p>
          <w:p w:rsidR="000D6D12" w:rsidRDefault="000D6D12" w:rsidP="00C36DA4">
            <w:pPr>
              <w:pStyle w:val="TableDataColumnHeading"/>
              <w:rPr>
                <w:lang w:val="en-GB"/>
              </w:rPr>
            </w:pPr>
            <w:r>
              <w:rPr>
                <w:lang w:val="en-GB"/>
              </w:rPr>
              <w:t>(‘000)</w:t>
            </w:r>
          </w:p>
        </w:tc>
      </w:tr>
      <w:tr w:rsidR="007C6A5F" w:rsidTr="000D6D12">
        <w:trPr>
          <w:trHeight w:val="230"/>
        </w:trPr>
        <w:tc>
          <w:tcPr>
            <w:tcW w:w="18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Total</w:t>
            </w:r>
          </w:p>
        </w:tc>
        <w:tc>
          <w:tcPr>
            <w:tcW w:w="117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311.60</w:t>
            </w:r>
          </w:p>
        </w:tc>
        <w:tc>
          <w:tcPr>
            <w:tcW w:w="117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279.1</w:t>
            </w:r>
          </w:p>
        </w:tc>
        <w:tc>
          <w:tcPr>
            <w:tcW w:w="117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346.20</w:t>
            </w:r>
          </w:p>
        </w:tc>
        <w:tc>
          <w:tcPr>
            <w:tcW w:w="141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67.06</w:t>
            </w:r>
          </w:p>
        </w:tc>
        <w:tc>
          <w:tcPr>
            <w:tcW w:w="117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22.35</w:t>
            </w:r>
          </w:p>
        </w:tc>
      </w:tr>
      <w:tr w:rsidR="007C6A5F" w:rsidTr="000D6D12">
        <w:trPr>
          <w:trHeight w:val="230"/>
        </w:trPr>
        <w:tc>
          <w:tcPr>
            <w:tcW w:w="1833"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jc w:val="left"/>
              <w:rPr>
                <w:lang w:val="en-GB"/>
              </w:rPr>
            </w:pPr>
            <w:r>
              <w:rPr>
                <w:lang w:val="en-GB"/>
              </w:rPr>
              <w:t>Total (ex kitchens)</w:t>
            </w:r>
          </w:p>
        </w:tc>
        <w:tc>
          <w:tcPr>
            <w:tcW w:w="1173"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rPr>
                <w:lang w:val="en-GB"/>
              </w:rPr>
              <w:t xml:space="preserve"> 311.60</w:t>
            </w:r>
          </w:p>
        </w:tc>
        <w:tc>
          <w:tcPr>
            <w:tcW w:w="1173"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rPr>
                <w:lang w:val="en-GB"/>
              </w:rPr>
              <w:t>279.1</w:t>
            </w:r>
          </w:p>
        </w:tc>
        <w:tc>
          <w:tcPr>
            <w:tcW w:w="1173"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rPr>
                <w:lang w:val="en-GB"/>
              </w:rPr>
              <w:t xml:space="preserve"> 344.50</w:t>
            </w:r>
          </w:p>
        </w:tc>
        <w:tc>
          <w:tcPr>
            <w:tcW w:w="1413"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rPr>
                <w:lang w:val="en-GB"/>
              </w:rPr>
              <w:t xml:space="preserve"> 65.36</w:t>
            </w:r>
          </w:p>
        </w:tc>
        <w:tc>
          <w:tcPr>
            <w:tcW w:w="1173"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rPr>
                <w:lang w:val="en-GB"/>
              </w:rPr>
              <w:t xml:space="preserve"> 21.79</w:t>
            </w:r>
          </w:p>
        </w:tc>
      </w:tr>
    </w:tbl>
    <w:p w:rsidR="007C6A5F" w:rsidRPr="00E4232C" w:rsidRDefault="007C6A5F" w:rsidP="007C6A5F">
      <w:pPr>
        <w:pStyle w:val="Note"/>
      </w:pPr>
      <w:r w:rsidRPr="00A96B1A">
        <w:rPr>
          <w:rStyle w:val="NoteLabel"/>
          <w:color w:val="000000" w:themeColor="text1"/>
        </w:rPr>
        <w:t>a</w:t>
      </w:r>
      <w:r>
        <w:t xml:space="preserve"> Assumes a mortality rate of 3.6 per cent per year.</w:t>
      </w:r>
    </w:p>
    <w:p w:rsidR="007C6A5F" w:rsidRDefault="007C6A5F" w:rsidP="007C6A5F">
      <w:pPr>
        <w:pStyle w:val="Source"/>
      </w:pPr>
      <w:r>
        <w:rPr>
          <w:i/>
        </w:rPr>
        <w:t>Source</w:t>
      </w:r>
      <w:r w:rsidRPr="00E4232C">
        <w:rPr>
          <w:i/>
        </w:rPr>
        <w:t>:</w:t>
      </w:r>
      <w:r>
        <w:t xml:space="preserve"> CIE based on ABS Survey of Disabilities, Ageing and Carers 2015 and 2018, TableBuilder.</w:t>
      </w:r>
    </w:p>
    <w:p w:rsidR="007C6A5F" w:rsidRDefault="007C6A5F" w:rsidP="007C6A5F">
      <w:pPr>
        <w:pStyle w:val="Heading7"/>
        <w:numPr>
          <w:ilvl w:val="6"/>
          <w:numId w:val="5"/>
        </w:numPr>
        <w:rPr>
          <w:lang w:eastAsia="en-US"/>
        </w:rPr>
      </w:pPr>
      <w:r>
        <w:rPr>
          <w:lang w:eastAsia="en-US"/>
        </w:rPr>
        <w:t>The unit cost of avoidable home modifications</w:t>
      </w:r>
    </w:p>
    <w:p w:rsidR="007C6A5F" w:rsidRDefault="007C6A5F" w:rsidP="007C6A5F">
      <w:pPr>
        <w:pStyle w:val="BodyText"/>
        <w:rPr>
          <w:lang w:eastAsia="en-US"/>
        </w:rPr>
      </w:pPr>
      <w:r>
        <w:rPr>
          <w:lang w:eastAsia="en-US"/>
        </w:rPr>
        <w:t>Key factors that will drive the cost of home modifications include:</w:t>
      </w:r>
    </w:p>
    <w:p w:rsidR="007C6A5F" w:rsidRDefault="007C6A5F" w:rsidP="005A6F87">
      <w:pPr>
        <w:pStyle w:val="ListBullet"/>
        <w:numPr>
          <w:ilvl w:val="0"/>
          <w:numId w:val="17"/>
        </w:numPr>
        <w:rPr>
          <w:lang w:eastAsia="en-US"/>
        </w:rPr>
      </w:pPr>
      <w:r>
        <w:rPr>
          <w:lang w:eastAsia="en-US"/>
        </w:rPr>
        <w:t>the type of dwelling (i.e. Class 1a or Class 2)</w:t>
      </w:r>
    </w:p>
    <w:p w:rsidR="007C6A5F" w:rsidRDefault="007C6A5F" w:rsidP="005A6F87">
      <w:pPr>
        <w:pStyle w:val="ListBullet"/>
        <w:numPr>
          <w:ilvl w:val="0"/>
          <w:numId w:val="17"/>
        </w:numPr>
        <w:rPr>
          <w:lang w:eastAsia="en-US"/>
        </w:rPr>
      </w:pPr>
      <w:r>
        <w:rPr>
          <w:lang w:eastAsia="en-US"/>
        </w:rPr>
        <w:t>the type of modifications (i.e. what aspects of the dwelling are modified)</w:t>
      </w:r>
    </w:p>
    <w:p w:rsidR="007C6A5F" w:rsidRDefault="007C6A5F" w:rsidP="005A6F87">
      <w:pPr>
        <w:pStyle w:val="ListBullet"/>
        <w:numPr>
          <w:ilvl w:val="0"/>
          <w:numId w:val="17"/>
        </w:numPr>
        <w:rPr>
          <w:lang w:eastAsia="en-US"/>
        </w:rPr>
      </w:pPr>
      <w:r>
        <w:rPr>
          <w:lang w:eastAsia="en-US"/>
        </w:rPr>
        <w:t>the extent of the modifications (i.e. to what standard the dwelling is modified).</w:t>
      </w:r>
    </w:p>
    <w:p w:rsidR="007C6A5F" w:rsidRDefault="007C6A5F" w:rsidP="007C6A5F">
      <w:pPr>
        <w:pStyle w:val="BodyText"/>
        <w:rPr>
          <w:lang w:eastAsia="en-US"/>
        </w:rPr>
      </w:pPr>
      <w:r>
        <w:rPr>
          <w:lang w:eastAsia="en-US"/>
        </w:rPr>
        <w:t>For ABCB’s Options Paper, DCWC estimated the cost of retrofitting homes to meet each element of the LHDG Australia to both Silver and Gold standard. We use these estimates to derive unit costs for each of the potentially avoidable modifications.</w:t>
      </w:r>
    </w:p>
    <w:p w:rsidR="007C6A5F" w:rsidRDefault="007C6A5F" w:rsidP="007C6A5F">
      <w:pPr>
        <w:pStyle w:val="BodyText"/>
        <w:rPr>
          <w:lang w:eastAsia="en-US"/>
        </w:rPr>
      </w:pPr>
      <w:r>
        <w:rPr>
          <w:lang w:eastAsia="en-US"/>
        </w:rPr>
        <w:t>For each element, DCWC estimate scenarios which includes homes that require no modification to meet LHDG standards and (for some elements) homes that require very substantial costs to meet LHDG standards. As our aim is to calculate the average cost of modifications that actually proceed, we ignore:</w:t>
      </w:r>
    </w:p>
    <w:p w:rsidR="007C6A5F" w:rsidRDefault="007C6A5F" w:rsidP="005A6F87">
      <w:pPr>
        <w:pStyle w:val="ListBullet"/>
        <w:numPr>
          <w:ilvl w:val="0"/>
          <w:numId w:val="17"/>
        </w:numPr>
        <w:rPr>
          <w:lang w:eastAsia="en-US"/>
        </w:rPr>
      </w:pPr>
      <w:r>
        <w:rPr>
          <w:lang w:eastAsia="en-US"/>
        </w:rPr>
        <w:t>DCWC’s scenarios for ‘no cost’ (because we are focusing on homes that are actually modified)</w:t>
      </w:r>
      <w:r w:rsidR="00827085">
        <w:rPr>
          <w:lang w:eastAsia="en-US"/>
        </w:rPr>
        <w:t>,</w:t>
      </w:r>
      <w:r>
        <w:rPr>
          <w:lang w:eastAsia="en-US"/>
        </w:rPr>
        <w:t xml:space="preserve"> and</w:t>
      </w:r>
    </w:p>
    <w:p w:rsidR="007C6A5F" w:rsidRDefault="007C6A5F" w:rsidP="005A6F87">
      <w:pPr>
        <w:pStyle w:val="ListBullet"/>
        <w:numPr>
          <w:ilvl w:val="0"/>
          <w:numId w:val="17"/>
        </w:numPr>
        <w:rPr>
          <w:lang w:eastAsia="en-US"/>
        </w:rPr>
      </w:pPr>
      <w:r>
        <w:rPr>
          <w:lang w:eastAsia="en-US"/>
        </w:rPr>
        <w:lastRenderedPageBreak/>
        <w:t xml:space="preserve">DCWC’s scenarios for ‘very high cost’ for some design elements (because, where these modifications do proceed, the number is likely to be low, implying they will not impact the average greatly). </w:t>
      </w:r>
    </w:p>
    <w:p w:rsidR="007C6A5F" w:rsidRDefault="007C6A5F" w:rsidP="007C6A5F">
      <w:pPr>
        <w:pStyle w:val="BodyText"/>
        <w:rPr>
          <w:lang w:eastAsia="en-US"/>
        </w:rPr>
      </w:pPr>
      <w:r>
        <w:rPr>
          <w:lang w:eastAsia="en-US"/>
        </w:rPr>
        <w:t xml:space="preserve">DCWC’s costs </w:t>
      </w:r>
      <w:r w:rsidRPr="00FF3A4A">
        <w:rPr>
          <w:lang w:eastAsia="en-US"/>
        </w:rPr>
        <w:t>estimates vary significantly depending on whether a dwelling is modified to meet LHDG Silver or Gold standard</w:t>
      </w:r>
      <w:r>
        <w:rPr>
          <w:lang w:eastAsia="en-US"/>
        </w:rPr>
        <w:t>. Based on discussions with stakeholders, LHDG Silver standard would meet the needs of non</w:t>
      </w:r>
      <w:r>
        <w:rPr>
          <w:lang w:eastAsia="en-US"/>
        </w:rPr>
        <w:noBreakHyphen/>
        <w:t>wheelchair users with a disability, but wheelchair users would require Gold standard. We therefore assume that:</w:t>
      </w:r>
    </w:p>
    <w:p w:rsidR="007C6A5F" w:rsidRDefault="007C6A5F" w:rsidP="005A6F87">
      <w:pPr>
        <w:pStyle w:val="ListBullet"/>
        <w:numPr>
          <w:ilvl w:val="0"/>
          <w:numId w:val="17"/>
        </w:numPr>
        <w:rPr>
          <w:lang w:eastAsia="en-US"/>
        </w:rPr>
      </w:pPr>
      <w:r>
        <w:rPr>
          <w:lang w:eastAsia="en-US"/>
        </w:rPr>
        <w:t>the modifications made by non</w:t>
      </w:r>
      <w:r>
        <w:rPr>
          <w:lang w:eastAsia="en-US"/>
        </w:rPr>
        <w:noBreakHyphen/>
        <w:t>wheelchair users would meet LHDG Silver standard</w:t>
      </w:r>
    </w:p>
    <w:p w:rsidR="007C6A5F" w:rsidRDefault="007C6A5F" w:rsidP="005A6F87">
      <w:pPr>
        <w:pStyle w:val="ListBullet"/>
        <w:numPr>
          <w:ilvl w:val="0"/>
          <w:numId w:val="17"/>
        </w:numPr>
        <w:rPr>
          <w:lang w:eastAsia="en-US"/>
        </w:rPr>
      </w:pPr>
      <w:r>
        <w:rPr>
          <w:lang w:eastAsia="en-US"/>
        </w:rPr>
        <w:t>the modifications made by wheelchair users would meet Gold standard.</w:t>
      </w:r>
    </w:p>
    <w:p w:rsidR="007C6A5F" w:rsidRDefault="007C6A5F" w:rsidP="007C6A5F">
      <w:pPr>
        <w:pStyle w:val="BodyText"/>
        <w:rPr>
          <w:lang w:eastAsia="en-US"/>
        </w:rPr>
      </w:pPr>
      <w:r>
        <w:rPr>
          <w:lang w:eastAsia="en-US"/>
        </w:rPr>
        <w:t>Based on the above information, we estimate that the weighted average cost of home modifications made to Class 1a dwellings is: around $23 680 for non</w:t>
      </w:r>
      <w:r>
        <w:rPr>
          <w:lang w:eastAsia="en-US"/>
        </w:rPr>
        <w:noBreakHyphen/>
        <w:t>wheelchair users; and around $47 880 for wheelchair users (table C.3).</w:t>
      </w:r>
    </w:p>
    <w:p w:rsidR="007C6A5F" w:rsidRDefault="007C6A5F" w:rsidP="007C6A5F">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C</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C</w:instrText>
      </w:r>
      <w:r>
        <w:rPr>
          <w:noProof/>
        </w:rPr>
        <w:fldChar w:fldCharType="end"/>
      </w:r>
      <w:r w:rsidRPr="00695C93">
        <w:instrText xml:space="preserve">." </w:instrText>
      </w:r>
      <w:r w:rsidRPr="00695C93">
        <w:fldChar w:fldCharType="separate"/>
      </w:r>
      <w:r>
        <w:rPr>
          <w:noProof/>
        </w:rPr>
        <w:instrText>C</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C</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3</w:instrText>
      </w:r>
      <w:r w:rsidRPr="00695C93">
        <w:fldChar w:fldCharType="end"/>
      </w:r>
      <w:r w:rsidRPr="00695C93">
        <w:instrText xml:space="preserve">" "" </w:instrText>
      </w:r>
      <w:r w:rsidRPr="00695C93">
        <w:fldChar w:fldCharType="separate"/>
      </w:r>
      <w:bookmarkStart w:id="6652" w:name="_Caption4044"/>
      <w:bookmarkStart w:id="6653" w:name="_Caption3914"/>
      <w:bookmarkStart w:id="6654" w:name="_Caption7984"/>
      <w:bookmarkStart w:id="6655" w:name="_Caption9153"/>
      <w:bookmarkStart w:id="6656" w:name="_Caption4777"/>
      <w:bookmarkStart w:id="6657" w:name="_Caption4958"/>
      <w:bookmarkStart w:id="6658" w:name="_Toc44598581"/>
      <w:bookmarkStart w:id="6659" w:name="_Toc45654212"/>
      <w:r w:rsidR="00272AF3">
        <w:rPr>
          <w:noProof/>
        </w:rPr>
        <w:t>C</w:t>
      </w:r>
      <w:r w:rsidR="00272AF3" w:rsidRPr="00695C93">
        <w:rPr>
          <w:noProof/>
        </w:rPr>
        <w:t>.</w:t>
      </w:r>
      <w:r w:rsidR="00272AF3">
        <w:rPr>
          <w:noProof/>
        </w:rPr>
        <w:t>3</w:t>
      </w:r>
      <w:bookmarkEnd w:id="6652"/>
      <w:bookmarkEnd w:id="6653"/>
      <w:bookmarkEnd w:id="6654"/>
      <w:bookmarkEnd w:id="6655"/>
      <w:bookmarkEnd w:id="6656"/>
      <w:bookmarkEnd w:id="6657"/>
      <w:r w:rsidRPr="00695C93">
        <w:fldChar w:fldCharType="end"/>
      </w:r>
      <w:r w:rsidRPr="00695C93">
        <w:tab/>
      </w:r>
      <w:r>
        <w:t>Weighted average cost of modifications for Class 1a dwellings</w:t>
      </w:r>
      <w:bookmarkEnd w:id="6658"/>
      <w:bookmarkEnd w:id="6659"/>
    </w:p>
    <w:tbl>
      <w:tblPr>
        <w:tblStyle w:val="TableGridLight"/>
        <w:tblW w:w="7938" w:type="dxa"/>
        <w:tblLayout w:type="fixed"/>
        <w:tblLook w:val="0020" w:firstRow="1" w:lastRow="0" w:firstColumn="0" w:lastColumn="0" w:noHBand="0" w:noVBand="0"/>
        <w:tblCaption w:val="Table C.3"/>
        <w:tblDescription w:val="Weighted average cost of modifications for Class 1a dwellings"/>
      </w:tblPr>
      <w:tblGrid>
        <w:gridCol w:w="2261"/>
        <w:gridCol w:w="1419"/>
        <w:gridCol w:w="1419"/>
        <w:gridCol w:w="1420"/>
        <w:gridCol w:w="1419"/>
      </w:tblGrid>
      <w:tr w:rsidR="007C6A5F" w:rsidTr="006D6FC1">
        <w:trPr>
          <w:trHeight w:val="461"/>
          <w:tblHeader/>
        </w:trPr>
        <w:tc>
          <w:tcPr>
            <w:tcW w:w="2261" w:type="dxa"/>
            <w:tcBorders>
              <w:top w:val="nil"/>
              <w:left w:val="nil"/>
              <w:bottom w:val="nil"/>
              <w:right w:val="nil"/>
            </w:tcBorders>
            <w:shd w:val="clear" w:color="auto" w:fill="6F6652" w:themeFill="accent5"/>
          </w:tcPr>
          <w:p w:rsidR="007C6A5F" w:rsidRDefault="005A7FEC" w:rsidP="00C36DA4">
            <w:pPr>
              <w:pStyle w:val="TableDataColumnHeading"/>
              <w:jc w:val="left"/>
              <w:rPr>
                <w:lang w:val="en-GB"/>
              </w:rPr>
            </w:pPr>
            <w:r>
              <w:rPr>
                <w:lang w:val="en-GB"/>
              </w:rPr>
              <w:t>Modification</w:t>
            </w:r>
          </w:p>
        </w:tc>
        <w:tc>
          <w:tcPr>
            <w:tcW w:w="1419" w:type="dxa"/>
            <w:tcBorders>
              <w:top w:val="nil"/>
              <w:left w:val="nil"/>
              <w:bottom w:val="nil"/>
              <w:right w:val="nil"/>
            </w:tcBorders>
            <w:shd w:val="clear" w:color="auto" w:fill="6F6652" w:themeFill="accent5"/>
          </w:tcPr>
          <w:p w:rsidR="007C6A5F" w:rsidRDefault="005A7FEC" w:rsidP="00C36DA4">
            <w:pPr>
              <w:pStyle w:val="TableDataColumnHeading"/>
              <w:rPr>
                <w:lang w:val="en-GB"/>
              </w:rPr>
            </w:pPr>
            <w:r>
              <w:rPr>
                <w:lang w:val="en-GB"/>
              </w:rPr>
              <w:t>Non-wheelchair users:</w:t>
            </w:r>
            <w:r>
              <w:rPr>
                <w:lang w:val="en-GB"/>
              </w:rPr>
              <w:br/>
              <w:t xml:space="preserve"> </w:t>
            </w:r>
            <w:r w:rsidR="007C6A5F">
              <w:rPr>
                <w:lang w:val="en-GB"/>
              </w:rPr>
              <w:t xml:space="preserve">Share of modifications with relevant feature </w:t>
            </w:r>
            <w:r w:rsidR="007C6A5F" w:rsidRPr="00A96B1A">
              <w:rPr>
                <w:rStyle w:val="NoteLabel"/>
                <w:color w:val="FFFFFF" w:themeColor="background1"/>
              </w:rPr>
              <w:t>a</w:t>
            </w:r>
            <w:r>
              <w:rPr>
                <w:rStyle w:val="NoteLabel"/>
                <w:color w:val="FFFFFF" w:themeColor="background1"/>
              </w:rPr>
              <w:t xml:space="preserve"> </w:t>
            </w:r>
            <w:r>
              <w:rPr>
                <w:rStyle w:val="NoteLabel"/>
                <w:color w:val="FFFFFF" w:themeColor="background1"/>
              </w:rPr>
              <w:br/>
            </w:r>
            <w:r>
              <w:rPr>
                <w:lang w:val="en-GB"/>
              </w:rPr>
              <w:t>(per cent)</w:t>
            </w:r>
          </w:p>
        </w:tc>
        <w:tc>
          <w:tcPr>
            <w:tcW w:w="1419" w:type="dxa"/>
            <w:tcBorders>
              <w:top w:val="nil"/>
              <w:left w:val="nil"/>
              <w:bottom w:val="nil"/>
              <w:right w:val="nil"/>
            </w:tcBorders>
            <w:shd w:val="clear" w:color="auto" w:fill="6F6652" w:themeFill="accent5"/>
          </w:tcPr>
          <w:p w:rsidR="007C6A5F" w:rsidRPr="00DF7B3F" w:rsidRDefault="005A7FEC" w:rsidP="00C36DA4">
            <w:pPr>
              <w:pStyle w:val="TableDataColumnHeading"/>
              <w:rPr>
                <w:b/>
                <w:bCs/>
                <w:lang w:val="en-GB"/>
              </w:rPr>
            </w:pPr>
            <w:r>
              <w:rPr>
                <w:lang w:val="en-GB"/>
              </w:rPr>
              <w:t xml:space="preserve">Non-wheelchair users: </w:t>
            </w:r>
            <w:r>
              <w:rPr>
                <w:lang w:val="en-GB"/>
              </w:rPr>
              <w:br/>
            </w:r>
            <w:r w:rsidR="007C6A5F">
              <w:rPr>
                <w:lang w:val="en-GB"/>
              </w:rPr>
              <w:t xml:space="preserve">Unit cost </w:t>
            </w:r>
            <w:r w:rsidR="007C6A5F" w:rsidRPr="00A96B1A">
              <w:rPr>
                <w:rStyle w:val="NoteLabel"/>
                <w:color w:val="FFFFFF" w:themeColor="background1"/>
              </w:rPr>
              <w:t>b</w:t>
            </w:r>
            <w:r>
              <w:rPr>
                <w:rStyle w:val="NoteLabel"/>
                <w:color w:val="FFFFFF" w:themeColor="background1"/>
              </w:rPr>
              <w:t xml:space="preserve"> </w:t>
            </w:r>
            <w:r>
              <w:rPr>
                <w:rStyle w:val="NoteLabel"/>
                <w:color w:val="FFFFFF" w:themeColor="background1"/>
              </w:rPr>
              <w:br/>
            </w:r>
            <w:r>
              <w:rPr>
                <w:lang w:val="en-GB"/>
              </w:rPr>
              <w:br/>
              <w:t>($)</w:t>
            </w:r>
          </w:p>
        </w:tc>
        <w:tc>
          <w:tcPr>
            <w:tcW w:w="1420" w:type="dxa"/>
            <w:tcBorders>
              <w:top w:val="nil"/>
              <w:left w:val="nil"/>
              <w:bottom w:val="nil"/>
              <w:right w:val="nil"/>
            </w:tcBorders>
            <w:shd w:val="clear" w:color="auto" w:fill="6F6652" w:themeFill="accent5"/>
          </w:tcPr>
          <w:p w:rsidR="007C6A5F" w:rsidRDefault="005A7FEC" w:rsidP="00C36DA4">
            <w:pPr>
              <w:pStyle w:val="TableDataColumnHeading"/>
              <w:rPr>
                <w:lang w:val="en-GB"/>
              </w:rPr>
            </w:pPr>
            <w:r>
              <w:rPr>
                <w:lang w:val="en-GB"/>
              </w:rPr>
              <w:t xml:space="preserve">Wheelchair users: </w:t>
            </w:r>
            <w:r>
              <w:rPr>
                <w:lang w:val="en-GB"/>
              </w:rPr>
              <w:br/>
            </w:r>
            <w:r w:rsidR="007C6A5F">
              <w:rPr>
                <w:lang w:val="en-GB"/>
              </w:rPr>
              <w:t xml:space="preserve">Share of modifications with relevant feature </w:t>
            </w:r>
            <w:r w:rsidR="007C6A5F" w:rsidRPr="00A96B1A">
              <w:rPr>
                <w:rStyle w:val="NoteLabel"/>
                <w:color w:val="FFFFFF" w:themeColor="background1"/>
              </w:rPr>
              <w:t>c</w:t>
            </w:r>
            <w:r>
              <w:rPr>
                <w:rStyle w:val="NoteLabel"/>
                <w:color w:val="FFFFFF" w:themeColor="background1"/>
              </w:rPr>
              <w:t xml:space="preserve"> </w:t>
            </w:r>
            <w:r>
              <w:rPr>
                <w:rStyle w:val="NoteLabel"/>
                <w:color w:val="FFFFFF" w:themeColor="background1"/>
              </w:rPr>
              <w:br/>
            </w:r>
            <w:r>
              <w:rPr>
                <w:lang w:val="en-GB"/>
              </w:rPr>
              <w:t>(per cent)</w:t>
            </w:r>
          </w:p>
        </w:tc>
        <w:tc>
          <w:tcPr>
            <w:tcW w:w="1419" w:type="dxa"/>
            <w:tcBorders>
              <w:top w:val="nil"/>
              <w:left w:val="nil"/>
              <w:bottom w:val="nil"/>
              <w:right w:val="nil"/>
            </w:tcBorders>
            <w:shd w:val="clear" w:color="auto" w:fill="6F6652" w:themeFill="accent5"/>
          </w:tcPr>
          <w:p w:rsidR="007C6A5F" w:rsidRDefault="005A7FEC" w:rsidP="00C36DA4">
            <w:pPr>
              <w:pStyle w:val="TableDataColumnHeading"/>
              <w:rPr>
                <w:lang w:val="en-GB"/>
              </w:rPr>
            </w:pPr>
            <w:r>
              <w:rPr>
                <w:lang w:val="en-GB"/>
              </w:rPr>
              <w:t xml:space="preserve">Wheelchair users: </w:t>
            </w:r>
            <w:r>
              <w:rPr>
                <w:lang w:val="en-GB"/>
              </w:rPr>
              <w:br/>
            </w:r>
            <w:r w:rsidR="007C6A5F">
              <w:rPr>
                <w:lang w:val="en-GB"/>
              </w:rPr>
              <w:t xml:space="preserve">Unit cost </w:t>
            </w:r>
            <w:r w:rsidR="007C6A5F" w:rsidRPr="00A96B1A">
              <w:rPr>
                <w:rStyle w:val="NoteLabel"/>
                <w:color w:val="FFFFFF" w:themeColor="background1"/>
              </w:rPr>
              <w:t>d</w:t>
            </w:r>
            <w:r>
              <w:rPr>
                <w:rStyle w:val="NoteLabel"/>
                <w:color w:val="FFFFFF" w:themeColor="background1"/>
              </w:rPr>
              <w:t xml:space="preserve"> </w:t>
            </w:r>
            <w:r>
              <w:rPr>
                <w:rStyle w:val="NoteLabel"/>
                <w:color w:val="FFFFFF" w:themeColor="background1"/>
              </w:rPr>
              <w:br/>
            </w:r>
            <w:r>
              <w:rPr>
                <w:lang w:val="en-GB"/>
              </w:rPr>
              <w:br/>
              <w:t>($)</w:t>
            </w:r>
          </w:p>
        </w:tc>
      </w:tr>
      <w:tr w:rsidR="007C6A5F" w:rsidTr="005F6B0D">
        <w:trPr>
          <w:trHeight w:val="230"/>
        </w:trPr>
        <w:tc>
          <w:tcPr>
            <w:tcW w:w="2261"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Structural changes</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16</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13 464</w:t>
            </w:r>
          </w:p>
        </w:tc>
        <w:tc>
          <w:tcPr>
            <w:tcW w:w="1420"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29</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15 631</w:t>
            </w:r>
          </w:p>
        </w:tc>
      </w:tr>
      <w:tr w:rsidR="007C6A5F" w:rsidTr="005F6B0D">
        <w:trPr>
          <w:trHeight w:val="230"/>
        </w:trPr>
        <w:tc>
          <w:tcPr>
            <w:tcW w:w="2261"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Ramps</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29</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3 781</w:t>
            </w:r>
          </w:p>
        </w:tc>
        <w:tc>
          <w:tcPr>
            <w:tcW w:w="1420"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72</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4 442</w:t>
            </w:r>
          </w:p>
        </w:tc>
      </w:tr>
      <w:tr w:rsidR="007C6A5F" w:rsidTr="005F6B0D">
        <w:trPr>
          <w:trHeight w:val="230"/>
        </w:trPr>
        <w:tc>
          <w:tcPr>
            <w:tcW w:w="2261"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Toilet, bath or laundry modifications</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78</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25 687</w:t>
            </w:r>
          </w:p>
        </w:tc>
        <w:tc>
          <w:tcPr>
            <w:tcW w:w="1420"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87</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43 872</w:t>
            </w:r>
          </w:p>
        </w:tc>
      </w:tr>
      <w:tr w:rsidR="007C6A5F" w:rsidTr="005F6B0D">
        <w:trPr>
          <w:trHeight w:val="230"/>
        </w:trPr>
        <w:tc>
          <w:tcPr>
            <w:tcW w:w="2261"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Kitchen modifications</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5</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5 040</w:t>
            </w:r>
          </w:p>
        </w:tc>
        <w:tc>
          <w:tcPr>
            <w:tcW w:w="1420"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17</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5 040</w:t>
            </w:r>
          </w:p>
        </w:tc>
      </w:tr>
      <w:tr w:rsidR="007C6A5F" w:rsidTr="00B5160B">
        <w:trPr>
          <w:trHeight w:val="230"/>
        </w:trPr>
        <w:tc>
          <w:tcPr>
            <w:tcW w:w="2261"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Doors widened</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4</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4 750</w:t>
            </w:r>
          </w:p>
        </w:tc>
        <w:tc>
          <w:tcPr>
            <w:tcW w:w="1420"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24</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5 500</w:t>
            </w:r>
          </w:p>
        </w:tc>
      </w:tr>
      <w:tr w:rsidR="007C6A5F" w:rsidRPr="001F224E" w:rsidTr="00B5160B">
        <w:trPr>
          <w:trHeight w:val="230"/>
        </w:trPr>
        <w:tc>
          <w:tcPr>
            <w:tcW w:w="2261"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1F224E" w:rsidRDefault="007C6A5F" w:rsidP="00C36DA4">
            <w:pPr>
              <w:pStyle w:val="TableDataEntries"/>
              <w:jc w:val="left"/>
              <w:rPr>
                <w:rFonts w:ascii="Franklin Gothic Demi" w:hAnsi="Franklin Gothic Demi"/>
                <w:lang w:val="en-GB"/>
              </w:rPr>
            </w:pPr>
            <w:r w:rsidRPr="001F224E">
              <w:rPr>
                <w:rFonts w:ascii="Franklin Gothic Demi" w:hAnsi="Franklin Gothic Demi"/>
                <w:lang w:val="en-GB"/>
              </w:rPr>
              <w:t>Weighted average</w:t>
            </w:r>
          </w:p>
        </w:tc>
        <w:tc>
          <w:tcPr>
            <w:tcW w:w="1419"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1F224E" w:rsidRDefault="00526AF5" w:rsidP="00C36DA4">
            <w:pPr>
              <w:pStyle w:val="TableDataEntries"/>
              <w:rPr>
                <w:rFonts w:ascii="Franklin Gothic Demi" w:hAnsi="Franklin Gothic Demi"/>
                <w:lang w:val="en-GB"/>
              </w:rPr>
            </w:pPr>
            <w:r>
              <w:rPr>
                <w:rFonts w:ascii="Franklin Gothic Demi" w:hAnsi="Franklin Gothic Demi"/>
                <w:lang w:val="en-GB"/>
              </w:rPr>
              <w:t>n.a.</w:t>
            </w:r>
          </w:p>
        </w:tc>
        <w:tc>
          <w:tcPr>
            <w:tcW w:w="1419"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1F224E" w:rsidRDefault="007C6A5F" w:rsidP="00C36DA4">
            <w:pPr>
              <w:pStyle w:val="TableDataEntries"/>
              <w:rPr>
                <w:rFonts w:ascii="Franklin Gothic Demi" w:hAnsi="Franklin Gothic Demi"/>
                <w:lang w:val="en-GB"/>
              </w:rPr>
            </w:pPr>
            <w:r w:rsidRPr="001F224E">
              <w:rPr>
                <w:rFonts w:ascii="Franklin Gothic Demi" w:hAnsi="Franklin Gothic Demi"/>
                <w:lang w:val="en-GB"/>
              </w:rPr>
              <w:t>23 682</w:t>
            </w:r>
          </w:p>
        </w:tc>
        <w:tc>
          <w:tcPr>
            <w:tcW w:w="1420"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1F224E" w:rsidRDefault="00526AF5" w:rsidP="00C36DA4">
            <w:pPr>
              <w:pStyle w:val="TableDataEntries"/>
              <w:rPr>
                <w:rFonts w:ascii="Franklin Gothic Demi" w:hAnsi="Franklin Gothic Demi"/>
                <w:lang w:val="en-GB"/>
              </w:rPr>
            </w:pPr>
            <w:r>
              <w:rPr>
                <w:rFonts w:ascii="Franklin Gothic Demi" w:hAnsi="Franklin Gothic Demi"/>
                <w:lang w:val="en-GB"/>
              </w:rPr>
              <w:t>n.a.</w:t>
            </w:r>
          </w:p>
        </w:tc>
        <w:tc>
          <w:tcPr>
            <w:tcW w:w="1419"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1F224E" w:rsidRDefault="007C6A5F" w:rsidP="00C36DA4">
            <w:pPr>
              <w:pStyle w:val="TableDataEntries"/>
              <w:rPr>
                <w:rFonts w:ascii="Franklin Gothic Demi" w:hAnsi="Franklin Gothic Demi"/>
                <w:lang w:val="en-GB"/>
              </w:rPr>
            </w:pPr>
            <w:r w:rsidRPr="001F224E">
              <w:rPr>
                <w:rFonts w:ascii="Franklin Gothic Demi" w:hAnsi="Franklin Gothic Demi"/>
                <w:lang w:val="en-GB"/>
              </w:rPr>
              <w:t>47 880</w:t>
            </w:r>
          </w:p>
        </w:tc>
      </w:tr>
    </w:tbl>
    <w:p w:rsidR="007C6A5F" w:rsidRPr="00E4232C" w:rsidRDefault="007C6A5F" w:rsidP="007C6A5F">
      <w:pPr>
        <w:pStyle w:val="Note"/>
      </w:pPr>
      <w:r w:rsidRPr="00A96B1A">
        <w:rPr>
          <w:rStyle w:val="NoteLabel"/>
          <w:color w:val="000000" w:themeColor="text1"/>
        </w:rPr>
        <w:t>a</w:t>
      </w:r>
      <w:r>
        <w:t xml:space="preserve"> Based on the modifications made by non</w:t>
      </w:r>
      <w:r>
        <w:noBreakHyphen/>
        <w:t xml:space="preserve">wheelchair users living in Class 1a dwellings reported in SDAC (2018). Weights add to more than 100 per cent because many dwellings have multiple modifications. </w:t>
      </w:r>
      <w:r w:rsidRPr="00A96B1A">
        <w:rPr>
          <w:rStyle w:val="NoteLabel"/>
          <w:color w:val="000000" w:themeColor="text1"/>
        </w:rPr>
        <w:t>b</w:t>
      </w:r>
      <w:r>
        <w:t xml:space="preserve"> Based on DCWC’s estimates of the cost of relevant changes to meet LHDG Silver standard prepared for ABCB’s Options Paper. </w:t>
      </w:r>
      <w:r w:rsidRPr="00A96B1A">
        <w:rPr>
          <w:rStyle w:val="NoteLabel"/>
          <w:color w:val="000000" w:themeColor="text1"/>
        </w:rPr>
        <w:t>c</w:t>
      </w:r>
      <w:r>
        <w:t xml:space="preserve"> Based on the modifications made by wheelchair users living in Class 1a dwellings reported in SDAC (2018). Weights add to more than 100 per cent because many dwellings have multiple modifications. </w:t>
      </w:r>
      <w:r w:rsidRPr="00A96B1A">
        <w:rPr>
          <w:rStyle w:val="NoteLabel"/>
          <w:color w:val="000000" w:themeColor="text1"/>
        </w:rPr>
        <w:t>d</w:t>
      </w:r>
      <w:r>
        <w:t xml:space="preserve"> Based on DCWC’s estimates of the cost of relevant changes to meet LHDG Gold standard prepared for ABCB’s Options Paper.</w:t>
      </w:r>
    </w:p>
    <w:p w:rsidR="007C6A5F" w:rsidRDefault="007C6A5F" w:rsidP="007C6A5F">
      <w:pPr>
        <w:pStyle w:val="Note"/>
      </w:pPr>
      <w:r w:rsidRPr="007D1B4F">
        <w:rPr>
          <w:i/>
        </w:rPr>
        <w:t>Note:</w:t>
      </w:r>
      <w:r w:rsidRPr="00E879B8">
        <w:t xml:space="preserve"> </w:t>
      </w:r>
      <w:r>
        <w:t>We assume that the modifications made by non</w:t>
      </w:r>
      <w:r>
        <w:noBreakHyphen/>
        <w:t>wheelchair users meet LHDG Silver standard for the relevant design elements and the modifications made by wheelchair users meet LHDG Gold standard for the relevant design elements.</w:t>
      </w:r>
    </w:p>
    <w:p w:rsidR="007C6A5F" w:rsidRDefault="007C6A5F" w:rsidP="007C6A5F">
      <w:pPr>
        <w:pStyle w:val="Source"/>
      </w:pPr>
      <w:r>
        <w:rPr>
          <w:i/>
        </w:rPr>
        <w:t>Source</w:t>
      </w:r>
      <w:r w:rsidRPr="00E4232C">
        <w:rPr>
          <w:i/>
        </w:rPr>
        <w:t>:</w:t>
      </w:r>
      <w:r>
        <w:t xml:space="preserve"> CIE based on: ABS, 2018 Survey of Disabilities, Ageing and Carers, TableBuilder; and DCWC’s estimates for ABCB’s Options Paper.</w:t>
      </w:r>
    </w:p>
    <w:p w:rsidR="007C6A5F" w:rsidRDefault="007C6A5F" w:rsidP="007C6A5F">
      <w:pPr>
        <w:pStyle w:val="BodyText"/>
        <w:rPr>
          <w:lang w:eastAsia="en-US"/>
        </w:rPr>
      </w:pPr>
      <w:r>
        <w:rPr>
          <w:lang w:eastAsia="en-US"/>
        </w:rPr>
        <w:t>For Class 2 dwellings, we estimate the weighted average cost of home modifications for non</w:t>
      </w:r>
      <w:r>
        <w:rPr>
          <w:lang w:eastAsia="en-US"/>
        </w:rPr>
        <w:noBreakHyphen/>
        <w:t>wheelchair users is around $40 400 and around $57 200 for wheelchair users (table C.4).</w:t>
      </w:r>
    </w:p>
    <w:p w:rsidR="007C6A5F" w:rsidRDefault="007C6A5F" w:rsidP="007C6A5F">
      <w:pPr>
        <w:pStyle w:val="Caption"/>
        <w:spacing w:before="240"/>
      </w:pPr>
      <w:r w:rsidRPr="00695C93">
        <w:lastRenderedPageBreak/>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C</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C</w:instrText>
      </w:r>
      <w:r>
        <w:rPr>
          <w:noProof/>
        </w:rPr>
        <w:fldChar w:fldCharType="end"/>
      </w:r>
      <w:r w:rsidRPr="00695C93">
        <w:instrText xml:space="preserve">." </w:instrText>
      </w:r>
      <w:r w:rsidRPr="00695C93">
        <w:fldChar w:fldCharType="separate"/>
      </w:r>
      <w:r>
        <w:rPr>
          <w:noProof/>
        </w:rPr>
        <w:instrText>C</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C</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4</w:instrText>
      </w:r>
      <w:r w:rsidRPr="00695C93">
        <w:fldChar w:fldCharType="end"/>
      </w:r>
      <w:r w:rsidRPr="00695C93">
        <w:instrText xml:space="preserve">" "" </w:instrText>
      </w:r>
      <w:r w:rsidRPr="00695C93">
        <w:fldChar w:fldCharType="separate"/>
      </w:r>
      <w:bookmarkStart w:id="6660" w:name="_Caption1977"/>
      <w:bookmarkStart w:id="6661" w:name="_Caption9018"/>
      <w:bookmarkStart w:id="6662" w:name="_Caption2363"/>
      <w:bookmarkStart w:id="6663" w:name="_Caption8703"/>
      <w:bookmarkStart w:id="6664" w:name="_Caption5241"/>
      <w:bookmarkStart w:id="6665" w:name="_Caption8821"/>
      <w:bookmarkStart w:id="6666" w:name="_Toc44598582"/>
      <w:bookmarkStart w:id="6667" w:name="_Toc45654213"/>
      <w:r w:rsidR="00272AF3">
        <w:rPr>
          <w:noProof/>
        </w:rPr>
        <w:t>C</w:t>
      </w:r>
      <w:r w:rsidR="00272AF3" w:rsidRPr="00695C93">
        <w:rPr>
          <w:noProof/>
        </w:rPr>
        <w:t>.</w:t>
      </w:r>
      <w:r w:rsidR="00272AF3">
        <w:rPr>
          <w:noProof/>
        </w:rPr>
        <w:t>4</w:t>
      </w:r>
      <w:bookmarkEnd w:id="6660"/>
      <w:bookmarkEnd w:id="6661"/>
      <w:bookmarkEnd w:id="6662"/>
      <w:bookmarkEnd w:id="6663"/>
      <w:bookmarkEnd w:id="6664"/>
      <w:bookmarkEnd w:id="6665"/>
      <w:r w:rsidRPr="00695C93">
        <w:fldChar w:fldCharType="end"/>
      </w:r>
      <w:r w:rsidRPr="00695C93">
        <w:tab/>
      </w:r>
      <w:r>
        <w:t>Weighted average cost of modifications for Class 2 dwellings</w:t>
      </w:r>
      <w:bookmarkEnd w:id="6666"/>
      <w:bookmarkEnd w:id="6667"/>
    </w:p>
    <w:tbl>
      <w:tblPr>
        <w:tblStyle w:val="TableGridLight"/>
        <w:tblW w:w="7938" w:type="dxa"/>
        <w:tblLayout w:type="fixed"/>
        <w:tblLook w:val="0020" w:firstRow="1" w:lastRow="0" w:firstColumn="0" w:lastColumn="0" w:noHBand="0" w:noVBand="0"/>
        <w:tblCaption w:val="Table C.4"/>
        <w:tblDescription w:val="Weighted average cost of modifications for Class 2 dwellings"/>
      </w:tblPr>
      <w:tblGrid>
        <w:gridCol w:w="2261"/>
        <w:gridCol w:w="1419"/>
        <w:gridCol w:w="1419"/>
        <w:gridCol w:w="1420"/>
        <w:gridCol w:w="1419"/>
      </w:tblGrid>
      <w:tr w:rsidR="007C6A5F" w:rsidRPr="00EB3218" w:rsidTr="006D6FC1">
        <w:trPr>
          <w:trHeight w:val="461"/>
          <w:tblHeader/>
        </w:trPr>
        <w:tc>
          <w:tcPr>
            <w:tcW w:w="2261" w:type="dxa"/>
            <w:tcBorders>
              <w:top w:val="nil"/>
              <w:left w:val="nil"/>
              <w:bottom w:val="nil"/>
              <w:right w:val="nil"/>
            </w:tcBorders>
            <w:shd w:val="clear" w:color="auto" w:fill="6F6652" w:themeFill="accent5"/>
          </w:tcPr>
          <w:p w:rsidR="007C6A5F" w:rsidRDefault="00EB3218" w:rsidP="00C36DA4">
            <w:pPr>
              <w:pStyle w:val="TableDataColumnHeading"/>
              <w:jc w:val="left"/>
              <w:rPr>
                <w:lang w:val="en-GB"/>
              </w:rPr>
            </w:pPr>
            <w:r>
              <w:rPr>
                <w:lang w:val="en-GB"/>
              </w:rPr>
              <w:t>Modification</w:t>
            </w:r>
          </w:p>
        </w:tc>
        <w:tc>
          <w:tcPr>
            <w:tcW w:w="1419" w:type="dxa"/>
            <w:tcBorders>
              <w:top w:val="nil"/>
              <w:left w:val="nil"/>
              <w:bottom w:val="nil"/>
              <w:right w:val="nil"/>
            </w:tcBorders>
            <w:shd w:val="clear" w:color="auto" w:fill="6F6652" w:themeFill="accent5"/>
          </w:tcPr>
          <w:p w:rsidR="007C6A5F" w:rsidRDefault="00EB3218" w:rsidP="00C36DA4">
            <w:pPr>
              <w:pStyle w:val="TableDataColumnHeading"/>
              <w:rPr>
                <w:lang w:val="en-GB"/>
              </w:rPr>
            </w:pPr>
            <w:r>
              <w:rPr>
                <w:lang w:val="en-GB"/>
              </w:rPr>
              <w:t>Non-wheelchair users:</w:t>
            </w:r>
            <w:r>
              <w:rPr>
                <w:lang w:val="en-GB"/>
              </w:rPr>
              <w:br/>
            </w:r>
            <w:r w:rsidR="007C6A5F">
              <w:rPr>
                <w:lang w:val="en-GB"/>
              </w:rPr>
              <w:t xml:space="preserve">Share of modifications with relevant feature </w:t>
            </w:r>
            <w:r w:rsidR="007C6A5F" w:rsidRPr="00A96B1A">
              <w:rPr>
                <w:rStyle w:val="NoteLabel"/>
                <w:color w:val="FFFFFF" w:themeColor="background1"/>
              </w:rPr>
              <w:t>a</w:t>
            </w:r>
            <w:r>
              <w:rPr>
                <w:rStyle w:val="NoteLabel"/>
                <w:color w:val="FFFFFF" w:themeColor="background1"/>
              </w:rPr>
              <w:br/>
              <w:t>(per cent)</w:t>
            </w:r>
          </w:p>
        </w:tc>
        <w:tc>
          <w:tcPr>
            <w:tcW w:w="1419" w:type="dxa"/>
            <w:tcBorders>
              <w:top w:val="nil"/>
              <w:left w:val="nil"/>
              <w:bottom w:val="nil"/>
              <w:right w:val="nil"/>
            </w:tcBorders>
            <w:shd w:val="clear" w:color="auto" w:fill="6F6652" w:themeFill="accent5"/>
          </w:tcPr>
          <w:p w:rsidR="007C6A5F" w:rsidRDefault="00EB3218" w:rsidP="00C36DA4">
            <w:pPr>
              <w:pStyle w:val="TableDataColumnHeading"/>
              <w:rPr>
                <w:lang w:val="en-GB"/>
              </w:rPr>
            </w:pPr>
            <w:r>
              <w:rPr>
                <w:lang w:val="en-GB"/>
              </w:rPr>
              <w:t>Non-wheelchair users:</w:t>
            </w:r>
            <w:r>
              <w:rPr>
                <w:lang w:val="en-GB"/>
              </w:rPr>
              <w:br/>
            </w:r>
            <w:r w:rsidR="007C6A5F">
              <w:rPr>
                <w:lang w:val="en-GB"/>
              </w:rPr>
              <w:t xml:space="preserve">Unit cost </w:t>
            </w:r>
            <w:r w:rsidR="007C6A5F" w:rsidRPr="00A96B1A">
              <w:rPr>
                <w:rStyle w:val="NoteLabel"/>
                <w:color w:val="FFFFFF" w:themeColor="background1"/>
              </w:rPr>
              <w:t>b</w:t>
            </w:r>
            <w:r>
              <w:rPr>
                <w:rStyle w:val="NoteLabel"/>
                <w:color w:val="FFFFFF" w:themeColor="background1"/>
              </w:rPr>
              <w:br/>
            </w:r>
            <w:r>
              <w:rPr>
                <w:rStyle w:val="NoteLabel"/>
                <w:color w:val="FFFFFF" w:themeColor="background1"/>
              </w:rPr>
              <w:br/>
              <w:t>($)</w:t>
            </w:r>
          </w:p>
        </w:tc>
        <w:tc>
          <w:tcPr>
            <w:tcW w:w="1420" w:type="dxa"/>
            <w:tcBorders>
              <w:top w:val="nil"/>
              <w:left w:val="nil"/>
              <w:bottom w:val="nil"/>
              <w:right w:val="nil"/>
            </w:tcBorders>
            <w:shd w:val="clear" w:color="auto" w:fill="6F6652" w:themeFill="accent5"/>
          </w:tcPr>
          <w:p w:rsidR="007C6A5F" w:rsidRDefault="00EB3218" w:rsidP="00C36DA4">
            <w:pPr>
              <w:pStyle w:val="TableDataColumnHeading"/>
              <w:rPr>
                <w:lang w:val="en-GB"/>
              </w:rPr>
            </w:pPr>
            <w:r>
              <w:rPr>
                <w:lang w:val="en-GB"/>
              </w:rPr>
              <w:t>Wheelchair users:</w:t>
            </w:r>
            <w:r>
              <w:rPr>
                <w:lang w:val="en-GB"/>
              </w:rPr>
              <w:br/>
            </w:r>
            <w:r w:rsidR="007C6A5F">
              <w:rPr>
                <w:lang w:val="en-GB"/>
              </w:rPr>
              <w:t xml:space="preserve">Share of modifications with relevant feature </w:t>
            </w:r>
            <w:r w:rsidR="007C6A5F" w:rsidRPr="00A96B1A">
              <w:rPr>
                <w:rStyle w:val="NoteLabel"/>
                <w:color w:val="FFFFFF" w:themeColor="background1"/>
              </w:rPr>
              <w:t>c</w:t>
            </w:r>
            <w:r>
              <w:rPr>
                <w:rStyle w:val="NoteLabel"/>
                <w:color w:val="FFFFFF" w:themeColor="background1"/>
              </w:rPr>
              <w:br/>
              <w:t>(per cent)</w:t>
            </w:r>
          </w:p>
        </w:tc>
        <w:tc>
          <w:tcPr>
            <w:tcW w:w="1419" w:type="dxa"/>
            <w:tcBorders>
              <w:top w:val="nil"/>
              <w:left w:val="nil"/>
              <w:bottom w:val="nil"/>
              <w:right w:val="nil"/>
            </w:tcBorders>
            <w:shd w:val="clear" w:color="auto" w:fill="6F6652" w:themeFill="accent5"/>
          </w:tcPr>
          <w:p w:rsidR="007C6A5F" w:rsidRDefault="00EB3218" w:rsidP="00C36DA4">
            <w:pPr>
              <w:pStyle w:val="TableDataColumnHeading"/>
              <w:rPr>
                <w:rStyle w:val="NoteLabel"/>
                <w:color w:val="FFFFFF" w:themeColor="background1"/>
              </w:rPr>
            </w:pPr>
            <w:r>
              <w:rPr>
                <w:lang w:val="en-GB"/>
              </w:rPr>
              <w:t>Wheelchair users:</w:t>
            </w:r>
            <w:r>
              <w:rPr>
                <w:lang w:val="en-GB"/>
              </w:rPr>
              <w:br/>
            </w:r>
            <w:r w:rsidR="007C6A5F">
              <w:rPr>
                <w:lang w:val="en-GB"/>
              </w:rPr>
              <w:t xml:space="preserve">Unit cost </w:t>
            </w:r>
            <w:r w:rsidR="007C6A5F" w:rsidRPr="00A96B1A">
              <w:rPr>
                <w:rStyle w:val="NoteLabel"/>
                <w:color w:val="FFFFFF" w:themeColor="background1"/>
              </w:rPr>
              <w:t>d</w:t>
            </w:r>
            <w:r>
              <w:rPr>
                <w:rStyle w:val="NoteLabel"/>
                <w:color w:val="FFFFFF" w:themeColor="background1"/>
              </w:rPr>
              <w:t xml:space="preserve"> </w:t>
            </w:r>
            <w:r>
              <w:rPr>
                <w:rStyle w:val="NoteLabel"/>
                <w:color w:val="FFFFFF" w:themeColor="background1"/>
              </w:rPr>
              <w:br/>
            </w:r>
          </w:p>
          <w:p w:rsidR="00EB3218" w:rsidRDefault="00EB3218" w:rsidP="00C36DA4">
            <w:pPr>
              <w:pStyle w:val="TableDataColumnHeading"/>
              <w:rPr>
                <w:lang w:val="en-GB"/>
              </w:rPr>
            </w:pPr>
            <w:r>
              <w:rPr>
                <w:rStyle w:val="NoteLabel"/>
                <w:color w:val="FFFFFF" w:themeColor="background1"/>
              </w:rPr>
              <w:t>($)</w:t>
            </w:r>
          </w:p>
        </w:tc>
      </w:tr>
      <w:tr w:rsidR="007C6A5F" w:rsidTr="005F6B0D">
        <w:trPr>
          <w:trHeight w:val="230"/>
        </w:trPr>
        <w:tc>
          <w:tcPr>
            <w:tcW w:w="2261"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Structural changes</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12</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3 750</w:t>
            </w:r>
          </w:p>
        </w:tc>
        <w:tc>
          <w:tcPr>
            <w:tcW w:w="1420"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50</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4 125</w:t>
            </w:r>
          </w:p>
        </w:tc>
      </w:tr>
      <w:tr w:rsidR="007C6A5F" w:rsidTr="005F6B0D">
        <w:trPr>
          <w:trHeight w:val="230"/>
        </w:trPr>
        <w:tc>
          <w:tcPr>
            <w:tcW w:w="2261"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Ramps</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50</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5 450</w:t>
            </w:r>
          </w:p>
        </w:tc>
        <w:tc>
          <w:tcPr>
            <w:tcW w:w="1420"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0</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5 900</w:t>
            </w:r>
          </w:p>
        </w:tc>
      </w:tr>
      <w:tr w:rsidR="007C6A5F" w:rsidTr="005F6B0D">
        <w:trPr>
          <w:trHeight w:val="230"/>
        </w:trPr>
        <w:tc>
          <w:tcPr>
            <w:tcW w:w="2261"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Toilet, bath or laundry modifications</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92</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39 212</w:t>
            </w:r>
          </w:p>
        </w:tc>
        <w:tc>
          <w:tcPr>
            <w:tcW w:w="1420"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57</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66 376</w:t>
            </w:r>
          </w:p>
        </w:tc>
      </w:tr>
      <w:tr w:rsidR="007C6A5F" w:rsidTr="005F6B0D">
        <w:trPr>
          <w:trHeight w:val="230"/>
        </w:trPr>
        <w:tc>
          <w:tcPr>
            <w:tcW w:w="2261"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Kitchen modifications</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5</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5 040</w:t>
            </w:r>
          </w:p>
        </w:tc>
        <w:tc>
          <w:tcPr>
            <w:tcW w:w="1420"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50</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35 040</w:t>
            </w:r>
          </w:p>
        </w:tc>
      </w:tr>
      <w:tr w:rsidR="007C6A5F" w:rsidTr="00B5160B">
        <w:trPr>
          <w:trHeight w:val="230"/>
        </w:trPr>
        <w:tc>
          <w:tcPr>
            <w:tcW w:w="2261"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jc w:val="left"/>
              <w:rPr>
                <w:lang w:val="en-GB"/>
              </w:rPr>
            </w:pPr>
            <w:r>
              <w:rPr>
                <w:lang w:val="en-GB"/>
              </w:rPr>
              <w:t>Doors widened</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16</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4 750</w:t>
            </w:r>
          </w:p>
        </w:tc>
        <w:tc>
          <w:tcPr>
            <w:tcW w:w="1420"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0</w:t>
            </w:r>
          </w:p>
        </w:tc>
        <w:tc>
          <w:tcPr>
            <w:tcW w:w="1419" w:type="dxa"/>
            <w:tcBorders>
              <w:top w:val="single" w:sz="8" w:space="0" w:color="FFFFFF" w:themeColor="background1"/>
              <w:left w:val="nil"/>
              <w:bottom w:val="single" w:sz="8" w:space="0" w:color="FFFFFF" w:themeColor="background1"/>
              <w:right w:val="nil"/>
            </w:tcBorders>
            <w:shd w:val="clear" w:color="auto" w:fill="E9E8E5" w:themeFill="background2"/>
          </w:tcPr>
          <w:p w:rsidR="007C6A5F" w:rsidRDefault="007C6A5F" w:rsidP="00C36DA4">
            <w:pPr>
              <w:pStyle w:val="TableDataEntries"/>
              <w:rPr>
                <w:lang w:val="en-GB"/>
              </w:rPr>
            </w:pPr>
            <w:r>
              <w:rPr>
                <w:lang w:val="en-GB"/>
              </w:rPr>
              <w:t>55 000</w:t>
            </w:r>
          </w:p>
        </w:tc>
      </w:tr>
      <w:tr w:rsidR="007C6A5F" w:rsidRPr="001F224E" w:rsidTr="00B5160B">
        <w:trPr>
          <w:trHeight w:val="230"/>
        </w:trPr>
        <w:tc>
          <w:tcPr>
            <w:tcW w:w="2261"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1F224E" w:rsidRDefault="007C6A5F" w:rsidP="00C36DA4">
            <w:pPr>
              <w:pStyle w:val="TableDataEntries"/>
              <w:jc w:val="left"/>
              <w:rPr>
                <w:rFonts w:ascii="Franklin Gothic Demi" w:hAnsi="Franklin Gothic Demi"/>
                <w:lang w:val="en-GB"/>
              </w:rPr>
            </w:pPr>
            <w:r w:rsidRPr="001F224E">
              <w:rPr>
                <w:rFonts w:ascii="Franklin Gothic Demi" w:hAnsi="Franklin Gothic Demi"/>
                <w:lang w:val="en-GB"/>
              </w:rPr>
              <w:t>Weighted average</w:t>
            </w:r>
          </w:p>
        </w:tc>
        <w:tc>
          <w:tcPr>
            <w:tcW w:w="1419"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1F224E" w:rsidRDefault="002B22FE" w:rsidP="00C36DA4">
            <w:pPr>
              <w:pStyle w:val="TableDataEntries"/>
              <w:rPr>
                <w:rFonts w:ascii="Franklin Gothic Demi" w:hAnsi="Franklin Gothic Demi"/>
                <w:lang w:val="en-GB"/>
              </w:rPr>
            </w:pPr>
            <w:r>
              <w:rPr>
                <w:rFonts w:ascii="Franklin Gothic Demi" w:hAnsi="Franklin Gothic Demi"/>
                <w:lang w:val="en-GB"/>
              </w:rPr>
              <w:t>n.a.</w:t>
            </w:r>
          </w:p>
        </w:tc>
        <w:tc>
          <w:tcPr>
            <w:tcW w:w="1419"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1F224E" w:rsidRDefault="007C6A5F" w:rsidP="00C36DA4">
            <w:pPr>
              <w:pStyle w:val="TableDataEntries"/>
              <w:rPr>
                <w:rFonts w:ascii="Franklin Gothic Demi" w:hAnsi="Franklin Gothic Demi"/>
                <w:lang w:val="en-GB"/>
              </w:rPr>
            </w:pPr>
            <w:r w:rsidRPr="001F224E">
              <w:rPr>
                <w:rFonts w:ascii="Franklin Gothic Demi" w:hAnsi="Franklin Gothic Demi"/>
                <w:lang w:val="en-GB"/>
              </w:rPr>
              <w:t>40 397</w:t>
            </w:r>
          </w:p>
        </w:tc>
        <w:tc>
          <w:tcPr>
            <w:tcW w:w="1420"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1F224E" w:rsidRDefault="002B22FE" w:rsidP="00C36DA4">
            <w:pPr>
              <w:pStyle w:val="TableDataEntries"/>
              <w:rPr>
                <w:rFonts w:ascii="Franklin Gothic Demi" w:hAnsi="Franklin Gothic Demi"/>
                <w:lang w:val="en-GB"/>
              </w:rPr>
            </w:pPr>
            <w:r>
              <w:rPr>
                <w:rFonts w:ascii="Franklin Gothic Demi" w:hAnsi="Franklin Gothic Demi"/>
                <w:lang w:val="en-GB"/>
              </w:rPr>
              <w:t>n.a.</w:t>
            </w:r>
          </w:p>
        </w:tc>
        <w:tc>
          <w:tcPr>
            <w:tcW w:w="1419" w:type="dxa"/>
            <w:tcBorders>
              <w:top w:val="single" w:sz="8" w:space="0" w:color="FFFFFF" w:themeColor="background1"/>
              <w:left w:val="nil"/>
              <w:bottom w:val="single" w:sz="4" w:space="0" w:color="6F6652" w:themeColor="accent5"/>
              <w:right w:val="nil"/>
            </w:tcBorders>
            <w:shd w:val="clear" w:color="auto" w:fill="C2DADB" w:themeFill="accent6" w:themeFillTint="99"/>
          </w:tcPr>
          <w:p w:rsidR="007C6A5F" w:rsidRPr="001F224E" w:rsidRDefault="007C6A5F" w:rsidP="00C36DA4">
            <w:pPr>
              <w:pStyle w:val="TableDataEntries"/>
              <w:rPr>
                <w:rFonts w:ascii="Franklin Gothic Demi" w:hAnsi="Franklin Gothic Demi"/>
                <w:lang w:val="en-GB"/>
              </w:rPr>
            </w:pPr>
            <w:r w:rsidRPr="001F224E">
              <w:rPr>
                <w:rFonts w:ascii="Franklin Gothic Demi" w:hAnsi="Franklin Gothic Demi"/>
                <w:lang w:val="en-GB"/>
              </w:rPr>
              <w:t>57 196</w:t>
            </w:r>
          </w:p>
        </w:tc>
      </w:tr>
    </w:tbl>
    <w:p w:rsidR="007C6A5F" w:rsidRDefault="007C6A5F" w:rsidP="007C6A5F">
      <w:pPr>
        <w:pStyle w:val="Note"/>
      </w:pPr>
      <w:r w:rsidRPr="00A96B1A">
        <w:rPr>
          <w:rStyle w:val="NoteLabel"/>
          <w:color w:val="000000" w:themeColor="text1"/>
        </w:rPr>
        <w:t>a</w:t>
      </w:r>
      <w:r>
        <w:t xml:space="preserve"> Based on the modifications made by non</w:t>
      </w:r>
      <w:r>
        <w:noBreakHyphen/>
        <w:t xml:space="preserve">wheelchair users living in Class 2 dwellings reported in SDAC (2018). Weights add to more than 100 per cent because many dwellings have multiple modifications. </w:t>
      </w:r>
      <w:r w:rsidRPr="00A96B1A">
        <w:rPr>
          <w:rStyle w:val="NoteLabel"/>
          <w:color w:val="000000" w:themeColor="text1"/>
        </w:rPr>
        <w:t>b</w:t>
      </w:r>
      <w:r>
        <w:t xml:space="preserve"> Based on DCWC’s estimates of the cost of relevant changes to meet LHDG Silver standard prepared for ABCB’s Options Paper. </w:t>
      </w:r>
      <w:r w:rsidRPr="00A96B1A">
        <w:rPr>
          <w:rStyle w:val="NoteLabel"/>
          <w:color w:val="000000" w:themeColor="text1"/>
        </w:rPr>
        <w:t>c</w:t>
      </w:r>
      <w:r>
        <w:t xml:space="preserve"> Based on the modifications made by wheelchair users living in Class 2 dwellings reported in SDAC (2018). Weights add to more than 100 per cent because many dwellings have multiple </w:t>
      </w:r>
    </w:p>
    <w:p w:rsidR="007C6A5F" w:rsidRPr="00E4232C" w:rsidRDefault="007C6A5F" w:rsidP="007C6A5F">
      <w:pPr>
        <w:pStyle w:val="Note"/>
      </w:pPr>
      <w:r>
        <w:t xml:space="preserve">modifications. </w:t>
      </w:r>
      <w:r w:rsidRPr="00A96B1A">
        <w:rPr>
          <w:rStyle w:val="NoteLabel"/>
          <w:color w:val="000000" w:themeColor="text1"/>
        </w:rPr>
        <w:t>d</w:t>
      </w:r>
      <w:r>
        <w:t xml:space="preserve"> Based on DCWC’s estimates of the cost of relevant changes to meet LHDG Gold standard prepared for ABCB’s Options Paper.</w:t>
      </w:r>
    </w:p>
    <w:p w:rsidR="007C6A5F" w:rsidRDefault="007C6A5F" w:rsidP="007C6A5F">
      <w:pPr>
        <w:pStyle w:val="Note"/>
      </w:pPr>
      <w:r w:rsidRPr="007D1B4F">
        <w:rPr>
          <w:i/>
        </w:rPr>
        <w:t>Note:</w:t>
      </w:r>
      <w:r w:rsidRPr="00E879B8">
        <w:t xml:space="preserve"> </w:t>
      </w:r>
      <w:r>
        <w:t>We assume that the modifications made by non</w:t>
      </w:r>
      <w:r>
        <w:noBreakHyphen/>
        <w:t>wheelchair users meet LHDG Silver standard for the relevant design elements and the modifications made by wheelchair users meet LHDG Gold standard for the relevant design elements.</w:t>
      </w:r>
    </w:p>
    <w:p w:rsidR="007C6A5F" w:rsidRDefault="007C6A5F" w:rsidP="007C6A5F">
      <w:pPr>
        <w:pStyle w:val="Source"/>
      </w:pPr>
      <w:r>
        <w:rPr>
          <w:i/>
        </w:rPr>
        <w:t>Source</w:t>
      </w:r>
      <w:r w:rsidRPr="00E4232C">
        <w:rPr>
          <w:i/>
        </w:rPr>
        <w:t>:</w:t>
      </w:r>
      <w:r>
        <w:t xml:space="preserve"> CIE based on: ABS, 2018 Survey of Disabilities, Ageing and Carers, TableBuilder; and DCWC’s estimates for ABCB’s Options Paper.</w:t>
      </w:r>
    </w:p>
    <w:p w:rsidR="007C6A5F" w:rsidRDefault="007C6A5F" w:rsidP="007C6A5F">
      <w:pPr>
        <w:pStyle w:val="BodyText"/>
        <w:rPr>
          <w:lang w:eastAsia="en-US"/>
        </w:rPr>
      </w:pPr>
      <w:r>
        <w:rPr>
          <w:lang w:eastAsia="en-US"/>
        </w:rPr>
        <w:t xml:space="preserve">These estimates are broadly consistent with confidential data provided through consultations. Our unit costs for toilet, bathroom modifications (the most common type of modification) is a bit higher than the actual data; our estimate for ramps is consistent </w:t>
      </w:r>
      <w:r w:rsidRPr="003E6C2A">
        <w:rPr>
          <w:lang w:eastAsia="en-US"/>
        </w:rPr>
        <w:t>wit</w:t>
      </w:r>
      <w:r w:rsidRPr="00ED598D">
        <w:rPr>
          <w:lang w:eastAsia="en-US"/>
        </w:rPr>
        <w:t>h actual data; our estimate for kitchens (less common) is lower than actual data.</w:t>
      </w:r>
    </w:p>
    <w:p w:rsidR="007C6A5F" w:rsidRPr="00DA3FA6" w:rsidRDefault="007C6A5F" w:rsidP="007C6A5F">
      <w:pPr>
        <w:pStyle w:val="BodyText"/>
      </w:pPr>
      <w:r>
        <w:rPr>
          <w:lang w:eastAsia="en-US"/>
        </w:rPr>
        <w:t>According to YPINH, retrofitting homes with basic visitability, adaptability and accessible features would cost $19 400,</w:t>
      </w:r>
      <w:r>
        <w:rPr>
          <w:rStyle w:val="FootnoteReference"/>
          <w:lang w:eastAsia="en-US"/>
        </w:rPr>
        <w:footnoteReference w:id="87"/>
      </w:r>
      <w:r>
        <w:rPr>
          <w:lang w:eastAsia="en-US"/>
        </w:rPr>
        <w:t xml:space="preserve"> which is lower than our estimates.</w:t>
      </w:r>
    </w:p>
    <w:p w:rsidR="007C6A5F" w:rsidRDefault="007C6A5F" w:rsidP="007C6A5F">
      <w:pPr>
        <w:pStyle w:val="Heading6"/>
        <w:numPr>
          <w:ilvl w:val="5"/>
          <w:numId w:val="5"/>
        </w:numPr>
      </w:pPr>
      <w:bookmarkStart w:id="6668" w:name="_Toc32321777"/>
      <w:bookmarkStart w:id="6669" w:name="_Toc44598466"/>
      <w:bookmarkStart w:id="6670" w:name="_Toc45654097"/>
      <w:r>
        <w:lastRenderedPageBreak/>
        <w:t>Approach to estimating the avoidable costs of moving house</w:t>
      </w:r>
      <w:bookmarkEnd w:id="6668"/>
      <w:bookmarkEnd w:id="6669"/>
      <w:bookmarkEnd w:id="6670"/>
    </w:p>
    <w:p w:rsidR="007C6A5F" w:rsidRDefault="007C6A5F" w:rsidP="007C6A5F">
      <w:pPr>
        <w:pStyle w:val="BodyText"/>
        <w:rPr>
          <w:lang w:bidi="fa-IR"/>
        </w:rPr>
      </w:pPr>
      <w:r w:rsidRPr="00AE20EC">
        <w:rPr>
          <w:lang w:bidi="fa-IR"/>
        </w:rPr>
        <w:t>SDAC reports the main reason for moving house (table </w:t>
      </w:r>
      <w:r>
        <w:rPr>
          <w:lang w:bidi="fa-IR"/>
        </w:rPr>
        <w:t>D.1</w:t>
      </w:r>
      <w:r w:rsidRPr="00AE20EC">
        <w:rPr>
          <w:lang w:bidi="fa-IR"/>
        </w:rPr>
        <w:t>).</w:t>
      </w:r>
    </w:p>
    <w:p w:rsidR="007C6A5F" w:rsidRDefault="007C6A5F" w:rsidP="005A6F87">
      <w:pPr>
        <w:pStyle w:val="ListBullet"/>
        <w:numPr>
          <w:ilvl w:val="0"/>
          <w:numId w:val="17"/>
        </w:numPr>
        <w:rPr>
          <w:lang w:bidi="fa-IR"/>
        </w:rPr>
      </w:pPr>
      <w:r>
        <w:rPr>
          <w:lang w:bidi="fa-IR"/>
        </w:rPr>
        <w:t>There were 76 100 people who indicated that the main reason they moved was directly related to the accessibility or safety of their previous dwelling. These reasons include:</w:t>
      </w:r>
    </w:p>
    <w:p w:rsidR="007C6A5F" w:rsidRDefault="007C6A5F" w:rsidP="005A6F87">
      <w:pPr>
        <w:pStyle w:val="ListBullet2"/>
        <w:numPr>
          <w:ilvl w:val="1"/>
          <w:numId w:val="17"/>
        </w:numPr>
        <w:spacing w:before="30"/>
        <w:ind w:left="568" w:hanging="284"/>
        <w:rPr>
          <w:lang w:bidi="fa-IR"/>
        </w:rPr>
      </w:pPr>
      <w:r>
        <w:rPr>
          <w:lang w:bidi="fa-IR"/>
        </w:rPr>
        <w:t>‘Safer environment’</w:t>
      </w:r>
      <w:r w:rsidR="00827085">
        <w:rPr>
          <w:lang w:bidi="fa-IR"/>
        </w:rPr>
        <w:t>,</w:t>
      </w:r>
      <w:r>
        <w:rPr>
          <w:lang w:bidi="fa-IR"/>
        </w:rPr>
        <w:t xml:space="preserve"> and</w:t>
      </w:r>
    </w:p>
    <w:p w:rsidR="007C6A5F" w:rsidRDefault="007C6A5F" w:rsidP="005A6F87">
      <w:pPr>
        <w:pStyle w:val="ListBullet2"/>
        <w:numPr>
          <w:ilvl w:val="1"/>
          <w:numId w:val="17"/>
        </w:numPr>
        <w:spacing w:before="30"/>
        <w:ind w:left="568" w:hanging="284"/>
        <w:rPr>
          <w:lang w:bidi="fa-IR"/>
        </w:rPr>
      </w:pPr>
      <w:r>
        <w:rPr>
          <w:lang w:bidi="fa-IR"/>
        </w:rPr>
        <w:t>‘To a dwelling more suitable for condition(s)’.</w:t>
      </w:r>
    </w:p>
    <w:p w:rsidR="007C6A5F" w:rsidRDefault="007C6A5F" w:rsidP="005A6F87">
      <w:pPr>
        <w:pStyle w:val="ListBullet"/>
        <w:numPr>
          <w:ilvl w:val="0"/>
          <w:numId w:val="17"/>
        </w:numPr>
        <w:rPr>
          <w:lang w:bidi="fa-IR"/>
        </w:rPr>
      </w:pPr>
      <w:r>
        <w:rPr>
          <w:lang w:bidi="fa-IR"/>
        </w:rPr>
        <w:t>A further 154 200 gave reasons are potentially related to the accessibility of previous dwelling, including:</w:t>
      </w:r>
    </w:p>
    <w:p w:rsidR="007C6A5F" w:rsidRDefault="007C6A5F" w:rsidP="005A6F87">
      <w:pPr>
        <w:pStyle w:val="ListBullet2"/>
        <w:numPr>
          <w:ilvl w:val="1"/>
          <w:numId w:val="17"/>
        </w:numPr>
        <w:spacing w:before="30"/>
        <w:ind w:left="568" w:hanging="284"/>
        <w:rPr>
          <w:lang w:bidi="fa-IR"/>
        </w:rPr>
      </w:pPr>
      <w:r>
        <w:rPr>
          <w:lang w:bidi="fa-IR"/>
        </w:rPr>
        <w:t>‘Due to own age or condition’</w:t>
      </w:r>
    </w:p>
    <w:p w:rsidR="007C6A5F" w:rsidRDefault="007C6A5F" w:rsidP="005A6F87">
      <w:pPr>
        <w:pStyle w:val="ListBullet2"/>
        <w:numPr>
          <w:ilvl w:val="1"/>
          <w:numId w:val="17"/>
        </w:numPr>
        <w:spacing w:before="30"/>
        <w:ind w:left="568" w:hanging="284"/>
        <w:rPr>
          <w:lang w:bidi="fa-IR"/>
        </w:rPr>
      </w:pPr>
      <w:r>
        <w:rPr>
          <w:lang w:bidi="fa-IR"/>
        </w:rPr>
        <w:t>‘To improve own health’</w:t>
      </w:r>
    </w:p>
    <w:p w:rsidR="007C6A5F" w:rsidRDefault="007C6A5F" w:rsidP="005A6F87">
      <w:pPr>
        <w:pStyle w:val="ListBullet2"/>
        <w:numPr>
          <w:ilvl w:val="1"/>
          <w:numId w:val="17"/>
        </w:numPr>
        <w:spacing w:before="30"/>
        <w:ind w:left="568" w:hanging="284"/>
        <w:rPr>
          <w:lang w:bidi="fa-IR"/>
        </w:rPr>
      </w:pPr>
      <w:r>
        <w:rPr>
          <w:lang w:bidi="fa-IR"/>
        </w:rPr>
        <w:t>‘To live with family or friends’.</w:t>
      </w:r>
    </w:p>
    <w:p w:rsidR="007C6A5F" w:rsidRDefault="007C6A5F" w:rsidP="005A6F87">
      <w:pPr>
        <w:pStyle w:val="ListBullet"/>
        <w:numPr>
          <w:ilvl w:val="0"/>
          <w:numId w:val="17"/>
        </w:numPr>
        <w:rPr>
          <w:lang w:bidi="fa-IR"/>
        </w:rPr>
      </w:pPr>
      <w:r>
        <w:rPr>
          <w:lang w:bidi="fa-IR"/>
        </w:rPr>
        <w:t>The remaining reasons appear unrelated to the accessibility of the previous dwelling, including:</w:t>
      </w:r>
    </w:p>
    <w:p w:rsidR="007C6A5F" w:rsidRDefault="007C6A5F" w:rsidP="005A6F87">
      <w:pPr>
        <w:pStyle w:val="ListBullet2"/>
        <w:numPr>
          <w:ilvl w:val="1"/>
          <w:numId w:val="17"/>
        </w:numPr>
        <w:spacing w:before="30"/>
        <w:ind w:left="568" w:hanging="284"/>
        <w:rPr>
          <w:lang w:bidi="fa-IR"/>
        </w:rPr>
      </w:pPr>
      <w:r>
        <w:rPr>
          <w:lang w:bidi="fa-IR"/>
        </w:rPr>
        <w:t>‘To save money or cheaper’</w:t>
      </w:r>
    </w:p>
    <w:p w:rsidR="007C6A5F" w:rsidRDefault="007C6A5F" w:rsidP="005A6F87">
      <w:pPr>
        <w:pStyle w:val="ListBullet2"/>
        <w:numPr>
          <w:ilvl w:val="1"/>
          <w:numId w:val="17"/>
        </w:numPr>
        <w:spacing w:before="30"/>
        <w:ind w:left="568" w:hanging="284"/>
        <w:rPr>
          <w:lang w:bidi="fa-IR"/>
        </w:rPr>
      </w:pPr>
      <w:r>
        <w:rPr>
          <w:lang w:bidi="fa-IR"/>
        </w:rPr>
        <w:t>‘To live closer to family’</w:t>
      </w:r>
    </w:p>
    <w:p w:rsidR="007C6A5F" w:rsidRDefault="007C6A5F" w:rsidP="005A6F87">
      <w:pPr>
        <w:pStyle w:val="ListBullet2"/>
        <w:numPr>
          <w:ilvl w:val="1"/>
          <w:numId w:val="17"/>
        </w:numPr>
        <w:spacing w:before="30"/>
        <w:ind w:left="568" w:hanging="284"/>
        <w:rPr>
          <w:lang w:bidi="fa-IR"/>
        </w:rPr>
      </w:pPr>
      <w:r>
        <w:rPr>
          <w:lang w:bidi="fa-IR"/>
        </w:rPr>
        <w:t>‘For more or better personal care at new home’</w:t>
      </w:r>
    </w:p>
    <w:p w:rsidR="007C6A5F" w:rsidRDefault="007C6A5F" w:rsidP="005A6F87">
      <w:pPr>
        <w:pStyle w:val="ListBullet2"/>
        <w:numPr>
          <w:ilvl w:val="1"/>
          <w:numId w:val="17"/>
        </w:numPr>
        <w:spacing w:before="30"/>
        <w:ind w:left="568" w:hanging="284"/>
        <w:rPr>
          <w:lang w:bidi="fa-IR"/>
        </w:rPr>
      </w:pPr>
      <w:r>
        <w:rPr>
          <w:lang w:bidi="fa-IR"/>
        </w:rPr>
        <w:t>‘To be closer to medical or support services of facilities’</w:t>
      </w:r>
    </w:p>
    <w:p w:rsidR="007C6A5F" w:rsidRDefault="007C6A5F" w:rsidP="005A6F87">
      <w:pPr>
        <w:pStyle w:val="ListBullet2"/>
        <w:numPr>
          <w:ilvl w:val="1"/>
          <w:numId w:val="17"/>
        </w:numPr>
        <w:spacing w:before="30"/>
        <w:ind w:left="568" w:hanging="284"/>
        <w:rPr>
          <w:lang w:bidi="fa-IR"/>
        </w:rPr>
      </w:pPr>
      <w:r>
        <w:rPr>
          <w:lang w:bidi="fa-IR"/>
        </w:rPr>
        <w:t>‘To be closer to other services or facilities (e.g. work, services, leisure)</w:t>
      </w:r>
    </w:p>
    <w:p w:rsidR="007C6A5F" w:rsidRDefault="007C6A5F" w:rsidP="005A6F87">
      <w:pPr>
        <w:pStyle w:val="ListBullet2"/>
        <w:numPr>
          <w:ilvl w:val="1"/>
          <w:numId w:val="17"/>
        </w:numPr>
        <w:spacing w:before="30"/>
        <w:ind w:left="568" w:hanging="284"/>
        <w:rPr>
          <w:lang w:bidi="fa-IR"/>
        </w:rPr>
      </w:pPr>
      <w:r>
        <w:rPr>
          <w:lang w:bidi="fa-IR"/>
        </w:rPr>
        <w:t>‘Family changes or house too big’</w:t>
      </w:r>
    </w:p>
    <w:p w:rsidR="007C6A5F" w:rsidRDefault="007C6A5F" w:rsidP="005A6F87">
      <w:pPr>
        <w:pStyle w:val="ListBullet2"/>
        <w:numPr>
          <w:ilvl w:val="1"/>
          <w:numId w:val="17"/>
        </w:numPr>
        <w:spacing w:before="30"/>
        <w:ind w:left="568" w:hanging="284"/>
        <w:rPr>
          <w:lang w:bidi="fa-IR"/>
        </w:rPr>
      </w:pPr>
      <w:r>
        <w:rPr>
          <w:lang w:bidi="fa-IR"/>
        </w:rPr>
        <w:t>‘Carer move or different carer’</w:t>
      </w:r>
    </w:p>
    <w:p w:rsidR="007C6A5F" w:rsidRDefault="007C6A5F" w:rsidP="005A6F87">
      <w:pPr>
        <w:pStyle w:val="ListBullet2"/>
        <w:numPr>
          <w:ilvl w:val="1"/>
          <w:numId w:val="17"/>
        </w:numPr>
        <w:spacing w:before="30"/>
        <w:ind w:left="568" w:hanging="284"/>
        <w:rPr>
          <w:lang w:bidi="fa-IR"/>
        </w:rPr>
      </w:pPr>
      <w:r>
        <w:rPr>
          <w:lang w:bidi="fa-IR"/>
        </w:rPr>
        <w:t>‘For other reasons’</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D</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D</w:instrText>
      </w:r>
      <w:r>
        <w:rPr>
          <w:noProof/>
        </w:rPr>
        <w:fldChar w:fldCharType="end"/>
      </w:r>
      <w:r w:rsidRPr="00695C93">
        <w:instrText xml:space="preserve">." </w:instrText>
      </w:r>
      <w:r w:rsidRPr="00695C93">
        <w:fldChar w:fldCharType="separate"/>
      </w:r>
      <w:r>
        <w:rPr>
          <w:noProof/>
        </w:rPr>
        <w:instrText>D</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D</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w:instrText>
      </w:r>
      <w:r w:rsidRPr="00695C93">
        <w:fldChar w:fldCharType="end"/>
      </w:r>
      <w:r w:rsidRPr="00695C93">
        <w:instrText xml:space="preserve">" "" </w:instrText>
      </w:r>
      <w:r w:rsidRPr="00695C93">
        <w:fldChar w:fldCharType="separate"/>
      </w:r>
      <w:bookmarkStart w:id="6671" w:name="_Caption3181"/>
      <w:bookmarkStart w:id="6672" w:name="_Caption4694"/>
      <w:bookmarkStart w:id="6673" w:name="_Caption3983"/>
      <w:bookmarkStart w:id="6674" w:name="_Caption2861"/>
      <w:bookmarkStart w:id="6675" w:name="_Caption2199"/>
      <w:bookmarkStart w:id="6676" w:name="_Caption5207"/>
      <w:bookmarkStart w:id="6677" w:name="_Caption1661"/>
      <w:bookmarkStart w:id="6678" w:name="_Caption2340"/>
      <w:bookmarkStart w:id="6679" w:name="_Caption4740"/>
      <w:bookmarkStart w:id="6680" w:name="_Caption2740"/>
      <w:bookmarkStart w:id="6681" w:name="_Caption3993"/>
      <w:bookmarkStart w:id="6682" w:name="_Caption8377"/>
      <w:bookmarkStart w:id="6683" w:name="_Caption3134"/>
      <w:bookmarkStart w:id="6684" w:name="_Caption7691"/>
      <w:bookmarkStart w:id="6685" w:name="_Caption3709"/>
      <w:bookmarkStart w:id="6686" w:name="_Caption8801"/>
      <w:bookmarkStart w:id="6687" w:name="_Caption3014"/>
      <w:bookmarkStart w:id="6688" w:name="_Caption9272"/>
      <w:bookmarkStart w:id="6689" w:name="_Caption1195"/>
      <w:bookmarkStart w:id="6690" w:name="_Caption9233"/>
      <w:bookmarkStart w:id="6691" w:name="_Caption8891"/>
      <w:bookmarkStart w:id="6692" w:name="_Caption4541"/>
      <w:bookmarkStart w:id="6693" w:name="_Caption9611"/>
      <w:bookmarkStart w:id="6694" w:name="_Caption9653"/>
      <w:bookmarkStart w:id="6695" w:name="_Caption4590"/>
      <w:bookmarkStart w:id="6696" w:name="_Caption0569"/>
      <w:bookmarkStart w:id="6697" w:name="_Caption1565"/>
      <w:bookmarkStart w:id="6698" w:name="_Caption3775"/>
      <w:bookmarkStart w:id="6699" w:name="_Caption5084"/>
      <w:bookmarkStart w:id="6700" w:name="_Caption2222"/>
      <w:bookmarkStart w:id="6701" w:name="_Caption3008"/>
      <w:bookmarkStart w:id="6702" w:name="_Caption6417"/>
      <w:bookmarkStart w:id="6703" w:name="_Caption9477"/>
      <w:bookmarkStart w:id="6704" w:name="_Caption9583"/>
      <w:bookmarkStart w:id="6705" w:name="_Caption4296"/>
      <w:bookmarkStart w:id="6706" w:name="_Caption6397"/>
      <w:bookmarkStart w:id="6707" w:name="_Caption4727"/>
      <w:bookmarkStart w:id="6708" w:name="_Caption4672"/>
      <w:bookmarkStart w:id="6709" w:name="_Caption2817"/>
      <w:bookmarkStart w:id="6710" w:name="_Caption7706"/>
      <w:bookmarkStart w:id="6711" w:name="_Caption1975"/>
      <w:bookmarkStart w:id="6712" w:name="_Caption9493"/>
      <w:bookmarkStart w:id="6713" w:name="_Caption5468"/>
      <w:bookmarkStart w:id="6714" w:name="_Caption2645"/>
      <w:bookmarkStart w:id="6715" w:name="_Caption2985"/>
      <w:bookmarkStart w:id="6716" w:name="_Caption1325"/>
      <w:bookmarkStart w:id="6717" w:name="_Caption2215"/>
      <w:bookmarkStart w:id="6718" w:name="_Caption3683"/>
      <w:bookmarkStart w:id="6719" w:name="_Caption3188"/>
      <w:bookmarkStart w:id="6720" w:name="_Caption1986"/>
      <w:bookmarkStart w:id="6721" w:name="_Caption4131"/>
      <w:bookmarkStart w:id="6722" w:name="_Caption9987"/>
      <w:bookmarkStart w:id="6723" w:name="_Caption7354"/>
      <w:bookmarkStart w:id="6724" w:name="_Caption6637"/>
      <w:bookmarkStart w:id="6725" w:name="_Caption2821"/>
      <w:bookmarkStart w:id="6726" w:name="_Caption2444"/>
      <w:bookmarkStart w:id="6727" w:name="_Caption8348"/>
      <w:bookmarkStart w:id="6728" w:name="_Caption5686"/>
      <w:bookmarkStart w:id="6729" w:name="_Caption0209"/>
      <w:bookmarkStart w:id="6730" w:name="_Caption7802"/>
      <w:bookmarkStart w:id="6731" w:name="_Caption5017"/>
      <w:bookmarkStart w:id="6732" w:name="_Caption7288"/>
      <w:bookmarkStart w:id="6733" w:name="_Caption3396"/>
      <w:bookmarkStart w:id="6734" w:name="_Caption1081"/>
      <w:bookmarkStart w:id="6735" w:name="_Caption8586"/>
      <w:bookmarkStart w:id="6736" w:name="_Caption6621"/>
      <w:bookmarkStart w:id="6737" w:name="_Caption2991"/>
      <w:bookmarkStart w:id="6738" w:name="_Caption0836"/>
      <w:bookmarkStart w:id="6739" w:name="_Caption1851"/>
      <w:bookmarkStart w:id="6740" w:name="_Caption9221"/>
      <w:bookmarkStart w:id="6741" w:name="_Caption2669"/>
      <w:bookmarkStart w:id="6742" w:name="_Caption7063"/>
      <w:bookmarkStart w:id="6743" w:name="_Caption7970"/>
      <w:bookmarkStart w:id="6744" w:name="_Caption8928"/>
      <w:bookmarkStart w:id="6745" w:name="_Caption2282"/>
      <w:bookmarkStart w:id="6746" w:name="_Caption0000"/>
      <w:bookmarkStart w:id="6747" w:name="_Caption1645"/>
      <w:bookmarkStart w:id="6748" w:name="_Caption8994"/>
      <w:bookmarkStart w:id="6749" w:name="_Caption9867"/>
      <w:bookmarkStart w:id="6750" w:name="_Caption2666"/>
      <w:bookmarkStart w:id="6751" w:name="_Toc32321874"/>
      <w:bookmarkStart w:id="6752" w:name="_Toc44598583"/>
      <w:bookmarkStart w:id="6753" w:name="_Toc45654214"/>
      <w:r w:rsidR="00272AF3">
        <w:rPr>
          <w:noProof/>
        </w:rPr>
        <w:t>D</w:t>
      </w:r>
      <w:r w:rsidR="00272AF3" w:rsidRPr="00695C93">
        <w:rPr>
          <w:noProof/>
        </w:rPr>
        <w:t>.</w:t>
      </w:r>
      <w:r w:rsidR="00272AF3">
        <w:rPr>
          <w:noProof/>
        </w:rPr>
        <w:t>1</w:t>
      </w:r>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r w:rsidRPr="00695C93">
        <w:fldChar w:fldCharType="end"/>
      </w:r>
      <w:r w:rsidRPr="00695C93">
        <w:tab/>
      </w:r>
      <w:r>
        <w:t>Main reasons for moving</w:t>
      </w:r>
      <w:bookmarkEnd w:id="6751"/>
      <w:bookmarkEnd w:id="6752"/>
      <w:bookmarkEnd w:id="6753"/>
    </w:p>
    <w:tbl>
      <w:tblPr>
        <w:tblStyle w:val="TableGridLight"/>
        <w:tblW w:w="7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D.1"/>
        <w:tblDescription w:val="Main reasons for moving"/>
      </w:tblPr>
      <w:tblGrid>
        <w:gridCol w:w="1772"/>
        <w:gridCol w:w="1772"/>
        <w:gridCol w:w="992"/>
        <w:gridCol w:w="851"/>
        <w:gridCol w:w="1048"/>
        <w:gridCol w:w="752"/>
        <w:gridCol w:w="752"/>
      </w:tblGrid>
      <w:tr w:rsidR="006D6FC1" w:rsidTr="00BC2453">
        <w:trPr>
          <w:trHeight w:val="230"/>
          <w:tblHeader/>
        </w:trPr>
        <w:tc>
          <w:tcPr>
            <w:tcW w:w="1772" w:type="dxa"/>
            <w:shd w:val="clear" w:color="auto" w:fill="6F6652" w:themeFill="accent5"/>
          </w:tcPr>
          <w:p w:rsidR="006D6FC1" w:rsidRDefault="006D6FC1" w:rsidP="00C36DA4">
            <w:pPr>
              <w:pStyle w:val="TableDataColumnHeading"/>
              <w:jc w:val="left"/>
              <w:rPr>
                <w:lang w:val="en-GB"/>
              </w:rPr>
            </w:pPr>
            <w:r>
              <w:rPr>
                <w:lang w:val="en-GB"/>
              </w:rPr>
              <w:t>Relevance</w:t>
            </w:r>
          </w:p>
        </w:tc>
        <w:tc>
          <w:tcPr>
            <w:tcW w:w="1772" w:type="dxa"/>
            <w:shd w:val="clear" w:color="auto" w:fill="6F6652" w:themeFill="accent5"/>
          </w:tcPr>
          <w:p w:rsidR="006D6FC1" w:rsidRDefault="006D6FC1" w:rsidP="00C36DA4">
            <w:pPr>
              <w:pStyle w:val="TableDataColumnHeading"/>
              <w:jc w:val="left"/>
              <w:rPr>
                <w:lang w:val="en-GB"/>
              </w:rPr>
            </w:pPr>
            <w:r>
              <w:rPr>
                <w:lang w:val="en-GB"/>
              </w:rPr>
              <w:t>Reason for moving</w:t>
            </w:r>
          </w:p>
        </w:tc>
        <w:tc>
          <w:tcPr>
            <w:tcW w:w="992" w:type="dxa"/>
            <w:shd w:val="clear" w:color="auto" w:fill="6F6652" w:themeFill="accent5"/>
          </w:tcPr>
          <w:p w:rsidR="006D6FC1" w:rsidRDefault="006D6FC1" w:rsidP="00C36DA4">
            <w:pPr>
              <w:pStyle w:val="TableDataColumnHeading"/>
              <w:rPr>
                <w:lang w:val="en-GB"/>
              </w:rPr>
            </w:pPr>
            <w:r>
              <w:rPr>
                <w:lang w:val="en-GB"/>
              </w:rPr>
              <w:t>Profound</w:t>
            </w:r>
          </w:p>
          <w:p w:rsidR="006D6FC1" w:rsidRDefault="006D6FC1" w:rsidP="00C36DA4">
            <w:pPr>
              <w:pStyle w:val="TableDataColumnHeading"/>
              <w:rPr>
                <w:lang w:val="en-GB"/>
              </w:rPr>
            </w:pPr>
            <w:r>
              <w:rPr>
                <w:lang w:val="en-GB"/>
              </w:rPr>
              <w:t>(‘000)</w:t>
            </w:r>
          </w:p>
        </w:tc>
        <w:tc>
          <w:tcPr>
            <w:tcW w:w="851" w:type="dxa"/>
            <w:shd w:val="clear" w:color="auto" w:fill="6F6652" w:themeFill="accent5"/>
          </w:tcPr>
          <w:p w:rsidR="006D6FC1" w:rsidRDefault="006D6FC1" w:rsidP="00C36DA4">
            <w:pPr>
              <w:pStyle w:val="TableDataColumnHeading"/>
              <w:rPr>
                <w:lang w:val="en-GB"/>
              </w:rPr>
            </w:pPr>
            <w:r>
              <w:rPr>
                <w:lang w:val="en-GB"/>
              </w:rPr>
              <w:t>Severe</w:t>
            </w:r>
          </w:p>
          <w:p w:rsidR="006D6FC1" w:rsidRDefault="006D6FC1" w:rsidP="00C36DA4">
            <w:pPr>
              <w:pStyle w:val="TableDataColumnHeading"/>
              <w:rPr>
                <w:lang w:val="en-GB"/>
              </w:rPr>
            </w:pPr>
            <w:r>
              <w:rPr>
                <w:lang w:val="en-GB"/>
              </w:rPr>
              <w:t>(‘000)</w:t>
            </w:r>
          </w:p>
        </w:tc>
        <w:tc>
          <w:tcPr>
            <w:tcW w:w="1048" w:type="dxa"/>
            <w:shd w:val="clear" w:color="auto" w:fill="6F6652" w:themeFill="accent5"/>
          </w:tcPr>
          <w:p w:rsidR="006D6FC1" w:rsidRDefault="006D6FC1" w:rsidP="00C36DA4">
            <w:pPr>
              <w:pStyle w:val="TableDataColumnHeading"/>
              <w:rPr>
                <w:lang w:val="en-GB"/>
              </w:rPr>
            </w:pPr>
            <w:r>
              <w:rPr>
                <w:lang w:val="en-GB"/>
              </w:rPr>
              <w:t>Moderate</w:t>
            </w:r>
          </w:p>
          <w:p w:rsidR="006D6FC1" w:rsidRDefault="006D6FC1" w:rsidP="00C36DA4">
            <w:pPr>
              <w:pStyle w:val="TableDataColumnHeading"/>
              <w:rPr>
                <w:lang w:val="en-GB"/>
              </w:rPr>
            </w:pPr>
            <w:r>
              <w:rPr>
                <w:lang w:val="en-GB"/>
              </w:rPr>
              <w:t>(‘000)</w:t>
            </w:r>
          </w:p>
        </w:tc>
        <w:tc>
          <w:tcPr>
            <w:tcW w:w="752" w:type="dxa"/>
            <w:shd w:val="clear" w:color="auto" w:fill="6F6652" w:themeFill="accent5"/>
          </w:tcPr>
          <w:p w:rsidR="006D6FC1" w:rsidRDefault="006D6FC1" w:rsidP="00C36DA4">
            <w:pPr>
              <w:pStyle w:val="TableDataColumnHeading"/>
              <w:rPr>
                <w:lang w:val="en-GB"/>
              </w:rPr>
            </w:pPr>
            <w:r>
              <w:rPr>
                <w:lang w:val="en-GB"/>
              </w:rPr>
              <w:t>Mild</w:t>
            </w:r>
          </w:p>
          <w:p w:rsidR="006D6FC1" w:rsidRDefault="006D6FC1" w:rsidP="00C36DA4">
            <w:pPr>
              <w:pStyle w:val="TableDataColumnHeading"/>
              <w:rPr>
                <w:lang w:val="en-GB"/>
              </w:rPr>
            </w:pPr>
            <w:r>
              <w:rPr>
                <w:lang w:val="en-GB"/>
              </w:rPr>
              <w:t>(‘000)</w:t>
            </w:r>
          </w:p>
        </w:tc>
        <w:tc>
          <w:tcPr>
            <w:tcW w:w="752" w:type="dxa"/>
            <w:shd w:val="clear" w:color="auto" w:fill="6F6652" w:themeFill="accent5"/>
          </w:tcPr>
          <w:p w:rsidR="006D6FC1" w:rsidRDefault="006D6FC1" w:rsidP="00C36DA4">
            <w:pPr>
              <w:pStyle w:val="TableDataColumnHeading"/>
              <w:rPr>
                <w:lang w:val="en-GB"/>
              </w:rPr>
            </w:pPr>
            <w:r>
              <w:rPr>
                <w:lang w:val="en-GB"/>
              </w:rPr>
              <w:t>Total</w:t>
            </w:r>
          </w:p>
          <w:p w:rsidR="006D6FC1" w:rsidRDefault="006D6FC1" w:rsidP="00C36DA4">
            <w:pPr>
              <w:pStyle w:val="TableDataColumnHeading"/>
              <w:rPr>
                <w:lang w:val="en-GB"/>
              </w:rPr>
            </w:pPr>
            <w:r>
              <w:rPr>
                <w:lang w:val="en-GB"/>
              </w:rPr>
              <w:t>(‘000)</w:t>
            </w:r>
          </w:p>
        </w:tc>
      </w:tr>
      <w:tr w:rsidR="006D6FC1" w:rsidTr="00BC2453">
        <w:trPr>
          <w:trHeight w:val="230"/>
        </w:trPr>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Pr>
                <w:lang w:val="en-GB"/>
              </w:rPr>
              <w:t>Directly related to accessibility</w:t>
            </w:r>
          </w:p>
        </w:tc>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Pr>
                <w:lang w:val="en-GB"/>
              </w:rPr>
              <w:t>Safer environment</w:t>
            </w:r>
          </w:p>
        </w:tc>
        <w:tc>
          <w:tcPr>
            <w:tcW w:w="99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4.5</w:t>
            </w:r>
          </w:p>
        </w:tc>
        <w:tc>
          <w:tcPr>
            <w:tcW w:w="851"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3.5</w:t>
            </w:r>
          </w:p>
        </w:tc>
        <w:tc>
          <w:tcPr>
            <w:tcW w:w="1048"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1.4</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7.2</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16.8</w:t>
            </w:r>
          </w:p>
        </w:tc>
      </w:tr>
      <w:tr w:rsidR="006D6FC1" w:rsidTr="00BC2453">
        <w:trPr>
          <w:trHeight w:val="230"/>
        </w:trPr>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Pr>
                <w:lang w:val="en-GB"/>
              </w:rPr>
              <w:t>Directly related to accessibility</w:t>
            </w:r>
          </w:p>
        </w:tc>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Pr>
                <w:lang w:val="en-GB"/>
              </w:rPr>
              <w:t>To a dwelling more suitable for condition(s)</w:t>
            </w:r>
          </w:p>
        </w:tc>
        <w:tc>
          <w:tcPr>
            <w:tcW w:w="99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16.3</w:t>
            </w:r>
          </w:p>
        </w:tc>
        <w:tc>
          <w:tcPr>
            <w:tcW w:w="851"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17.1</w:t>
            </w:r>
          </w:p>
        </w:tc>
        <w:tc>
          <w:tcPr>
            <w:tcW w:w="1048"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10.4</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15.6</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59.3</w:t>
            </w:r>
          </w:p>
        </w:tc>
      </w:tr>
      <w:tr w:rsidR="006D6FC1" w:rsidRPr="006D6FC1" w:rsidTr="00BC2453">
        <w:trPr>
          <w:trHeight w:val="230"/>
        </w:trPr>
        <w:tc>
          <w:tcPr>
            <w:tcW w:w="1772" w:type="dxa"/>
            <w:tcBorders>
              <w:top w:val="single" w:sz="8" w:space="0" w:color="FFFFFF" w:themeColor="background1"/>
              <w:bottom w:val="single" w:sz="8" w:space="0" w:color="FFFFFF" w:themeColor="background1"/>
            </w:tcBorders>
            <w:shd w:val="clear" w:color="auto" w:fill="E9E8E5" w:themeFill="background2"/>
          </w:tcPr>
          <w:p w:rsidR="006D6FC1" w:rsidRPr="006D6FC1" w:rsidRDefault="006D6FC1" w:rsidP="00C36DA4">
            <w:pPr>
              <w:pStyle w:val="TableDataEntries"/>
              <w:jc w:val="left"/>
              <w:rPr>
                <w:rFonts w:ascii="Franklin Gothic Demi" w:hAnsi="Franklin Gothic Demi"/>
                <w:lang w:val="en-GB"/>
              </w:rPr>
            </w:pPr>
            <w:r w:rsidRPr="006D6FC1">
              <w:rPr>
                <w:rFonts w:ascii="Franklin Gothic Demi" w:hAnsi="Franklin Gothic Demi"/>
                <w:lang w:val="en-GB"/>
              </w:rPr>
              <w:t>Directly related to accessibility</w:t>
            </w:r>
          </w:p>
        </w:tc>
        <w:tc>
          <w:tcPr>
            <w:tcW w:w="1772" w:type="dxa"/>
            <w:tcBorders>
              <w:top w:val="single" w:sz="8" w:space="0" w:color="FFFFFF" w:themeColor="background1"/>
              <w:bottom w:val="single" w:sz="8" w:space="0" w:color="FFFFFF" w:themeColor="background1"/>
            </w:tcBorders>
            <w:shd w:val="clear" w:color="auto" w:fill="E9E8E5" w:themeFill="background2"/>
          </w:tcPr>
          <w:p w:rsidR="006D6FC1" w:rsidRPr="006D6FC1" w:rsidRDefault="006D6FC1" w:rsidP="00C36DA4">
            <w:pPr>
              <w:pStyle w:val="TableDataEntries"/>
              <w:jc w:val="left"/>
              <w:rPr>
                <w:rFonts w:ascii="Franklin Gothic Demi" w:hAnsi="Franklin Gothic Demi"/>
                <w:lang w:val="en-GB"/>
              </w:rPr>
            </w:pPr>
            <w:r w:rsidRPr="006D6FC1">
              <w:rPr>
                <w:rFonts w:ascii="Franklin Gothic Demi" w:hAnsi="Franklin Gothic Demi"/>
                <w:lang w:val="en-GB"/>
              </w:rPr>
              <w:t>Total directly related</w:t>
            </w:r>
          </w:p>
        </w:tc>
        <w:tc>
          <w:tcPr>
            <w:tcW w:w="992" w:type="dxa"/>
            <w:tcBorders>
              <w:top w:val="single" w:sz="8" w:space="0" w:color="FFFFFF" w:themeColor="background1"/>
              <w:bottom w:val="single" w:sz="8" w:space="0" w:color="FFFFFF" w:themeColor="background1"/>
            </w:tcBorders>
            <w:shd w:val="clear" w:color="auto" w:fill="E9E8E5" w:themeFill="background2"/>
          </w:tcPr>
          <w:p w:rsidR="006D6FC1" w:rsidRPr="006D6FC1" w:rsidRDefault="006D6FC1" w:rsidP="00C36DA4">
            <w:pPr>
              <w:pStyle w:val="TableDataEntries"/>
              <w:rPr>
                <w:rFonts w:ascii="Franklin Gothic Demi" w:hAnsi="Franklin Gothic Demi"/>
                <w:lang w:val="en-GB"/>
              </w:rPr>
            </w:pPr>
            <w:r w:rsidRPr="006D6FC1">
              <w:rPr>
                <w:rFonts w:ascii="Franklin Gothic Demi" w:hAnsi="Franklin Gothic Demi"/>
                <w:lang w:val="en-GB"/>
              </w:rPr>
              <w:t xml:space="preserve"> 20.8</w:t>
            </w:r>
          </w:p>
        </w:tc>
        <w:tc>
          <w:tcPr>
            <w:tcW w:w="851" w:type="dxa"/>
            <w:tcBorders>
              <w:top w:val="single" w:sz="8" w:space="0" w:color="FFFFFF" w:themeColor="background1"/>
              <w:bottom w:val="single" w:sz="8" w:space="0" w:color="FFFFFF" w:themeColor="background1"/>
            </w:tcBorders>
            <w:shd w:val="clear" w:color="auto" w:fill="E9E8E5" w:themeFill="background2"/>
          </w:tcPr>
          <w:p w:rsidR="006D6FC1" w:rsidRPr="006D6FC1" w:rsidRDefault="006D6FC1" w:rsidP="00C36DA4">
            <w:pPr>
              <w:pStyle w:val="TableDataEntries"/>
              <w:rPr>
                <w:rFonts w:ascii="Franklin Gothic Demi" w:hAnsi="Franklin Gothic Demi"/>
                <w:lang w:val="en-GB"/>
              </w:rPr>
            </w:pPr>
            <w:r w:rsidRPr="006D6FC1">
              <w:rPr>
                <w:rFonts w:ascii="Franklin Gothic Demi" w:hAnsi="Franklin Gothic Demi"/>
                <w:lang w:val="en-GB"/>
              </w:rPr>
              <w:t xml:space="preserve"> 20.6</w:t>
            </w:r>
          </w:p>
        </w:tc>
        <w:tc>
          <w:tcPr>
            <w:tcW w:w="1048" w:type="dxa"/>
            <w:tcBorders>
              <w:top w:val="single" w:sz="8" w:space="0" w:color="FFFFFF" w:themeColor="background1"/>
              <w:bottom w:val="single" w:sz="8" w:space="0" w:color="FFFFFF" w:themeColor="background1"/>
            </w:tcBorders>
            <w:shd w:val="clear" w:color="auto" w:fill="E9E8E5" w:themeFill="background2"/>
          </w:tcPr>
          <w:p w:rsidR="006D6FC1" w:rsidRPr="006D6FC1" w:rsidRDefault="006D6FC1" w:rsidP="00C36DA4">
            <w:pPr>
              <w:pStyle w:val="TableDataEntries"/>
              <w:rPr>
                <w:rFonts w:ascii="Franklin Gothic Demi" w:hAnsi="Franklin Gothic Demi"/>
                <w:lang w:val="en-GB"/>
              </w:rPr>
            </w:pPr>
            <w:r w:rsidRPr="006D6FC1">
              <w:rPr>
                <w:rFonts w:ascii="Franklin Gothic Demi" w:hAnsi="Franklin Gothic Demi"/>
                <w:lang w:val="en-GB"/>
              </w:rPr>
              <w:t xml:space="preserve"> 11.8</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Pr="006D6FC1" w:rsidRDefault="006D6FC1" w:rsidP="00C36DA4">
            <w:pPr>
              <w:pStyle w:val="TableDataEntries"/>
              <w:rPr>
                <w:rFonts w:ascii="Franklin Gothic Demi" w:hAnsi="Franklin Gothic Demi"/>
                <w:lang w:val="en-GB"/>
              </w:rPr>
            </w:pPr>
            <w:r w:rsidRPr="006D6FC1">
              <w:rPr>
                <w:rFonts w:ascii="Franklin Gothic Demi" w:hAnsi="Franklin Gothic Demi"/>
                <w:lang w:val="en-GB"/>
              </w:rPr>
              <w:t xml:space="preserve"> 22.8</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Pr="006D6FC1" w:rsidRDefault="006D6FC1" w:rsidP="00C36DA4">
            <w:pPr>
              <w:pStyle w:val="TableDataEntries"/>
              <w:rPr>
                <w:rFonts w:ascii="Franklin Gothic Demi" w:hAnsi="Franklin Gothic Demi"/>
                <w:lang w:val="en-GB"/>
              </w:rPr>
            </w:pPr>
            <w:r w:rsidRPr="006D6FC1">
              <w:rPr>
                <w:rFonts w:ascii="Franklin Gothic Demi" w:hAnsi="Franklin Gothic Demi"/>
                <w:lang w:val="en-GB"/>
              </w:rPr>
              <w:t xml:space="preserve"> 76.1</w:t>
            </w:r>
          </w:p>
        </w:tc>
      </w:tr>
      <w:tr w:rsidR="006D6FC1" w:rsidTr="00BC2453">
        <w:trPr>
          <w:trHeight w:val="230"/>
        </w:trPr>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Pr>
                <w:lang w:val="en-GB"/>
              </w:rPr>
              <w:t>Potentially related to accessibility</w:t>
            </w:r>
          </w:p>
        </w:tc>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Pr>
                <w:lang w:val="en-GB"/>
              </w:rPr>
              <w:t>Due to own age or condition</w:t>
            </w:r>
          </w:p>
        </w:tc>
        <w:tc>
          <w:tcPr>
            <w:tcW w:w="99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40.9</w:t>
            </w:r>
          </w:p>
        </w:tc>
        <w:tc>
          <w:tcPr>
            <w:tcW w:w="851"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29.7</w:t>
            </w:r>
          </w:p>
        </w:tc>
        <w:tc>
          <w:tcPr>
            <w:tcW w:w="1048"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15.0</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30.9</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116.4</w:t>
            </w:r>
          </w:p>
        </w:tc>
      </w:tr>
      <w:tr w:rsidR="006D6FC1" w:rsidTr="00BC2453">
        <w:trPr>
          <w:trHeight w:val="230"/>
        </w:trPr>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sidRPr="00D23C71">
              <w:rPr>
                <w:lang w:val="en-GB"/>
              </w:rPr>
              <w:t>Potentially related to accessibility</w:t>
            </w:r>
          </w:p>
        </w:tc>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Pr>
                <w:lang w:val="en-GB"/>
              </w:rPr>
              <w:t>To improve own health</w:t>
            </w:r>
          </w:p>
        </w:tc>
        <w:tc>
          <w:tcPr>
            <w:tcW w:w="99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4.8</w:t>
            </w:r>
          </w:p>
        </w:tc>
        <w:tc>
          <w:tcPr>
            <w:tcW w:w="851"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4.3</w:t>
            </w:r>
          </w:p>
        </w:tc>
        <w:tc>
          <w:tcPr>
            <w:tcW w:w="1048"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5.4</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10.3</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21.9</w:t>
            </w:r>
          </w:p>
        </w:tc>
      </w:tr>
      <w:tr w:rsidR="006D6FC1" w:rsidTr="00BC2453">
        <w:trPr>
          <w:trHeight w:val="230"/>
        </w:trPr>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sidRPr="00D23C71">
              <w:rPr>
                <w:lang w:val="en-GB"/>
              </w:rPr>
              <w:lastRenderedPageBreak/>
              <w:t>Potentially related to accessibility</w:t>
            </w:r>
          </w:p>
        </w:tc>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Pr>
                <w:lang w:val="en-GB"/>
              </w:rPr>
              <w:t>To live with family or friends</w:t>
            </w:r>
          </w:p>
        </w:tc>
        <w:tc>
          <w:tcPr>
            <w:tcW w:w="99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5.3</w:t>
            </w:r>
          </w:p>
        </w:tc>
        <w:tc>
          <w:tcPr>
            <w:tcW w:w="851"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2.7</w:t>
            </w:r>
          </w:p>
        </w:tc>
        <w:tc>
          <w:tcPr>
            <w:tcW w:w="1048"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0.0</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5.6</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15.9</w:t>
            </w:r>
          </w:p>
        </w:tc>
      </w:tr>
      <w:tr w:rsidR="006D6FC1" w:rsidRPr="006D6FC1" w:rsidTr="00BC2453">
        <w:trPr>
          <w:trHeight w:val="230"/>
        </w:trPr>
        <w:tc>
          <w:tcPr>
            <w:tcW w:w="1772" w:type="dxa"/>
            <w:tcBorders>
              <w:top w:val="single" w:sz="8" w:space="0" w:color="FFFFFF" w:themeColor="background1"/>
              <w:bottom w:val="single" w:sz="8" w:space="0" w:color="FFFFFF" w:themeColor="background1"/>
            </w:tcBorders>
            <w:shd w:val="clear" w:color="auto" w:fill="E9E8E5" w:themeFill="background2"/>
          </w:tcPr>
          <w:p w:rsidR="006D6FC1" w:rsidRPr="006D6FC1" w:rsidRDefault="006D6FC1" w:rsidP="006D6FC1">
            <w:pPr>
              <w:pStyle w:val="TableDataEntries"/>
              <w:jc w:val="left"/>
              <w:rPr>
                <w:rFonts w:ascii="Franklin Gothic Demi" w:hAnsi="Franklin Gothic Demi"/>
                <w:lang w:val="en-GB"/>
              </w:rPr>
            </w:pPr>
            <w:r w:rsidRPr="006D6FC1">
              <w:rPr>
                <w:rFonts w:ascii="Franklin Gothic Demi" w:hAnsi="Franklin Gothic Demi"/>
                <w:lang w:val="en-GB"/>
              </w:rPr>
              <w:t>Potentially related to accessibility</w:t>
            </w:r>
          </w:p>
        </w:tc>
        <w:tc>
          <w:tcPr>
            <w:tcW w:w="1772" w:type="dxa"/>
            <w:tcBorders>
              <w:top w:val="single" w:sz="8" w:space="0" w:color="FFFFFF" w:themeColor="background1"/>
              <w:bottom w:val="single" w:sz="8" w:space="0" w:color="FFFFFF" w:themeColor="background1"/>
            </w:tcBorders>
            <w:shd w:val="clear" w:color="auto" w:fill="E9E8E5" w:themeFill="background2"/>
          </w:tcPr>
          <w:p w:rsidR="006D6FC1" w:rsidRPr="006D6FC1" w:rsidRDefault="006D6FC1" w:rsidP="006D6FC1">
            <w:pPr>
              <w:pStyle w:val="TableDataEntries"/>
              <w:jc w:val="left"/>
              <w:rPr>
                <w:rFonts w:ascii="Franklin Gothic Demi" w:hAnsi="Franklin Gothic Demi"/>
                <w:lang w:val="en-GB"/>
              </w:rPr>
            </w:pPr>
            <w:r w:rsidRPr="006D6FC1">
              <w:rPr>
                <w:rFonts w:ascii="Franklin Gothic Demi" w:hAnsi="Franklin Gothic Demi"/>
                <w:lang w:val="en-GB"/>
              </w:rPr>
              <w:t>Total potential related</w:t>
            </w:r>
          </w:p>
        </w:tc>
        <w:tc>
          <w:tcPr>
            <w:tcW w:w="992" w:type="dxa"/>
            <w:tcBorders>
              <w:top w:val="single" w:sz="8" w:space="0" w:color="FFFFFF" w:themeColor="background1"/>
              <w:bottom w:val="single" w:sz="8" w:space="0" w:color="FFFFFF" w:themeColor="background1"/>
            </w:tcBorders>
            <w:shd w:val="clear" w:color="auto" w:fill="E9E8E5" w:themeFill="background2"/>
          </w:tcPr>
          <w:p w:rsidR="006D6FC1" w:rsidRPr="006D6FC1" w:rsidRDefault="006D6FC1" w:rsidP="006D6FC1">
            <w:pPr>
              <w:pStyle w:val="TableDataEntries"/>
              <w:rPr>
                <w:rFonts w:ascii="Franklin Gothic Demi" w:hAnsi="Franklin Gothic Demi"/>
                <w:lang w:val="en-GB"/>
              </w:rPr>
            </w:pPr>
            <w:r w:rsidRPr="006D6FC1">
              <w:rPr>
                <w:rFonts w:ascii="Franklin Gothic Demi" w:hAnsi="Franklin Gothic Demi"/>
                <w:lang w:val="en-GB"/>
              </w:rPr>
              <w:t xml:space="preserve"> 51.0</w:t>
            </w:r>
          </w:p>
        </w:tc>
        <w:tc>
          <w:tcPr>
            <w:tcW w:w="851" w:type="dxa"/>
            <w:tcBorders>
              <w:top w:val="single" w:sz="8" w:space="0" w:color="FFFFFF" w:themeColor="background1"/>
              <w:bottom w:val="single" w:sz="8" w:space="0" w:color="FFFFFF" w:themeColor="background1"/>
            </w:tcBorders>
            <w:shd w:val="clear" w:color="auto" w:fill="E9E8E5" w:themeFill="background2"/>
          </w:tcPr>
          <w:p w:rsidR="006D6FC1" w:rsidRPr="006D6FC1" w:rsidRDefault="006D6FC1" w:rsidP="006D6FC1">
            <w:pPr>
              <w:pStyle w:val="TableDataEntries"/>
              <w:rPr>
                <w:rFonts w:ascii="Franklin Gothic Demi" w:hAnsi="Franklin Gothic Demi"/>
                <w:lang w:val="en-GB"/>
              </w:rPr>
            </w:pPr>
            <w:r w:rsidRPr="006D6FC1">
              <w:rPr>
                <w:rFonts w:ascii="Franklin Gothic Demi" w:hAnsi="Franklin Gothic Demi"/>
                <w:lang w:val="en-GB"/>
              </w:rPr>
              <w:t xml:space="preserve"> 36.7</w:t>
            </w:r>
          </w:p>
        </w:tc>
        <w:tc>
          <w:tcPr>
            <w:tcW w:w="1048" w:type="dxa"/>
            <w:tcBorders>
              <w:top w:val="single" w:sz="8" w:space="0" w:color="FFFFFF" w:themeColor="background1"/>
              <w:bottom w:val="single" w:sz="8" w:space="0" w:color="FFFFFF" w:themeColor="background1"/>
            </w:tcBorders>
            <w:shd w:val="clear" w:color="auto" w:fill="E9E8E5" w:themeFill="background2"/>
          </w:tcPr>
          <w:p w:rsidR="006D6FC1" w:rsidRPr="006D6FC1" w:rsidRDefault="006D6FC1" w:rsidP="006D6FC1">
            <w:pPr>
              <w:pStyle w:val="TableDataEntries"/>
              <w:rPr>
                <w:rFonts w:ascii="Franklin Gothic Demi" w:hAnsi="Franklin Gothic Demi"/>
                <w:lang w:val="en-GB"/>
              </w:rPr>
            </w:pPr>
            <w:r w:rsidRPr="006D6FC1">
              <w:rPr>
                <w:rFonts w:ascii="Franklin Gothic Demi" w:hAnsi="Franklin Gothic Demi"/>
                <w:lang w:val="en-GB"/>
              </w:rPr>
              <w:t xml:space="preserve"> 20.4</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Pr="006D6FC1" w:rsidRDefault="006D6FC1" w:rsidP="006D6FC1">
            <w:pPr>
              <w:pStyle w:val="TableDataEntries"/>
              <w:rPr>
                <w:rFonts w:ascii="Franklin Gothic Demi" w:hAnsi="Franklin Gothic Demi"/>
                <w:lang w:val="en-GB"/>
              </w:rPr>
            </w:pPr>
            <w:r w:rsidRPr="006D6FC1">
              <w:rPr>
                <w:rFonts w:ascii="Franklin Gothic Demi" w:hAnsi="Franklin Gothic Demi"/>
                <w:lang w:val="en-GB"/>
              </w:rPr>
              <w:t xml:space="preserve"> 46.8</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Pr="006D6FC1" w:rsidRDefault="006D6FC1" w:rsidP="006D6FC1">
            <w:pPr>
              <w:pStyle w:val="TableDataEntries"/>
              <w:rPr>
                <w:rFonts w:ascii="Franklin Gothic Demi" w:hAnsi="Franklin Gothic Demi"/>
                <w:lang w:val="en-GB"/>
              </w:rPr>
            </w:pPr>
            <w:r w:rsidRPr="006D6FC1">
              <w:rPr>
                <w:rFonts w:ascii="Franklin Gothic Demi" w:hAnsi="Franklin Gothic Demi"/>
                <w:lang w:val="en-GB"/>
              </w:rPr>
              <w:t xml:space="preserve"> 154.2</w:t>
            </w:r>
          </w:p>
        </w:tc>
      </w:tr>
      <w:tr w:rsidR="006D6FC1" w:rsidRPr="00142FDB" w:rsidTr="00BC2453">
        <w:trPr>
          <w:trHeight w:val="230"/>
        </w:trPr>
        <w:tc>
          <w:tcPr>
            <w:tcW w:w="1772" w:type="dxa"/>
            <w:tcBorders>
              <w:top w:val="single" w:sz="8" w:space="0" w:color="FFFFFF" w:themeColor="background1"/>
              <w:bottom w:val="single" w:sz="8" w:space="0" w:color="FFFFFF" w:themeColor="background1"/>
            </w:tcBorders>
            <w:shd w:val="clear" w:color="auto" w:fill="E9E8E5" w:themeFill="background2"/>
          </w:tcPr>
          <w:p w:rsidR="006D6FC1" w:rsidRPr="00142FDB" w:rsidRDefault="006D6FC1" w:rsidP="00C36DA4">
            <w:pPr>
              <w:pStyle w:val="TableDataEntries"/>
              <w:jc w:val="left"/>
              <w:rPr>
                <w:rFonts w:ascii="Franklin Gothic Demi" w:hAnsi="Franklin Gothic Demi"/>
                <w:lang w:val="en-GB"/>
              </w:rPr>
            </w:pPr>
            <w:r w:rsidRPr="00142FDB">
              <w:rPr>
                <w:rFonts w:ascii="Franklin Gothic Demi" w:hAnsi="Franklin Gothic Demi"/>
                <w:lang w:val="en-GB"/>
              </w:rPr>
              <w:t>Total directly or potentially related</w:t>
            </w:r>
          </w:p>
        </w:tc>
        <w:tc>
          <w:tcPr>
            <w:tcW w:w="1772" w:type="dxa"/>
            <w:tcBorders>
              <w:top w:val="single" w:sz="8" w:space="0" w:color="FFFFFF" w:themeColor="background1"/>
              <w:bottom w:val="single" w:sz="8" w:space="0" w:color="FFFFFF" w:themeColor="background1"/>
            </w:tcBorders>
            <w:shd w:val="clear" w:color="auto" w:fill="E9E8E5" w:themeFill="background2"/>
          </w:tcPr>
          <w:p w:rsidR="006D6FC1" w:rsidRPr="00142FDB" w:rsidRDefault="006D6FC1" w:rsidP="00C36DA4">
            <w:pPr>
              <w:pStyle w:val="TableDataEntries"/>
              <w:jc w:val="left"/>
              <w:rPr>
                <w:rFonts w:ascii="Franklin Gothic Demi" w:hAnsi="Franklin Gothic Demi"/>
                <w:lang w:val="en-GB"/>
              </w:rPr>
            </w:pPr>
            <w:r w:rsidRPr="00142FDB">
              <w:rPr>
                <w:rFonts w:ascii="Franklin Gothic Demi" w:hAnsi="Franklin Gothic Demi"/>
                <w:lang w:val="en-GB"/>
              </w:rPr>
              <w:t>Total directly or potentially related</w:t>
            </w:r>
          </w:p>
        </w:tc>
        <w:tc>
          <w:tcPr>
            <w:tcW w:w="992" w:type="dxa"/>
            <w:tcBorders>
              <w:top w:val="single" w:sz="8" w:space="0" w:color="FFFFFF" w:themeColor="background1"/>
              <w:bottom w:val="single" w:sz="8" w:space="0" w:color="FFFFFF" w:themeColor="background1"/>
            </w:tcBorders>
            <w:shd w:val="clear" w:color="auto" w:fill="E9E8E5" w:themeFill="background2"/>
          </w:tcPr>
          <w:p w:rsidR="006D6FC1" w:rsidRPr="00142FDB" w:rsidRDefault="006D6FC1" w:rsidP="00C36DA4">
            <w:pPr>
              <w:pStyle w:val="TableDataEntries"/>
              <w:rPr>
                <w:rFonts w:ascii="Franklin Gothic Demi" w:hAnsi="Franklin Gothic Demi"/>
                <w:lang w:val="en-GB"/>
              </w:rPr>
            </w:pPr>
            <w:r w:rsidRPr="00142FDB">
              <w:rPr>
                <w:rFonts w:ascii="Franklin Gothic Demi" w:hAnsi="Franklin Gothic Demi"/>
                <w:lang w:val="en-GB"/>
              </w:rPr>
              <w:t xml:space="preserve"> 71.8</w:t>
            </w:r>
          </w:p>
        </w:tc>
        <w:tc>
          <w:tcPr>
            <w:tcW w:w="851" w:type="dxa"/>
            <w:tcBorders>
              <w:top w:val="single" w:sz="8" w:space="0" w:color="FFFFFF" w:themeColor="background1"/>
              <w:bottom w:val="single" w:sz="8" w:space="0" w:color="FFFFFF" w:themeColor="background1"/>
            </w:tcBorders>
            <w:shd w:val="clear" w:color="auto" w:fill="E9E8E5" w:themeFill="background2"/>
          </w:tcPr>
          <w:p w:rsidR="006D6FC1" w:rsidRPr="00142FDB" w:rsidRDefault="006D6FC1" w:rsidP="00C36DA4">
            <w:pPr>
              <w:pStyle w:val="TableDataEntries"/>
              <w:rPr>
                <w:rFonts w:ascii="Franklin Gothic Demi" w:hAnsi="Franklin Gothic Demi"/>
                <w:lang w:val="en-GB"/>
              </w:rPr>
            </w:pPr>
            <w:r w:rsidRPr="00142FDB">
              <w:rPr>
                <w:rFonts w:ascii="Franklin Gothic Demi" w:hAnsi="Franklin Gothic Demi"/>
                <w:lang w:val="en-GB"/>
              </w:rPr>
              <w:t xml:space="preserve"> 57.3</w:t>
            </w:r>
          </w:p>
        </w:tc>
        <w:tc>
          <w:tcPr>
            <w:tcW w:w="1048" w:type="dxa"/>
            <w:tcBorders>
              <w:top w:val="single" w:sz="8" w:space="0" w:color="FFFFFF" w:themeColor="background1"/>
              <w:bottom w:val="single" w:sz="8" w:space="0" w:color="FFFFFF" w:themeColor="background1"/>
            </w:tcBorders>
            <w:shd w:val="clear" w:color="auto" w:fill="E9E8E5" w:themeFill="background2"/>
          </w:tcPr>
          <w:p w:rsidR="006D6FC1" w:rsidRPr="00142FDB" w:rsidRDefault="006D6FC1" w:rsidP="00C36DA4">
            <w:pPr>
              <w:pStyle w:val="TableDataEntries"/>
              <w:rPr>
                <w:rFonts w:ascii="Franklin Gothic Demi" w:hAnsi="Franklin Gothic Demi"/>
                <w:lang w:val="en-GB"/>
              </w:rPr>
            </w:pPr>
            <w:r w:rsidRPr="00142FDB">
              <w:rPr>
                <w:rFonts w:ascii="Franklin Gothic Demi" w:hAnsi="Franklin Gothic Demi"/>
                <w:lang w:val="en-GB"/>
              </w:rPr>
              <w:t xml:space="preserve"> 32.2</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Pr="00142FDB" w:rsidRDefault="006D6FC1" w:rsidP="00C36DA4">
            <w:pPr>
              <w:pStyle w:val="TableDataEntries"/>
              <w:rPr>
                <w:rFonts w:ascii="Franklin Gothic Demi" w:hAnsi="Franklin Gothic Demi"/>
                <w:lang w:val="en-GB"/>
              </w:rPr>
            </w:pPr>
            <w:r w:rsidRPr="00142FDB">
              <w:rPr>
                <w:rFonts w:ascii="Franklin Gothic Demi" w:hAnsi="Franklin Gothic Demi"/>
                <w:lang w:val="en-GB"/>
              </w:rPr>
              <w:t xml:space="preserve"> 69.6</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Pr="00142FDB" w:rsidRDefault="006D6FC1" w:rsidP="00C36DA4">
            <w:pPr>
              <w:pStyle w:val="TableDataEntries"/>
              <w:rPr>
                <w:rFonts w:ascii="Franklin Gothic Demi" w:hAnsi="Franklin Gothic Demi"/>
                <w:lang w:val="en-GB"/>
              </w:rPr>
            </w:pPr>
            <w:r w:rsidRPr="00142FDB">
              <w:rPr>
                <w:rFonts w:ascii="Franklin Gothic Demi" w:hAnsi="Franklin Gothic Demi"/>
                <w:lang w:val="en-GB"/>
              </w:rPr>
              <w:t xml:space="preserve"> 230.3</w:t>
            </w:r>
          </w:p>
        </w:tc>
      </w:tr>
      <w:tr w:rsidR="006D6FC1" w:rsidTr="00BC2453">
        <w:trPr>
          <w:trHeight w:val="230"/>
        </w:trPr>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Pr>
                <w:lang w:val="en-GB"/>
              </w:rPr>
              <w:t>Unrelated to accessibility</w:t>
            </w:r>
          </w:p>
        </w:tc>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Pr>
                <w:lang w:val="en-GB"/>
              </w:rPr>
              <w:t>To save money or cheaper</w:t>
            </w:r>
          </w:p>
        </w:tc>
        <w:tc>
          <w:tcPr>
            <w:tcW w:w="99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1.1</w:t>
            </w:r>
          </w:p>
        </w:tc>
        <w:tc>
          <w:tcPr>
            <w:tcW w:w="851"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1.9</w:t>
            </w:r>
          </w:p>
        </w:tc>
        <w:tc>
          <w:tcPr>
            <w:tcW w:w="1048"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2.3</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2.7</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7.3</w:t>
            </w:r>
          </w:p>
        </w:tc>
      </w:tr>
      <w:tr w:rsidR="006D6FC1" w:rsidTr="00BC2453">
        <w:trPr>
          <w:trHeight w:val="230"/>
        </w:trPr>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sidRPr="00A859C1">
              <w:rPr>
                <w:lang w:val="en-GB"/>
              </w:rPr>
              <w:t>Unrelated to accessibility</w:t>
            </w:r>
          </w:p>
        </w:tc>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Pr>
                <w:lang w:val="en-GB"/>
              </w:rPr>
              <w:t>To live closer to family</w:t>
            </w:r>
          </w:p>
        </w:tc>
        <w:tc>
          <w:tcPr>
            <w:tcW w:w="99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1.2</w:t>
            </w:r>
          </w:p>
        </w:tc>
        <w:tc>
          <w:tcPr>
            <w:tcW w:w="851"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1.7</w:t>
            </w:r>
          </w:p>
        </w:tc>
        <w:tc>
          <w:tcPr>
            <w:tcW w:w="1048"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1.1</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1.4</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8.6</w:t>
            </w:r>
          </w:p>
        </w:tc>
      </w:tr>
      <w:tr w:rsidR="006D6FC1" w:rsidTr="00BC2453">
        <w:trPr>
          <w:trHeight w:val="230"/>
        </w:trPr>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sidRPr="00A859C1">
              <w:rPr>
                <w:lang w:val="en-GB"/>
              </w:rPr>
              <w:t>Unrelated to accessibility</w:t>
            </w:r>
          </w:p>
        </w:tc>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Pr>
                <w:lang w:val="en-GB"/>
              </w:rPr>
              <w:t>For more or better personal care at new home</w:t>
            </w:r>
          </w:p>
        </w:tc>
        <w:tc>
          <w:tcPr>
            <w:tcW w:w="99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1.2</w:t>
            </w:r>
          </w:p>
        </w:tc>
        <w:tc>
          <w:tcPr>
            <w:tcW w:w="851"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0.0</w:t>
            </w:r>
          </w:p>
        </w:tc>
        <w:tc>
          <w:tcPr>
            <w:tcW w:w="1048"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1.4</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3.2</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5.0</w:t>
            </w:r>
          </w:p>
        </w:tc>
      </w:tr>
      <w:tr w:rsidR="006D6FC1" w:rsidTr="00BC2453">
        <w:trPr>
          <w:trHeight w:val="230"/>
        </w:trPr>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sidRPr="00A859C1">
              <w:rPr>
                <w:lang w:val="en-GB"/>
              </w:rPr>
              <w:t>Unrelated to accessibility</w:t>
            </w:r>
          </w:p>
        </w:tc>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Pr>
                <w:lang w:val="en-GB"/>
              </w:rPr>
              <w:t>To be closer to medical or support services or facilities</w:t>
            </w:r>
          </w:p>
        </w:tc>
        <w:tc>
          <w:tcPr>
            <w:tcW w:w="99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3.9</w:t>
            </w:r>
          </w:p>
        </w:tc>
        <w:tc>
          <w:tcPr>
            <w:tcW w:w="851"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4.9</w:t>
            </w:r>
          </w:p>
        </w:tc>
        <w:tc>
          <w:tcPr>
            <w:tcW w:w="1048"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2.8</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4.9</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14.2</w:t>
            </w:r>
          </w:p>
        </w:tc>
      </w:tr>
      <w:tr w:rsidR="006D6FC1" w:rsidTr="00BC2453">
        <w:trPr>
          <w:trHeight w:val="230"/>
        </w:trPr>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sidRPr="00A859C1">
              <w:rPr>
                <w:lang w:val="en-GB"/>
              </w:rPr>
              <w:t>Unrelated to accessibility</w:t>
            </w:r>
          </w:p>
        </w:tc>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Pr>
                <w:lang w:val="en-GB"/>
              </w:rPr>
              <w:t>To be closer to other services or facilities (eg work, services, leisure )</w:t>
            </w:r>
          </w:p>
        </w:tc>
        <w:tc>
          <w:tcPr>
            <w:tcW w:w="99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3.2</w:t>
            </w:r>
          </w:p>
        </w:tc>
        <w:tc>
          <w:tcPr>
            <w:tcW w:w="851"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1.5</w:t>
            </w:r>
          </w:p>
        </w:tc>
        <w:tc>
          <w:tcPr>
            <w:tcW w:w="1048"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0.7</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2.2</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8.4</w:t>
            </w:r>
          </w:p>
        </w:tc>
      </w:tr>
      <w:tr w:rsidR="006D6FC1" w:rsidTr="00BC2453">
        <w:trPr>
          <w:trHeight w:val="230"/>
        </w:trPr>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sidRPr="00A859C1">
              <w:rPr>
                <w:lang w:val="en-GB"/>
              </w:rPr>
              <w:t>Unrelated to accessibility</w:t>
            </w:r>
          </w:p>
        </w:tc>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Pr>
                <w:lang w:val="en-GB"/>
              </w:rPr>
              <w:t>Family changes or house too big</w:t>
            </w:r>
          </w:p>
        </w:tc>
        <w:tc>
          <w:tcPr>
            <w:tcW w:w="99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3.4</w:t>
            </w:r>
          </w:p>
        </w:tc>
        <w:tc>
          <w:tcPr>
            <w:tcW w:w="851"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3.1</w:t>
            </w:r>
          </w:p>
        </w:tc>
        <w:tc>
          <w:tcPr>
            <w:tcW w:w="1048"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1.6</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7.6</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13.7</w:t>
            </w:r>
          </w:p>
        </w:tc>
      </w:tr>
      <w:tr w:rsidR="006D6FC1" w:rsidTr="00BC2453">
        <w:trPr>
          <w:trHeight w:val="230"/>
        </w:trPr>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sidRPr="00A859C1">
              <w:rPr>
                <w:lang w:val="en-GB"/>
              </w:rPr>
              <w:t>Unrelated to accessibility</w:t>
            </w:r>
          </w:p>
        </w:tc>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Pr>
                <w:lang w:val="en-GB"/>
              </w:rPr>
              <w:t>Carer moved or different carer</w:t>
            </w:r>
          </w:p>
        </w:tc>
        <w:tc>
          <w:tcPr>
            <w:tcW w:w="99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0.0</w:t>
            </w:r>
          </w:p>
        </w:tc>
        <w:tc>
          <w:tcPr>
            <w:tcW w:w="851"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0.0</w:t>
            </w:r>
          </w:p>
        </w:tc>
        <w:tc>
          <w:tcPr>
            <w:tcW w:w="1048"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0.0</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0.0</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1.7</w:t>
            </w:r>
          </w:p>
        </w:tc>
      </w:tr>
      <w:tr w:rsidR="006D6FC1" w:rsidTr="00BC2453">
        <w:trPr>
          <w:trHeight w:val="230"/>
        </w:trPr>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sidRPr="00A859C1">
              <w:rPr>
                <w:lang w:val="en-GB"/>
              </w:rPr>
              <w:t>Unrelated to accessibility</w:t>
            </w:r>
          </w:p>
        </w:tc>
        <w:tc>
          <w:tcPr>
            <w:tcW w:w="177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jc w:val="left"/>
              <w:rPr>
                <w:lang w:val="en-GB"/>
              </w:rPr>
            </w:pPr>
            <w:r>
              <w:rPr>
                <w:lang w:val="en-GB"/>
              </w:rPr>
              <w:t>For other reasons</w:t>
            </w:r>
          </w:p>
        </w:tc>
        <w:tc>
          <w:tcPr>
            <w:tcW w:w="99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5.2</w:t>
            </w:r>
          </w:p>
        </w:tc>
        <w:tc>
          <w:tcPr>
            <w:tcW w:w="851"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6.9</w:t>
            </w:r>
          </w:p>
        </w:tc>
        <w:tc>
          <w:tcPr>
            <w:tcW w:w="1048"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4.6</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4.5</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Default="006D6FC1" w:rsidP="006D6FC1">
            <w:pPr>
              <w:pStyle w:val="TableDataEntries"/>
              <w:rPr>
                <w:lang w:val="en-GB"/>
              </w:rPr>
            </w:pPr>
            <w:r>
              <w:rPr>
                <w:lang w:val="en-GB"/>
              </w:rPr>
              <w:t xml:space="preserve"> 22.0</w:t>
            </w:r>
          </w:p>
        </w:tc>
      </w:tr>
      <w:tr w:rsidR="006D6FC1" w:rsidRPr="006D6FC1" w:rsidTr="00BC2453">
        <w:trPr>
          <w:trHeight w:val="230"/>
        </w:trPr>
        <w:tc>
          <w:tcPr>
            <w:tcW w:w="1772" w:type="dxa"/>
            <w:tcBorders>
              <w:top w:val="single" w:sz="8" w:space="0" w:color="FFFFFF" w:themeColor="background1"/>
              <w:bottom w:val="single" w:sz="8" w:space="0" w:color="FFFFFF" w:themeColor="background1"/>
            </w:tcBorders>
            <w:shd w:val="clear" w:color="auto" w:fill="E9E8E5" w:themeFill="background2"/>
          </w:tcPr>
          <w:p w:rsidR="006D6FC1" w:rsidRPr="006D6FC1" w:rsidRDefault="006D6FC1" w:rsidP="00C36DA4">
            <w:pPr>
              <w:pStyle w:val="TableDataEntries"/>
              <w:jc w:val="left"/>
              <w:rPr>
                <w:rFonts w:ascii="Franklin Gothic Demi" w:hAnsi="Franklin Gothic Demi"/>
                <w:lang w:val="en-GB"/>
              </w:rPr>
            </w:pPr>
            <w:r w:rsidRPr="006D6FC1">
              <w:rPr>
                <w:rFonts w:ascii="Franklin Gothic Demi" w:hAnsi="Franklin Gothic Demi"/>
                <w:lang w:val="en-GB"/>
              </w:rPr>
              <w:t>Unrelated to accessibility</w:t>
            </w:r>
          </w:p>
        </w:tc>
        <w:tc>
          <w:tcPr>
            <w:tcW w:w="1772" w:type="dxa"/>
            <w:tcBorders>
              <w:top w:val="single" w:sz="8" w:space="0" w:color="FFFFFF" w:themeColor="background1"/>
              <w:bottom w:val="single" w:sz="8" w:space="0" w:color="FFFFFF" w:themeColor="background1"/>
            </w:tcBorders>
            <w:shd w:val="clear" w:color="auto" w:fill="E9E8E5" w:themeFill="background2"/>
          </w:tcPr>
          <w:p w:rsidR="006D6FC1" w:rsidRPr="006D6FC1" w:rsidRDefault="006D6FC1" w:rsidP="00C36DA4">
            <w:pPr>
              <w:pStyle w:val="TableDataEntries"/>
              <w:jc w:val="left"/>
              <w:rPr>
                <w:rFonts w:ascii="Franklin Gothic Demi" w:hAnsi="Franklin Gothic Demi"/>
                <w:lang w:val="en-GB"/>
              </w:rPr>
            </w:pPr>
            <w:r w:rsidRPr="006D6FC1">
              <w:rPr>
                <w:rFonts w:ascii="Franklin Gothic Demi" w:hAnsi="Franklin Gothic Demi"/>
                <w:lang w:val="en-GB"/>
              </w:rPr>
              <w:t>Total other</w:t>
            </w:r>
          </w:p>
        </w:tc>
        <w:tc>
          <w:tcPr>
            <w:tcW w:w="992" w:type="dxa"/>
            <w:tcBorders>
              <w:top w:val="single" w:sz="8" w:space="0" w:color="FFFFFF" w:themeColor="background1"/>
              <w:bottom w:val="single" w:sz="8" w:space="0" w:color="FFFFFF" w:themeColor="background1"/>
            </w:tcBorders>
            <w:shd w:val="clear" w:color="auto" w:fill="E9E8E5" w:themeFill="background2"/>
          </w:tcPr>
          <w:p w:rsidR="006D6FC1" w:rsidRPr="006D6FC1" w:rsidRDefault="006D6FC1" w:rsidP="00C36DA4">
            <w:pPr>
              <w:pStyle w:val="TableDataEntries"/>
              <w:rPr>
                <w:rFonts w:ascii="Franklin Gothic Demi" w:hAnsi="Franklin Gothic Demi"/>
                <w:lang w:val="en-GB"/>
              </w:rPr>
            </w:pPr>
            <w:r w:rsidRPr="006D6FC1">
              <w:rPr>
                <w:rFonts w:ascii="Franklin Gothic Demi" w:hAnsi="Franklin Gothic Demi"/>
                <w:lang w:val="en-GB"/>
              </w:rPr>
              <w:t xml:space="preserve"> 19.2</w:t>
            </w:r>
          </w:p>
        </w:tc>
        <w:tc>
          <w:tcPr>
            <w:tcW w:w="851" w:type="dxa"/>
            <w:tcBorders>
              <w:top w:val="single" w:sz="8" w:space="0" w:color="FFFFFF" w:themeColor="background1"/>
              <w:bottom w:val="single" w:sz="8" w:space="0" w:color="FFFFFF" w:themeColor="background1"/>
            </w:tcBorders>
            <w:shd w:val="clear" w:color="auto" w:fill="E9E8E5" w:themeFill="background2"/>
          </w:tcPr>
          <w:p w:rsidR="006D6FC1" w:rsidRPr="006D6FC1" w:rsidRDefault="006D6FC1" w:rsidP="00C36DA4">
            <w:pPr>
              <w:pStyle w:val="TableDataEntries"/>
              <w:rPr>
                <w:rFonts w:ascii="Franklin Gothic Demi" w:hAnsi="Franklin Gothic Demi"/>
                <w:lang w:val="en-GB"/>
              </w:rPr>
            </w:pPr>
            <w:r w:rsidRPr="006D6FC1">
              <w:rPr>
                <w:rFonts w:ascii="Franklin Gothic Demi" w:hAnsi="Franklin Gothic Demi"/>
                <w:lang w:val="en-GB"/>
              </w:rPr>
              <w:t xml:space="preserve"> 20.0</w:t>
            </w:r>
          </w:p>
        </w:tc>
        <w:tc>
          <w:tcPr>
            <w:tcW w:w="1048" w:type="dxa"/>
            <w:tcBorders>
              <w:top w:val="single" w:sz="8" w:space="0" w:color="FFFFFF" w:themeColor="background1"/>
              <w:bottom w:val="single" w:sz="8" w:space="0" w:color="FFFFFF" w:themeColor="background1"/>
            </w:tcBorders>
            <w:shd w:val="clear" w:color="auto" w:fill="E9E8E5" w:themeFill="background2"/>
          </w:tcPr>
          <w:p w:rsidR="006D6FC1" w:rsidRPr="006D6FC1" w:rsidRDefault="006D6FC1" w:rsidP="00C36DA4">
            <w:pPr>
              <w:pStyle w:val="TableDataEntries"/>
              <w:rPr>
                <w:rFonts w:ascii="Franklin Gothic Demi" w:hAnsi="Franklin Gothic Demi"/>
                <w:lang w:val="en-GB"/>
              </w:rPr>
            </w:pPr>
            <w:r w:rsidRPr="006D6FC1">
              <w:rPr>
                <w:rFonts w:ascii="Franklin Gothic Demi" w:hAnsi="Franklin Gothic Demi"/>
                <w:lang w:val="en-GB"/>
              </w:rPr>
              <w:t xml:space="preserve"> 14.5</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Pr="006D6FC1" w:rsidRDefault="006D6FC1" w:rsidP="00C36DA4">
            <w:pPr>
              <w:pStyle w:val="TableDataEntries"/>
              <w:rPr>
                <w:rFonts w:ascii="Franklin Gothic Demi" w:hAnsi="Franklin Gothic Demi"/>
                <w:lang w:val="en-GB"/>
              </w:rPr>
            </w:pPr>
            <w:r w:rsidRPr="006D6FC1">
              <w:rPr>
                <w:rFonts w:ascii="Franklin Gothic Demi" w:hAnsi="Franklin Gothic Demi"/>
                <w:lang w:val="en-GB"/>
              </w:rPr>
              <w:t xml:space="preserve"> 26.5</w:t>
            </w:r>
          </w:p>
        </w:tc>
        <w:tc>
          <w:tcPr>
            <w:tcW w:w="752" w:type="dxa"/>
            <w:tcBorders>
              <w:top w:val="single" w:sz="8" w:space="0" w:color="FFFFFF" w:themeColor="background1"/>
              <w:bottom w:val="single" w:sz="8" w:space="0" w:color="FFFFFF" w:themeColor="background1"/>
            </w:tcBorders>
            <w:shd w:val="clear" w:color="auto" w:fill="E9E8E5" w:themeFill="background2"/>
          </w:tcPr>
          <w:p w:rsidR="006D6FC1" w:rsidRPr="006D6FC1" w:rsidRDefault="006D6FC1" w:rsidP="00C36DA4">
            <w:pPr>
              <w:pStyle w:val="TableDataEntries"/>
              <w:rPr>
                <w:rFonts w:ascii="Franklin Gothic Demi" w:hAnsi="Franklin Gothic Demi"/>
                <w:lang w:val="en-GB"/>
              </w:rPr>
            </w:pPr>
            <w:r w:rsidRPr="006D6FC1">
              <w:rPr>
                <w:rFonts w:ascii="Franklin Gothic Demi" w:hAnsi="Franklin Gothic Demi"/>
                <w:lang w:val="en-GB"/>
              </w:rPr>
              <w:t xml:space="preserve"> 80.9</w:t>
            </w:r>
          </w:p>
        </w:tc>
      </w:tr>
      <w:tr w:rsidR="006D6FC1" w:rsidRPr="00142FDB" w:rsidTr="00BC2453">
        <w:trPr>
          <w:trHeight w:val="230"/>
        </w:trPr>
        <w:tc>
          <w:tcPr>
            <w:tcW w:w="1772" w:type="dxa"/>
            <w:tcBorders>
              <w:top w:val="single" w:sz="8" w:space="0" w:color="FFFFFF" w:themeColor="background1"/>
              <w:bottom w:val="single" w:sz="4" w:space="0" w:color="6F6652" w:themeColor="accent5"/>
            </w:tcBorders>
            <w:shd w:val="clear" w:color="auto" w:fill="C2DADB" w:themeFill="accent6" w:themeFillTint="99"/>
          </w:tcPr>
          <w:p w:rsidR="006D6FC1" w:rsidRPr="00142FDB" w:rsidRDefault="006D6FC1" w:rsidP="00C36DA4">
            <w:pPr>
              <w:pStyle w:val="TableDataEntries"/>
              <w:jc w:val="left"/>
              <w:rPr>
                <w:rFonts w:ascii="Franklin Gothic Demi" w:hAnsi="Franklin Gothic Demi"/>
                <w:lang w:val="en-GB"/>
              </w:rPr>
            </w:pPr>
            <w:r>
              <w:rPr>
                <w:rFonts w:ascii="Franklin Gothic Demi" w:hAnsi="Franklin Gothic Demi"/>
                <w:lang w:val="en-GB"/>
              </w:rPr>
              <w:t>All</w:t>
            </w:r>
          </w:p>
        </w:tc>
        <w:tc>
          <w:tcPr>
            <w:tcW w:w="1772" w:type="dxa"/>
            <w:tcBorders>
              <w:top w:val="single" w:sz="8" w:space="0" w:color="FFFFFF" w:themeColor="background1"/>
              <w:bottom w:val="single" w:sz="4" w:space="0" w:color="6F6652" w:themeColor="accent5"/>
            </w:tcBorders>
            <w:shd w:val="clear" w:color="auto" w:fill="C2DADB" w:themeFill="accent6" w:themeFillTint="99"/>
          </w:tcPr>
          <w:p w:rsidR="006D6FC1" w:rsidRPr="00142FDB" w:rsidRDefault="006D6FC1" w:rsidP="00C36DA4">
            <w:pPr>
              <w:pStyle w:val="TableDataEntries"/>
              <w:jc w:val="left"/>
              <w:rPr>
                <w:rFonts w:ascii="Franklin Gothic Demi" w:hAnsi="Franklin Gothic Demi"/>
                <w:lang w:val="en-GB"/>
              </w:rPr>
            </w:pPr>
            <w:r>
              <w:rPr>
                <w:rFonts w:ascii="Franklin Gothic Demi" w:hAnsi="Franklin Gothic Demi"/>
                <w:lang w:val="en-GB"/>
              </w:rPr>
              <w:t>Total</w:t>
            </w:r>
          </w:p>
        </w:tc>
        <w:tc>
          <w:tcPr>
            <w:tcW w:w="992" w:type="dxa"/>
            <w:tcBorders>
              <w:top w:val="single" w:sz="8" w:space="0" w:color="FFFFFF" w:themeColor="background1"/>
              <w:bottom w:val="single" w:sz="4" w:space="0" w:color="6F6652" w:themeColor="accent5"/>
            </w:tcBorders>
            <w:shd w:val="clear" w:color="auto" w:fill="C2DADB" w:themeFill="accent6" w:themeFillTint="99"/>
          </w:tcPr>
          <w:p w:rsidR="006D6FC1" w:rsidRPr="00142FDB" w:rsidRDefault="006D6FC1" w:rsidP="00C36DA4">
            <w:pPr>
              <w:pStyle w:val="TableDataEntries"/>
              <w:rPr>
                <w:rFonts w:ascii="Franklin Gothic Demi" w:hAnsi="Franklin Gothic Demi"/>
                <w:lang w:val="en-GB"/>
              </w:rPr>
            </w:pPr>
            <w:r w:rsidRPr="00142FDB">
              <w:rPr>
                <w:rFonts w:ascii="Franklin Gothic Demi" w:hAnsi="Franklin Gothic Demi"/>
                <w:lang w:val="en-GB"/>
              </w:rPr>
              <w:t xml:space="preserve"> 91.0</w:t>
            </w:r>
          </w:p>
        </w:tc>
        <w:tc>
          <w:tcPr>
            <w:tcW w:w="851" w:type="dxa"/>
            <w:tcBorders>
              <w:top w:val="single" w:sz="8" w:space="0" w:color="FFFFFF" w:themeColor="background1"/>
              <w:bottom w:val="single" w:sz="4" w:space="0" w:color="6F6652" w:themeColor="accent5"/>
            </w:tcBorders>
            <w:shd w:val="clear" w:color="auto" w:fill="C2DADB" w:themeFill="accent6" w:themeFillTint="99"/>
          </w:tcPr>
          <w:p w:rsidR="006D6FC1" w:rsidRPr="00142FDB" w:rsidRDefault="006D6FC1" w:rsidP="00C36DA4">
            <w:pPr>
              <w:pStyle w:val="TableDataEntries"/>
              <w:rPr>
                <w:rFonts w:ascii="Franklin Gothic Demi" w:hAnsi="Franklin Gothic Demi"/>
                <w:lang w:val="en-GB"/>
              </w:rPr>
            </w:pPr>
            <w:r w:rsidRPr="00142FDB">
              <w:rPr>
                <w:rFonts w:ascii="Franklin Gothic Demi" w:hAnsi="Franklin Gothic Demi"/>
                <w:lang w:val="en-GB"/>
              </w:rPr>
              <w:t xml:space="preserve"> 77.3</w:t>
            </w:r>
          </w:p>
        </w:tc>
        <w:tc>
          <w:tcPr>
            <w:tcW w:w="1048" w:type="dxa"/>
            <w:tcBorders>
              <w:top w:val="single" w:sz="8" w:space="0" w:color="FFFFFF" w:themeColor="background1"/>
              <w:bottom w:val="single" w:sz="4" w:space="0" w:color="6F6652" w:themeColor="accent5"/>
            </w:tcBorders>
            <w:shd w:val="clear" w:color="auto" w:fill="C2DADB" w:themeFill="accent6" w:themeFillTint="99"/>
          </w:tcPr>
          <w:p w:rsidR="006D6FC1" w:rsidRPr="00142FDB" w:rsidRDefault="006D6FC1" w:rsidP="00C36DA4">
            <w:pPr>
              <w:pStyle w:val="TableDataEntries"/>
              <w:rPr>
                <w:rFonts w:ascii="Franklin Gothic Demi" w:hAnsi="Franklin Gothic Demi"/>
                <w:lang w:val="en-GB"/>
              </w:rPr>
            </w:pPr>
            <w:r w:rsidRPr="00142FDB">
              <w:rPr>
                <w:rFonts w:ascii="Franklin Gothic Demi" w:hAnsi="Franklin Gothic Demi"/>
                <w:lang w:val="en-GB"/>
              </w:rPr>
              <w:t xml:space="preserve"> 46.7</w:t>
            </w:r>
          </w:p>
        </w:tc>
        <w:tc>
          <w:tcPr>
            <w:tcW w:w="752" w:type="dxa"/>
            <w:tcBorders>
              <w:top w:val="single" w:sz="8" w:space="0" w:color="FFFFFF" w:themeColor="background1"/>
              <w:bottom w:val="single" w:sz="4" w:space="0" w:color="6F6652" w:themeColor="accent5"/>
            </w:tcBorders>
            <w:shd w:val="clear" w:color="auto" w:fill="C2DADB" w:themeFill="accent6" w:themeFillTint="99"/>
          </w:tcPr>
          <w:p w:rsidR="006D6FC1" w:rsidRPr="00142FDB" w:rsidRDefault="006D6FC1" w:rsidP="00C36DA4">
            <w:pPr>
              <w:pStyle w:val="TableDataEntries"/>
              <w:rPr>
                <w:rFonts w:ascii="Franklin Gothic Demi" w:hAnsi="Franklin Gothic Demi"/>
                <w:lang w:val="en-GB"/>
              </w:rPr>
            </w:pPr>
            <w:r w:rsidRPr="00142FDB">
              <w:rPr>
                <w:rFonts w:ascii="Franklin Gothic Demi" w:hAnsi="Franklin Gothic Demi"/>
                <w:lang w:val="en-GB"/>
              </w:rPr>
              <w:t xml:space="preserve"> 96.1</w:t>
            </w:r>
          </w:p>
        </w:tc>
        <w:tc>
          <w:tcPr>
            <w:tcW w:w="752" w:type="dxa"/>
            <w:tcBorders>
              <w:top w:val="single" w:sz="8" w:space="0" w:color="FFFFFF" w:themeColor="background1"/>
              <w:bottom w:val="single" w:sz="4" w:space="0" w:color="6F6652" w:themeColor="accent5"/>
            </w:tcBorders>
            <w:shd w:val="clear" w:color="auto" w:fill="C2DADB" w:themeFill="accent6" w:themeFillTint="99"/>
          </w:tcPr>
          <w:p w:rsidR="006D6FC1" w:rsidRPr="00142FDB" w:rsidRDefault="006D6FC1" w:rsidP="00C36DA4">
            <w:pPr>
              <w:pStyle w:val="TableDataEntries"/>
              <w:rPr>
                <w:rFonts w:ascii="Franklin Gothic Demi" w:hAnsi="Franklin Gothic Demi"/>
                <w:lang w:val="en-GB"/>
              </w:rPr>
            </w:pPr>
            <w:r w:rsidRPr="00142FDB">
              <w:rPr>
                <w:rFonts w:ascii="Franklin Gothic Demi" w:hAnsi="Franklin Gothic Demi"/>
                <w:lang w:val="en-GB"/>
              </w:rPr>
              <w:t xml:space="preserve"> 311.2</w:t>
            </w:r>
          </w:p>
        </w:tc>
      </w:tr>
    </w:tbl>
    <w:p w:rsidR="007C6A5F" w:rsidRDefault="007C6A5F" w:rsidP="007C6A5F">
      <w:pPr>
        <w:pStyle w:val="Source"/>
        <w:rPr>
          <w:lang w:bidi="fa-IR"/>
        </w:rPr>
      </w:pPr>
      <w:r w:rsidRPr="00E92390">
        <w:rPr>
          <w:i/>
          <w:lang w:bidi="fa-IR"/>
        </w:rPr>
        <w:t>Source:</w:t>
      </w:r>
      <w:r>
        <w:rPr>
          <w:lang w:bidi="fa-IR"/>
        </w:rPr>
        <w:t xml:space="preserve"> </w:t>
      </w:r>
      <w:r>
        <w:t>ABS, Survey of Disabilities, Ageing and Carers, 2018, TableBuilder.</w:t>
      </w:r>
    </w:p>
    <w:p w:rsidR="007C6A5F" w:rsidRDefault="007C6A5F" w:rsidP="007C6A5F">
      <w:pPr>
        <w:pStyle w:val="BodyText"/>
        <w:rPr>
          <w:lang w:bidi="fa-IR"/>
        </w:rPr>
      </w:pPr>
      <w:r>
        <w:rPr>
          <w:lang w:bidi="fa-IR"/>
        </w:rPr>
        <w:t>Unpublished analysis of the COTA survey also found that 9.5 per cent of respondents (over the age of 50) indicated that the main reason for their most recent move was ‘My property was not accessible/no longer suited’.</w:t>
      </w:r>
      <w:r>
        <w:rPr>
          <w:rStyle w:val="FootnoteReference"/>
          <w:lang w:bidi="fa-IR"/>
        </w:rPr>
        <w:footnoteReference w:id="88"/>
      </w:r>
    </w:p>
    <w:p w:rsidR="007C6A5F" w:rsidRDefault="007C6A5F" w:rsidP="007C6A5F">
      <w:pPr>
        <w:pStyle w:val="KeyPoint"/>
        <w:rPr>
          <w:lang w:bidi="fa-IR"/>
        </w:rPr>
      </w:pPr>
      <w:r>
        <w:rPr>
          <w:lang w:bidi="fa-IR"/>
        </w:rPr>
        <w:t>For the purposes of the CBA, a conservative assumption would be based on the number of people who reported moving for reasons directly related to the accessibility of their previous residence. This is around 76 100 people (and in many cases their families).</w:t>
      </w:r>
    </w:p>
    <w:p w:rsidR="007C6A5F" w:rsidRDefault="007C6A5F" w:rsidP="007C6A5F">
      <w:pPr>
        <w:pStyle w:val="KeyPoint"/>
        <w:rPr>
          <w:lang w:bidi="fa-IR"/>
        </w:rPr>
      </w:pPr>
      <w:r>
        <w:rPr>
          <w:lang w:bidi="fa-IR"/>
        </w:rPr>
        <w:t>A less conservative assumption would be based on the number of people who reported moving for reasons either directly or potentially related to the accessibility of their previous residence. This is around 230 300 people (and in many cases their families).</w:t>
      </w:r>
    </w:p>
    <w:p w:rsidR="007C6A5F" w:rsidRDefault="007C6A5F" w:rsidP="007C6A5F">
      <w:pPr>
        <w:pStyle w:val="BodyText"/>
        <w:rPr>
          <w:lang w:bidi="fa-IR"/>
        </w:rPr>
      </w:pPr>
      <w:r>
        <w:rPr>
          <w:lang w:bidi="fa-IR"/>
        </w:rPr>
        <w:lastRenderedPageBreak/>
        <w:t>The assumption that 230 300 people were forced to move because of their condition may potentially overstate the number of people who moved, as some of the reasons we identified as being potentially related to the accessibility of the dwelling may not have been. On the other hand, we have not included instances where the person was forced to move more than once.</w:t>
      </w:r>
    </w:p>
    <w:p w:rsidR="007C6A5F" w:rsidRDefault="007C6A5F" w:rsidP="007C6A5F">
      <w:pPr>
        <w:pStyle w:val="BodyText"/>
        <w:rPr>
          <w:lang w:bidi="fa-IR"/>
        </w:rPr>
      </w:pPr>
      <w:r>
        <w:rPr>
          <w:lang w:bidi="fa-IR"/>
        </w:rPr>
        <w:t>It is not clear how many of these moves occur each year. Many of the people with a current mobility limitation have their main condition for a significant period of time (chart </w:t>
      </w:r>
      <w:r>
        <w:rPr>
          <w:lang w:bidi="fa-IR"/>
        </w:rPr>
        <w:fldChar w:fldCharType="begin"/>
      </w:r>
      <w:r>
        <w:rPr>
          <w:lang w:bidi="fa-IR"/>
        </w:rPr>
        <w:instrText xml:space="preserve"> REF _Caption5741 </w:instrText>
      </w:r>
      <w:r>
        <w:rPr>
          <w:lang w:bidi="fa-IR"/>
        </w:rPr>
        <w:fldChar w:fldCharType="separate"/>
      </w:r>
      <w:r>
        <w:rPr>
          <w:noProof/>
        </w:rPr>
        <w:t>D</w:t>
      </w:r>
      <w:r w:rsidRPr="00695C93">
        <w:rPr>
          <w:noProof/>
        </w:rPr>
        <w:t>.</w:t>
      </w:r>
      <w:r>
        <w:rPr>
          <w:noProof/>
        </w:rPr>
        <w:t>2</w:t>
      </w:r>
      <w:r>
        <w:rPr>
          <w:lang w:bidi="fa-IR"/>
        </w:rPr>
        <w:fldChar w:fldCharType="end"/>
      </w:r>
      <w:r>
        <w:rPr>
          <w:lang w:bidi="fa-IR"/>
        </w:rPr>
        <w:t>). This suggests that many of these moves may have happened some time ago.</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D</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D</w:instrText>
      </w:r>
      <w:r>
        <w:rPr>
          <w:noProof/>
        </w:rPr>
        <w:fldChar w:fldCharType="end"/>
      </w:r>
      <w:r w:rsidRPr="00695C93">
        <w:instrText xml:space="preserve">." </w:instrText>
      </w:r>
      <w:r w:rsidRPr="00695C93">
        <w:fldChar w:fldCharType="separate"/>
      </w:r>
      <w:r>
        <w:rPr>
          <w:noProof/>
        </w:rPr>
        <w:instrText>D</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D</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2</w:instrText>
      </w:r>
      <w:r w:rsidRPr="00695C93">
        <w:fldChar w:fldCharType="end"/>
      </w:r>
      <w:r w:rsidRPr="00695C93">
        <w:instrText xml:space="preserve">" "" </w:instrText>
      </w:r>
      <w:r w:rsidRPr="00695C93">
        <w:fldChar w:fldCharType="separate"/>
      </w:r>
      <w:bookmarkStart w:id="6754" w:name="_Caption5661"/>
      <w:bookmarkStart w:id="6755" w:name="_Caption1732"/>
      <w:bookmarkStart w:id="6756" w:name="_Caption4148"/>
      <w:bookmarkStart w:id="6757" w:name="_Caption1602"/>
      <w:bookmarkStart w:id="6758" w:name="_Caption9699"/>
      <w:bookmarkStart w:id="6759" w:name="_Caption8971"/>
      <w:bookmarkStart w:id="6760" w:name="_Caption3128"/>
      <w:bookmarkStart w:id="6761" w:name="_Caption2913"/>
      <w:bookmarkStart w:id="6762" w:name="_Caption8059"/>
      <w:bookmarkStart w:id="6763" w:name="_Caption1736"/>
      <w:bookmarkStart w:id="6764" w:name="_Caption7117"/>
      <w:bookmarkStart w:id="6765" w:name="_Caption7652"/>
      <w:bookmarkStart w:id="6766" w:name="_Caption6670"/>
      <w:bookmarkStart w:id="6767" w:name="_Caption5741"/>
      <w:bookmarkStart w:id="6768" w:name="_Caption0772"/>
      <w:bookmarkStart w:id="6769" w:name="_Caption3941"/>
      <w:bookmarkStart w:id="6770" w:name="_Caption1791"/>
      <w:bookmarkStart w:id="6771" w:name="_Caption0487"/>
      <w:bookmarkStart w:id="6772" w:name="_Caption0857"/>
      <w:bookmarkStart w:id="6773" w:name="_Caption1753"/>
      <w:bookmarkStart w:id="6774" w:name="_Caption2327"/>
      <w:bookmarkStart w:id="6775" w:name="_Caption8054"/>
      <w:bookmarkStart w:id="6776" w:name="_Caption0388"/>
      <w:bookmarkStart w:id="6777" w:name="_Caption8854"/>
      <w:bookmarkStart w:id="6778" w:name="_Caption3539"/>
      <w:bookmarkStart w:id="6779" w:name="_Caption9381"/>
      <w:bookmarkStart w:id="6780" w:name="_Caption4932"/>
      <w:bookmarkStart w:id="6781" w:name="_Caption1228"/>
      <w:bookmarkStart w:id="6782" w:name="_Caption6057"/>
      <w:bookmarkStart w:id="6783" w:name="_Caption4269"/>
      <w:bookmarkStart w:id="6784" w:name="_Caption3728"/>
      <w:bookmarkStart w:id="6785" w:name="_Caption6292"/>
      <w:bookmarkStart w:id="6786" w:name="_Caption0542"/>
      <w:bookmarkStart w:id="6787" w:name="_Caption9435"/>
      <w:bookmarkStart w:id="6788" w:name="_Caption4244"/>
      <w:bookmarkStart w:id="6789" w:name="_Caption6779"/>
      <w:bookmarkStart w:id="6790" w:name="_Caption2643"/>
      <w:bookmarkStart w:id="6791" w:name="_Caption1545"/>
      <w:bookmarkStart w:id="6792" w:name="_Caption8499"/>
      <w:bookmarkStart w:id="6793" w:name="_Caption1000"/>
      <w:bookmarkStart w:id="6794" w:name="_Caption6018"/>
      <w:bookmarkStart w:id="6795" w:name="_Caption0323"/>
      <w:bookmarkStart w:id="6796" w:name="_Caption3024"/>
      <w:bookmarkStart w:id="6797" w:name="_Caption3295"/>
      <w:bookmarkStart w:id="6798" w:name="_Caption6177"/>
      <w:bookmarkStart w:id="6799" w:name="_Caption9919"/>
      <w:bookmarkStart w:id="6800" w:name="_Caption0441"/>
      <w:bookmarkStart w:id="6801" w:name="_Caption0142"/>
      <w:bookmarkStart w:id="6802" w:name="_Caption7001"/>
      <w:bookmarkStart w:id="6803" w:name="_Caption7223"/>
      <w:bookmarkStart w:id="6804" w:name="_Caption7909"/>
      <w:bookmarkStart w:id="6805" w:name="_Caption0361"/>
      <w:bookmarkStart w:id="6806" w:name="_Caption2383"/>
      <w:bookmarkStart w:id="6807" w:name="_Caption5543"/>
      <w:bookmarkStart w:id="6808" w:name="_Caption3693"/>
      <w:bookmarkStart w:id="6809" w:name="_Caption0591"/>
      <w:bookmarkStart w:id="6810" w:name="_Caption3345"/>
      <w:bookmarkStart w:id="6811" w:name="_Caption0945"/>
      <w:bookmarkStart w:id="6812" w:name="_Caption7561"/>
      <w:bookmarkStart w:id="6813" w:name="_Caption6503"/>
      <w:bookmarkStart w:id="6814" w:name="_Caption5981"/>
      <w:bookmarkStart w:id="6815" w:name="_Caption4794"/>
      <w:bookmarkStart w:id="6816" w:name="_Caption1635"/>
      <w:bookmarkStart w:id="6817" w:name="_Caption0290"/>
      <w:bookmarkStart w:id="6818" w:name="_Caption9032"/>
      <w:bookmarkStart w:id="6819" w:name="_Caption1878"/>
      <w:bookmarkStart w:id="6820" w:name="_Caption4291"/>
      <w:bookmarkStart w:id="6821" w:name="_Caption3457"/>
      <w:bookmarkStart w:id="6822" w:name="_Caption1726"/>
      <w:bookmarkStart w:id="6823" w:name="_Caption8514"/>
      <w:bookmarkStart w:id="6824" w:name="_Caption7524"/>
      <w:bookmarkStart w:id="6825" w:name="_Caption6445"/>
      <w:bookmarkStart w:id="6826" w:name="_Caption7184"/>
      <w:bookmarkStart w:id="6827" w:name="_Caption0035"/>
      <w:bookmarkStart w:id="6828" w:name="_Caption9589"/>
      <w:bookmarkStart w:id="6829" w:name="_Caption1988"/>
      <w:bookmarkStart w:id="6830" w:name="_Caption8184"/>
      <w:bookmarkStart w:id="6831" w:name="_Caption7851"/>
      <w:bookmarkStart w:id="6832" w:name="_Caption4364"/>
      <w:bookmarkStart w:id="6833" w:name="_Caption3084"/>
      <w:bookmarkStart w:id="6834" w:name="_Toc32321875"/>
      <w:bookmarkStart w:id="6835" w:name="_Toc44598584"/>
      <w:bookmarkStart w:id="6836" w:name="_Toc45654215"/>
      <w:r w:rsidR="00272AF3">
        <w:rPr>
          <w:noProof/>
        </w:rPr>
        <w:t>D</w:t>
      </w:r>
      <w:r w:rsidR="00272AF3" w:rsidRPr="00695C93">
        <w:rPr>
          <w:noProof/>
        </w:rPr>
        <w:t>.</w:t>
      </w:r>
      <w:r w:rsidR="00272AF3">
        <w:rPr>
          <w:noProof/>
        </w:rPr>
        <w:t>2</w:t>
      </w:r>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r w:rsidRPr="00695C93">
        <w:fldChar w:fldCharType="end"/>
      </w:r>
      <w:r w:rsidRPr="00695C93">
        <w:tab/>
      </w:r>
      <w:r>
        <w:t>Number of year since accident happened/main condition occurred</w:t>
      </w:r>
      <w:bookmarkEnd w:id="6834"/>
      <w:bookmarkEnd w:id="6835"/>
      <w:bookmarkEnd w:id="6836"/>
    </w:p>
    <w:p w:rsidR="007C6A5F" w:rsidRPr="00E8116F" w:rsidRDefault="007C6A5F" w:rsidP="007C6A5F">
      <w:pPr>
        <w:pStyle w:val="Subtitlebox"/>
      </w:pPr>
      <w:r w:rsidRPr="00102310">
        <w:rPr>
          <w:noProof/>
        </w:rPr>
        <w:drawing>
          <wp:inline distT="0" distB="0" distL="0" distR="0" wp14:anchorId="6031E1F9" wp14:editId="74B6E93E">
            <wp:extent cx="5040000" cy="2429138"/>
            <wp:effectExtent l="57150" t="57150" r="65405" b="66675"/>
            <wp:docPr id="37" name="Picture 37" descr="Chart D2 - Number of year since accident happened/main condition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0000" cy="2429138"/>
                    </a:xfrm>
                    <a:prstGeom prst="rect">
                      <a:avLst/>
                    </a:prstGeom>
                    <a:noFill/>
                    <a:ln w="57150">
                      <a:solidFill>
                        <a:schemeClr val="bg2"/>
                      </a:solidFill>
                    </a:ln>
                  </pic:spPr>
                </pic:pic>
              </a:graphicData>
            </a:graphic>
          </wp:inline>
        </w:drawing>
      </w:r>
    </w:p>
    <w:p w:rsidR="007C6A5F" w:rsidRDefault="007C6A5F" w:rsidP="007C6A5F">
      <w:pPr>
        <w:pStyle w:val="Source"/>
      </w:pPr>
      <w:r>
        <w:rPr>
          <w:i/>
        </w:rPr>
        <w:t>Data source</w:t>
      </w:r>
      <w:r w:rsidRPr="00A67576">
        <w:rPr>
          <w:i/>
        </w:rPr>
        <w:t>:</w:t>
      </w:r>
      <w:r>
        <w:t xml:space="preserve"> ABS, Survey of Disabilities, Ageing and Carers, 2018, TableBuilder.</w:t>
      </w:r>
    </w:p>
    <w:p w:rsidR="007C6A5F" w:rsidRDefault="007C6A5F" w:rsidP="007C6A5F">
      <w:pPr>
        <w:pStyle w:val="BodyText"/>
        <w:rPr>
          <w:lang w:bidi="fa-IR"/>
        </w:rPr>
      </w:pPr>
      <w:r>
        <w:rPr>
          <w:lang w:bidi="fa-IR"/>
        </w:rPr>
        <w:t>SDAC does not report the year since the last move. However, Census data suggest that people who require assistance tend to have relatively low mobility rates (table </w:t>
      </w:r>
      <w:r>
        <w:rPr>
          <w:lang w:bidi="fa-IR"/>
        </w:rPr>
        <w:fldChar w:fldCharType="begin"/>
      </w:r>
      <w:r>
        <w:rPr>
          <w:lang w:bidi="fa-IR"/>
        </w:rPr>
        <w:instrText xml:space="preserve"> REF _Caption0302 </w:instrText>
      </w:r>
      <w:r>
        <w:rPr>
          <w:lang w:bidi="fa-IR"/>
        </w:rPr>
        <w:fldChar w:fldCharType="separate"/>
      </w:r>
      <w:r>
        <w:rPr>
          <w:noProof/>
        </w:rPr>
        <w:t>D</w:t>
      </w:r>
      <w:r w:rsidRPr="00695C93">
        <w:rPr>
          <w:noProof/>
        </w:rPr>
        <w:t>.</w:t>
      </w:r>
      <w:r>
        <w:rPr>
          <w:noProof/>
        </w:rPr>
        <w:t>3</w:t>
      </w:r>
      <w:r>
        <w:rPr>
          <w:lang w:bidi="fa-IR"/>
        </w:rPr>
        <w:fldChar w:fldCharType="end"/>
      </w:r>
      <w:r>
        <w:rPr>
          <w:lang w:bidi="fa-IR"/>
        </w:rPr>
        <w:t>). This data suggest that around 5</w:t>
      </w:r>
      <w:r>
        <w:rPr>
          <w:lang w:bidi="fa-IR"/>
        </w:rPr>
        <w:noBreakHyphen/>
        <w:t>10 per cent of people with a disability (including all disabilities) move every year.</w:t>
      </w:r>
    </w:p>
    <w:p w:rsidR="007C6A5F" w:rsidRDefault="007C6A5F" w:rsidP="007C6A5F">
      <w:pPr>
        <w:pStyle w:val="Caption"/>
        <w:tabs>
          <w:tab w:val="left" w:pos="284"/>
          <w:tab w:val="left" w:pos="568"/>
          <w:tab w:val="left" w:pos="852"/>
          <w:tab w:val="left" w:pos="1136"/>
          <w:tab w:val="left" w:pos="1420"/>
          <w:tab w:val="left" w:pos="1704"/>
          <w:tab w:val="left" w:pos="1988"/>
          <w:tab w:val="left" w:pos="2272"/>
          <w:tab w:val="left" w:pos="2556"/>
          <w:tab w:val="left" w:pos="2840"/>
          <w:tab w:val="center" w:pos="3968"/>
        </w:tabs>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D</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D</w:instrText>
      </w:r>
      <w:r>
        <w:rPr>
          <w:noProof/>
        </w:rPr>
        <w:fldChar w:fldCharType="end"/>
      </w:r>
      <w:r w:rsidRPr="00695C93">
        <w:instrText xml:space="preserve">." </w:instrText>
      </w:r>
      <w:r w:rsidRPr="00695C93">
        <w:fldChar w:fldCharType="separate"/>
      </w:r>
      <w:r>
        <w:rPr>
          <w:noProof/>
        </w:rPr>
        <w:instrText>D</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D</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3</w:instrText>
      </w:r>
      <w:r w:rsidRPr="00695C93">
        <w:fldChar w:fldCharType="end"/>
      </w:r>
      <w:r w:rsidRPr="00695C93">
        <w:instrText xml:space="preserve">" "" </w:instrText>
      </w:r>
      <w:r w:rsidRPr="00695C93">
        <w:fldChar w:fldCharType="separate"/>
      </w:r>
      <w:bookmarkStart w:id="6837" w:name="_Caption6943"/>
      <w:bookmarkStart w:id="6838" w:name="_Caption9530"/>
      <w:bookmarkStart w:id="6839" w:name="_Caption8126"/>
      <w:bookmarkStart w:id="6840" w:name="_Caption7650"/>
      <w:bookmarkStart w:id="6841" w:name="_Caption6612"/>
      <w:bookmarkStart w:id="6842" w:name="_Caption7218"/>
      <w:bookmarkStart w:id="6843" w:name="_Caption4006"/>
      <w:bookmarkStart w:id="6844" w:name="_Caption7009"/>
      <w:bookmarkStart w:id="6845" w:name="_Caption3974"/>
      <w:bookmarkStart w:id="6846" w:name="_Caption1522"/>
      <w:bookmarkStart w:id="6847" w:name="_Caption2590"/>
      <w:bookmarkStart w:id="6848" w:name="_Caption9254"/>
      <w:bookmarkStart w:id="6849" w:name="_Caption0302"/>
      <w:bookmarkStart w:id="6850" w:name="_Caption0227"/>
      <w:bookmarkStart w:id="6851" w:name="_Caption4256"/>
      <w:bookmarkStart w:id="6852" w:name="_Caption9562"/>
      <w:bookmarkStart w:id="6853" w:name="_Caption9360"/>
      <w:bookmarkStart w:id="6854" w:name="_Caption3094"/>
      <w:bookmarkStart w:id="6855" w:name="_Caption5664"/>
      <w:bookmarkStart w:id="6856" w:name="_Caption6412"/>
      <w:bookmarkStart w:id="6857" w:name="_Caption2154"/>
      <w:bookmarkStart w:id="6858" w:name="_Caption1579"/>
      <w:bookmarkStart w:id="6859" w:name="_Caption9467"/>
      <w:bookmarkStart w:id="6860" w:name="_Caption2659"/>
      <w:bookmarkStart w:id="6861" w:name="_Caption8773"/>
      <w:bookmarkStart w:id="6862" w:name="_Caption6070"/>
      <w:bookmarkStart w:id="6863" w:name="_Caption8537"/>
      <w:bookmarkStart w:id="6864" w:name="_Caption9906"/>
      <w:bookmarkStart w:id="6865" w:name="_Caption7593"/>
      <w:bookmarkStart w:id="6866" w:name="_Caption6258"/>
      <w:bookmarkStart w:id="6867" w:name="_Caption1271"/>
      <w:bookmarkStart w:id="6868" w:name="_Caption8535"/>
      <w:bookmarkStart w:id="6869" w:name="_Caption2837"/>
      <w:bookmarkStart w:id="6870" w:name="_Caption5457"/>
      <w:bookmarkStart w:id="6871" w:name="_Caption5887"/>
      <w:bookmarkStart w:id="6872" w:name="_Caption8246"/>
      <w:bookmarkStart w:id="6873" w:name="_Caption3605"/>
      <w:bookmarkStart w:id="6874" w:name="_Caption9516"/>
      <w:bookmarkStart w:id="6875" w:name="_Caption2767"/>
      <w:bookmarkStart w:id="6876" w:name="_Caption8070"/>
      <w:bookmarkStart w:id="6877" w:name="_Caption0744"/>
      <w:bookmarkStart w:id="6878" w:name="_Caption9656"/>
      <w:bookmarkStart w:id="6879" w:name="_Caption6335"/>
      <w:bookmarkStart w:id="6880" w:name="_Caption5873"/>
      <w:bookmarkStart w:id="6881" w:name="_Caption0689"/>
      <w:bookmarkStart w:id="6882" w:name="_Caption6888"/>
      <w:bookmarkStart w:id="6883" w:name="_Caption9281"/>
      <w:bookmarkStart w:id="6884" w:name="_Caption8436"/>
      <w:bookmarkStart w:id="6885" w:name="_Caption0205"/>
      <w:bookmarkStart w:id="6886" w:name="_Caption5065"/>
      <w:bookmarkStart w:id="6887" w:name="_Caption0192"/>
      <w:bookmarkStart w:id="6888" w:name="_Caption3632"/>
      <w:bookmarkStart w:id="6889" w:name="_Caption3771"/>
      <w:bookmarkStart w:id="6890" w:name="_Caption3282"/>
      <w:bookmarkStart w:id="6891" w:name="_Caption9808"/>
      <w:bookmarkStart w:id="6892" w:name="_Caption9685"/>
      <w:bookmarkStart w:id="6893" w:name="_Caption7312"/>
      <w:bookmarkStart w:id="6894" w:name="_Caption8916"/>
      <w:bookmarkStart w:id="6895" w:name="_Caption4128"/>
      <w:bookmarkStart w:id="6896" w:name="_Caption9199"/>
      <w:bookmarkStart w:id="6897" w:name="_Caption9024"/>
      <w:bookmarkStart w:id="6898" w:name="_Caption3619"/>
      <w:bookmarkStart w:id="6899" w:name="_Caption2423"/>
      <w:bookmarkStart w:id="6900" w:name="_Caption5402"/>
      <w:bookmarkStart w:id="6901" w:name="_Caption7964"/>
      <w:bookmarkStart w:id="6902" w:name="_Caption5322"/>
      <w:bookmarkStart w:id="6903" w:name="_Caption5038"/>
      <w:bookmarkStart w:id="6904" w:name="_Caption4378"/>
      <w:bookmarkStart w:id="6905" w:name="_Caption9015"/>
      <w:bookmarkStart w:id="6906" w:name="_Caption3708"/>
      <w:bookmarkStart w:id="6907" w:name="_Caption6350"/>
      <w:bookmarkStart w:id="6908" w:name="_Caption1760"/>
      <w:bookmarkStart w:id="6909" w:name="_Caption4381"/>
      <w:bookmarkStart w:id="6910" w:name="_Caption9969"/>
      <w:bookmarkStart w:id="6911" w:name="_Caption9202"/>
      <w:bookmarkStart w:id="6912" w:name="_Caption7155"/>
      <w:bookmarkStart w:id="6913" w:name="_Caption2629"/>
      <w:bookmarkStart w:id="6914" w:name="_Caption2863"/>
      <w:bookmarkStart w:id="6915" w:name="_Caption7716"/>
      <w:bookmarkStart w:id="6916" w:name="_Caption2229"/>
      <w:bookmarkStart w:id="6917" w:name="_Toc32321876"/>
      <w:bookmarkStart w:id="6918" w:name="_Toc44598585"/>
      <w:bookmarkStart w:id="6919" w:name="_Toc45654216"/>
      <w:r w:rsidR="00272AF3">
        <w:rPr>
          <w:noProof/>
        </w:rPr>
        <w:t>D</w:t>
      </w:r>
      <w:r w:rsidR="00272AF3" w:rsidRPr="00695C93">
        <w:rPr>
          <w:noProof/>
        </w:rPr>
        <w:t>.</w:t>
      </w:r>
      <w:r w:rsidR="00272AF3">
        <w:rPr>
          <w:noProof/>
        </w:rPr>
        <w:t>3</w:t>
      </w:r>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r w:rsidRPr="00695C93">
        <w:fldChar w:fldCharType="end"/>
      </w:r>
      <w:r w:rsidRPr="00695C93">
        <w:tab/>
      </w:r>
      <w:r>
        <w:t>Mobility rates for people that require assistance</w:t>
      </w:r>
      <w:bookmarkEnd w:id="6917"/>
      <w:bookmarkEnd w:id="6918"/>
      <w:bookmarkEnd w:id="6919"/>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D.3"/>
        <w:tblDescription w:val="Mobility rates for people that require assistance"/>
      </w:tblPr>
      <w:tblGrid>
        <w:gridCol w:w="5701"/>
        <w:gridCol w:w="1118"/>
        <w:gridCol w:w="1118"/>
      </w:tblGrid>
      <w:tr w:rsidR="007C6A5F" w:rsidRPr="00E8116F" w:rsidTr="00063389">
        <w:trPr>
          <w:trHeight w:val="461"/>
          <w:tblHeader/>
        </w:trPr>
        <w:tc>
          <w:tcPr>
            <w:tcW w:w="5701" w:type="dxa"/>
            <w:shd w:val="clear" w:color="auto" w:fill="6F6652" w:themeFill="accent5"/>
          </w:tcPr>
          <w:p w:rsidR="007C6A5F" w:rsidRPr="00E8116F" w:rsidRDefault="00722469" w:rsidP="00C36DA4">
            <w:pPr>
              <w:pStyle w:val="TableDataColumnHeading"/>
              <w:jc w:val="left"/>
              <w:rPr>
                <w:lang w:val="en-GB"/>
              </w:rPr>
            </w:pPr>
            <w:r>
              <w:rPr>
                <w:lang w:val="en-GB"/>
              </w:rPr>
              <w:t>Residents</w:t>
            </w:r>
          </w:p>
        </w:tc>
        <w:tc>
          <w:tcPr>
            <w:tcW w:w="1118" w:type="dxa"/>
            <w:shd w:val="clear" w:color="auto" w:fill="6F6652" w:themeFill="accent5"/>
          </w:tcPr>
          <w:p w:rsidR="007C6A5F" w:rsidRDefault="007C6A5F" w:rsidP="00C36DA4">
            <w:pPr>
              <w:pStyle w:val="TableDataColumnHeading"/>
              <w:rPr>
                <w:lang w:val="en-GB"/>
              </w:rPr>
            </w:pPr>
            <w:r w:rsidRPr="00E8116F">
              <w:rPr>
                <w:lang w:val="en-GB"/>
              </w:rPr>
              <w:t>1 year mobility</w:t>
            </w:r>
          </w:p>
          <w:p w:rsidR="000D6D12" w:rsidRPr="00E8116F" w:rsidRDefault="000D6D12" w:rsidP="00C36DA4">
            <w:pPr>
              <w:pStyle w:val="TableDataColumnHeading"/>
              <w:rPr>
                <w:lang w:val="en-GB"/>
              </w:rPr>
            </w:pPr>
            <w:r>
              <w:rPr>
                <w:lang w:val="en-GB"/>
              </w:rPr>
              <w:t>(Per cent)</w:t>
            </w:r>
          </w:p>
        </w:tc>
        <w:tc>
          <w:tcPr>
            <w:tcW w:w="1118" w:type="dxa"/>
            <w:shd w:val="clear" w:color="auto" w:fill="6F6652" w:themeFill="accent5"/>
          </w:tcPr>
          <w:p w:rsidR="007C6A5F" w:rsidRDefault="007C6A5F" w:rsidP="00C36DA4">
            <w:pPr>
              <w:pStyle w:val="TableDataColumnHeading"/>
              <w:rPr>
                <w:lang w:val="en-GB"/>
              </w:rPr>
            </w:pPr>
            <w:r w:rsidRPr="00E8116F">
              <w:rPr>
                <w:lang w:val="en-GB"/>
              </w:rPr>
              <w:t>5 year mobility</w:t>
            </w:r>
          </w:p>
          <w:p w:rsidR="000D6D12" w:rsidRPr="00E8116F" w:rsidRDefault="000D6D12" w:rsidP="00C36DA4">
            <w:pPr>
              <w:pStyle w:val="TableDataColumnHeading"/>
              <w:rPr>
                <w:lang w:val="en-GB"/>
              </w:rPr>
            </w:pPr>
            <w:r>
              <w:rPr>
                <w:lang w:val="en-GB"/>
              </w:rPr>
              <w:t>(Per cent)</w:t>
            </w:r>
          </w:p>
        </w:tc>
      </w:tr>
      <w:tr w:rsidR="007C6A5F" w:rsidTr="000F1718">
        <w:trPr>
          <w:trHeight w:val="230"/>
        </w:trPr>
        <w:tc>
          <w:tcPr>
            <w:tcW w:w="57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All residents in household</w:t>
            </w:r>
          </w:p>
        </w:tc>
        <w:tc>
          <w:tcPr>
            <w:tcW w:w="11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6.5</w:t>
            </w:r>
          </w:p>
        </w:tc>
        <w:tc>
          <w:tcPr>
            <w:tcW w:w="11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21.9</w:t>
            </w:r>
          </w:p>
        </w:tc>
      </w:tr>
      <w:tr w:rsidR="007C6A5F" w:rsidTr="000F1718">
        <w:trPr>
          <w:trHeight w:val="230"/>
        </w:trPr>
        <w:tc>
          <w:tcPr>
            <w:tcW w:w="57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Some residents in household</w:t>
            </w:r>
          </w:p>
        </w:tc>
        <w:tc>
          <w:tcPr>
            <w:tcW w:w="11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4.5</w:t>
            </w:r>
          </w:p>
        </w:tc>
        <w:tc>
          <w:tcPr>
            <w:tcW w:w="11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7.2</w:t>
            </w:r>
          </w:p>
        </w:tc>
      </w:tr>
      <w:tr w:rsidR="007C6A5F" w:rsidTr="000F1718">
        <w:trPr>
          <w:trHeight w:val="230"/>
        </w:trPr>
        <w:tc>
          <w:tcPr>
            <w:tcW w:w="57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No residents in household</w:t>
            </w:r>
          </w:p>
        </w:tc>
        <w:tc>
          <w:tcPr>
            <w:tcW w:w="11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67.6</w:t>
            </w:r>
          </w:p>
        </w:tc>
        <w:tc>
          <w:tcPr>
            <w:tcW w:w="11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52.1</w:t>
            </w:r>
          </w:p>
        </w:tc>
      </w:tr>
      <w:tr w:rsidR="007C6A5F" w:rsidTr="000F1718">
        <w:trPr>
          <w:trHeight w:val="230"/>
        </w:trPr>
        <w:tc>
          <w:tcPr>
            <w:tcW w:w="57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Not stated</w:t>
            </w:r>
          </w:p>
        </w:tc>
        <w:tc>
          <w:tcPr>
            <w:tcW w:w="11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5.8</w:t>
            </w:r>
          </w:p>
        </w:tc>
        <w:tc>
          <w:tcPr>
            <w:tcW w:w="11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3.2</w:t>
            </w:r>
          </w:p>
        </w:tc>
      </w:tr>
      <w:tr w:rsidR="007C6A5F" w:rsidTr="00B5160B">
        <w:trPr>
          <w:trHeight w:val="230"/>
        </w:trPr>
        <w:tc>
          <w:tcPr>
            <w:tcW w:w="57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Not applicable</w:t>
            </w:r>
          </w:p>
        </w:tc>
        <w:tc>
          <w:tcPr>
            <w:tcW w:w="11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15.6</w:t>
            </w:r>
          </w:p>
        </w:tc>
        <w:tc>
          <w:tcPr>
            <w:tcW w:w="111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15.6</w:t>
            </w:r>
          </w:p>
        </w:tc>
      </w:tr>
      <w:tr w:rsidR="007C6A5F" w:rsidRPr="001F224E" w:rsidTr="00B5160B">
        <w:trPr>
          <w:trHeight w:val="230"/>
        </w:trPr>
        <w:tc>
          <w:tcPr>
            <w:tcW w:w="5701" w:type="dxa"/>
            <w:tcBorders>
              <w:top w:val="single" w:sz="8" w:space="0" w:color="FFFFFF" w:themeColor="background1"/>
              <w:bottom w:val="single" w:sz="4" w:space="0" w:color="6F6652" w:themeColor="accent5"/>
            </w:tcBorders>
            <w:shd w:val="clear" w:color="auto" w:fill="C2DADB" w:themeFill="accent6" w:themeFillTint="99"/>
          </w:tcPr>
          <w:p w:rsidR="007C6A5F" w:rsidRPr="001F224E" w:rsidRDefault="007C6A5F" w:rsidP="00C36DA4">
            <w:pPr>
              <w:pStyle w:val="TableDataEntries"/>
              <w:jc w:val="left"/>
              <w:rPr>
                <w:rFonts w:ascii="Franklin Gothic Demi" w:hAnsi="Franklin Gothic Demi"/>
                <w:lang w:val="en-GB"/>
              </w:rPr>
            </w:pPr>
            <w:r w:rsidRPr="001F224E">
              <w:rPr>
                <w:rFonts w:ascii="Franklin Gothic Demi" w:hAnsi="Franklin Gothic Demi"/>
                <w:lang w:val="en-GB"/>
              </w:rPr>
              <w:t>Total</w:t>
            </w:r>
          </w:p>
        </w:tc>
        <w:tc>
          <w:tcPr>
            <w:tcW w:w="1118" w:type="dxa"/>
            <w:tcBorders>
              <w:top w:val="single" w:sz="8" w:space="0" w:color="FFFFFF" w:themeColor="background1"/>
              <w:bottom w:val="single" w:sz="4" w:space="0" w:color="6F6652" w:themeColor="accent5"/>
            </w:tcBorders>
            <w:shd w:val="clear" w:color="auto" w:fill="C2DADB" w:themeFill="accent6" w:themeFillTint="99"/>
          </w:tcPr>
          <w:p w:rsidR="007C6A5F" w:rsidRPr="001F224E" w:rsidRDefault="007C6A5F" w:rsidP="00C36DA4">
            <w:pPr>
              <w:pStyle w:val="TableDataEntries"/>
              <w:rPr>
                <w:rFonts w:ascii="Franklin Gothic Demi" w:hAnsi="Franklin Gothic Demi"/>
                <w:lang w:val="en-GB"/>
              </w:rPr>
            </w:pPr>
            <w:r w:rsidRPr="001F224E">
              <w:rPr>
                <w:rFonts w:ascii="Franklin Gothic Demi" w:hAnsi="Franklin Gothic Demi"/>
                <w:lang w:val="en-GB"/>
              </w:rPr>
              <w:t xml:space="preserve"> 100.0</w:t>
            </w:r>
          </w:p>
        </w:tc>
        <w:tc>
          <w:tcPr>
            <w:tcW w:w="1118" w:type="dxa"/>
            <w:tcBorders>
              <w:top w:val="single" w:sz="8" w:space="0" w:color="FFFFFF" w:themeColor="background1"/>
              <w:bottom w:val="single" w:sz="4" w:space="0" w:color="6F6652" w:themeColor="accent5"/>
            </w:tcBorders>
            <w:shd w:val="clear" w:color="auto" w:fill="C2DADB" w:themeFill="accent6" w:themeFillTint="99"/>
          </w:tcPr>
          <w:p w:rsidR="007C6A5F" w:rsidRPr="001F224E" w:rsidRDefault="007C6A5F" w:rsidP="00C36DA4">
            <w:pPr>
              <w:pStyle w:val="TableDataEntries"/>
              <w:rPr>
                <w:rFonts w:ascii="Franklin Gothic Demi" w:hAnsi="Franklin Gothic Demi"/>
                <w:lang w:val="en-GB"/>
              </w:rPr>
            </w:pPr>
            <w:r w:rsidRPr="001F224E">
              <w:rPr>
                <w:rFonts w:ascii="Franklin Gothic Demi" w:hAnsi="Franklin Gothic Demi"/>
                <w:lang w:val="en-GB"/>
              </w:rPr>
              <w:t xml:space="preserve"> 100.0</w:t>
            </w:r>
          </w:p>
        </w:tc>
      </w:tr>
    </w:tbl>
    <w:p w:rsidR="007C6A5F" w:rsidRDefault="007C6A5F" w:rsidP="007C6A5F">
      <w:pPr>
        <w:pStyle w:val="Source"/>
        <w:rPr>
          <w:lang w:bidi="fa-IR"/>
        </w:rPr>
      </w:pPr>
      <w:r w:rsidRPr="00102310">
        <w:rPr>
          <w:i/>
          <w:lang w:bidi="fa-IR"/>
        </w:rPr>
        <w:t>Source:</w:t>
      </w:r>
      <w:r>
        <w:rPr>
          <w:lang w:bidi="fa-IR"/>
        </w:rPr>
        <w:t xml:space="preserve"> </w:t>
      </w:r>
      <w:r>
        <w:t>ABS, Census of Population and Housing 2016, TableBuilder.</w:t>
      </w:r>
    </w:p>
    <w:p w:rsidR="007C6A5F" w:rsidRDefault="007C6A5F" w:rsidP="007C6A5F">
      <w:pPr>
        <w:pStyle w:val="BodyText"/>
        <w:rPr>
          <w:lang w:bidi="fa-IR"/>
        </w:rPr>
      </w:pPr>
      <w:r>
        <w:rPr>
          <w:lang w:bidi="fa-IR"/>
        </w:rPr>
        <w:t>We therefore assume that around 7.5 per cent of the moves as a result of the disability occurred in the past year.</w:t>
      </w:r>
    </w:p>
    <w:p w:rsidR="007C6A5F" w:rsidRDefault="007C6A5F" w:rsidP="007C6A5F">
      <w:pPr>
        <w:pStyle w:val="BodyText"/>
        <w:rPr>
          <w:lang w:bidi="fa-IR"/>
        </w:rPr>
      </w:pPr>
      <w:r>
        <w:rPr>
          <w:lang w:bidi="fa-IR"/>
        </w:rPr>
        <w:lastRenderedPageBreak/>
        <w:t>The financial cost of moving can vary significantly, depending on the size of the house, distance and other factors. We assume the average financial cost of moving house is around $2500.</w:t>
      </w:r>
      <w:r>
        <w:rPr>
          <w:rStyle w:val="FootnoteReference"/>
          <w:lang w:bidi="fa-IR"/>
        </w:rPr>
        <w:footnoteReference w:id="89"/>
      </w:r>
    </w:p>
    <w:p w:rsidR="007C6A5F" w:rsidRDefault="007C6A5F" w:rsidP="007C6A5F">
      <w:pPr>
        <w:pStyle w:val="BodyText"/>
        <w:rPr>
          <w:lang w:bidi="fa-IR"/>
        </w:rPr>
      </w:pPr>
      <w:r>
        <w:rPr>
          <w:lang w:bidi="fa-IR"/>
        </w:rPr>
        <w:t>Together this information suggests that the annual cost of additional move due to a lack of accessible housing could be around $43.2 million per year.</w:t>
      </w:r>
    </w:p>
    <w:p w:rsidR="007C6A5F" w:rsidRDefault="007C6A5F" w:rsidP="007C6A5F">
      <w:pPr>
        <w:pStyle w:val="Heading6"/>
        <w:numPr>
          <w:ilvl w:val="5"/>
          <w:numId w:val="5"/>
        </w:numPr>
      </w:pPr>
      <w:bookmarkStart w:id="6920" w:name="_Toc32321778"/>
      <w:bookmarkStart w:id="6921" w:name="_Toc44598467"/>
      <w:bookmarkStart w:id="6922" w:name="_Toc45654098"/>
      <w:r>
        <w:lastRenderedPageBreak/>
        <w:t>Longer stays in hospital or transition care</w:t>
      </w:r>
      <w:bookmarkEnd w:id="6920"/>
      <w:bookmarkEnd w:id="6921"/>
      <w:bookmarkEnd w:id="6922"/>
    </w:p>
    <w:p w:rsidR="007C6A5F" w:rsidRDefault="007C6A5F" w:rsidP="007C6A5F">
      <w:pPr>
        <w:pStyle w:val="Heading7"/>
        <w:numPr>
          <w:ilvl w:val="6"/>
          <w:numId w:val="5"/>
        </w:numPr>
        <w:rPr>
          <w:lang w:bidi="fa-IR"/>
        </w:rPr>
      </w:pPr>
      <w:r>
        <w:rPr>
          <w:lang w:bidi="fa-IR"/>
        </w:rPr>
        <w:t>Evidence on delayed discharge from hospital</w:t>
      </w:r>
    </w:p>
    <w:p w:rsidR="007C6A5F" w:rsidRDefault="007C6A5F" w:rsidP="007C6A5F">
      <w:pPr>
        <w:pStyle w:val="BodyText"/>
        <w:rPr>
          <w:lang w:bidi="fa-IR"/>
        </w:rPr>
      </w:pPr>
      <w:r>
        <w:rPr>
          <w:lang w:bidi="fa-IR"/>
        </w:rPr>
        <w:t>There are various international studies that examine various reasons and consequences of delayed discharge from hospitals. The National Health Service systematically reports data on delayed transfers of care in English hospitals, including the reason for the delay. However, given differences in health systems and the characteristics of the housing stock, English (and other international data) data is unlikely to be a good indicator of the extent of the problem in Australia. We are not aware of any similar datasets for Australia.</w:t>
      </w:r>
    </w:p>
    <w:p w:rsidR="007C6A5F" w:rsidRDefault="007C6A5F" w:rsidP="007C6A5F">
      <w:pPr>
        <w:pStyle w:val="BodyText"/>
        <w:rPr>
          <w:lang w:bidi="fa-IR"/>
        </w:rPr>
      </w:pPr>
      <w:r>
        <w:rPr>
          <w:lang w:bidi="fa-IR"/>
        </w:rPr>
        <w:t>There are a small number of Australian studies that identify the causes of delayed discharge from various types of care (summarised in table E.1).</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E</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E</w:instrText>
      </w:r>
      <w:r>
        <w:rPr>
          <w:noProof/>
        </w:rPr>
        <w:fldChar w:fldCharType="end"/>
      </w:r>
      <w:r w:rsidRPr="00695C93">
        <w:instrText xml:space="preserve">." </w:instrText>
      </w:r>
      <w:r w:rsidRPr="00695C93">
        <w:fldChar w:fldCharType="separate"/>
      </w:r>
      <w:r>
        <w:rPr>
          <w:noProof/>
        </w:rPr>
        <w:instrText>E</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E</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w:instrText>
      </w:r>
      <w:r w:rsidRPr="00695C93">
        <w:fldChar w:fldCharType="end"/>
      </w:r>
      <w:r w:rsidRPr="00695C93">
        <w:instrText xml:space="preserve">" "" </w:instrText>
      </w:r>
      <w:r w:rsidRPr="00695C93">
        <w:fldChar w:fldCharType="separate"/>
      </w:r>
      <w:bookmarkStart w:id="6923" w:name="_Caption8279"/>
      <w:bookmarkStart w:id="6924" w:name="_Caption5176"/>
      <w:bookmarkStart w:id="6925" w:name="_Caption7883"/>
      <w:bookmarkStart w:id="6926" w:name="_Caption1626"/>
      <w:bookmarkStart w:id="6927" w:name="_Caption4384"/>
      <w:bookmarkStart w:id="6928" w:name="_Caption1185"/>
      <w:bookmarkStart w:id="6929" w:name="_Caption9023"/>
      <w:bookmarkStart w:id="6930" w:name="_Caption5635"/>
      <w:bookmarkStart w:id="6931" w:name="_Caption0104"/>
      <w:bookmarkStart w:id="6932" w:name="_Caption7368"/>
      <w:bookmarkStart w:id="6933" w:name="_Caption9235"/>
      <w:bookmarkStart w:id="6934" w:name="_Caption9788"/>
      <w:bookmarkStart w:id="6935" w:name="_Caption9211"/>
      <w:bookmarkStart w:id="6936" w:name="_Caption3383"/>
      <w:bookmarkStart w:id="6937" w:name="_Caption7007"/>
      <w:bookmarkStart w:id="6938" w:name="_Caption9923"/>
      <w:bookmarkStart w:id="6939" w:name="_Caption4594"/>
      <w:bookmarkStart w:id="6940" w:name="_Caption9183"/>
      <w:bookmarkStart w:id="6941" w:name="_Caption8588"/>
      <w:bookmarkStart w:id="6942" w:name="_Caption3883"/>
      <w:bookmarkStart w:id="6943" w:name="_Caption8294"/>
      <w:bookmarkStart w:id="6944" w:name="_Caption8349"/>
      <w:bookmarkStart w:id="6945" w:name="_Caption9574"/>
      <w:bookmarkStart w:id="6946" w:name="_Caption4209"/>
      <w:bookmarkStart w:id="6947" w:name="_Caption3071"/>
      <w:bookmarkStart w:id="6948" w:name="_Caption6004"/>
      <w:bookmarkStart w:id="6949" w:name="_Caption2409"/>
      <w:bookmarkStart w:id="6950" w:name="_Caption7383"/>
      <w:bookmarkStart w:id="6951" w:name="_Caption9155"/>
      <w:bookmarkStart w:id="6952" w:name="_Caption0291"/>
      <w:bookmarkStart w:id="6953" w:name="_Caption9265"/>
      <w:bookmarkStart w:id="6954" w:name="_Caption9313"/>
      <w:bookmarkStart w:id="6955" w:name="_Caption0922"/>
      <w:bookmarkStart w:id="6956" w:name="_Caption0702"/>
      <w:bookmarkStart w:id="6957" w:name="_Caption2828"/>
      <w:bookmarkStart w:id="6958" w:name="_Caption3360"/>
      <w:bookmarkStart w:id="6959" w:name="_Caption8688"/>
      <w:bookmarkStart w:id="6960" w:name="_Caption5604"/>
      <w:bookmarkStart w:id="6961" w:name="_Caption7243"/>
      <w:bookmarkStart w:id="6962" w:name="_Caption0898"/>
      <w:bookmarkStart w:id="6963" w:name="_Caption2502"/>
      <w:bookmarkStart w:id="6964" w:name="_Caption1815"/>
      <w:bookmarkStart w:id="6965" w:name="_Caption2158"/>
      <w:bookmarkStart w:id="6966" w:name="_Caption7899"/>
      <w:bookmarkStart w:id="6967" w:name="_Caption1838"/>
      <w:bookmarkStart w:id="6968" w:name="_Caption8224"/>
      <w:bookmarkStart w:id="6969" w:name="_Caption0519"/>
      <w:bookmarkStart w:id="6970" w:name="_Caption6005"/>
      <w:bookmarkStart w:id="6971" w:name="_Caption9847"/>
      <w:bookmarkStart w:id="6972" w:name="_Caption0767"/>
      <w:bookmarkStart w:id="6973" w:name="_Caption7149"/>
      <w:bookmarkStart w:id="6974" w:name="_Caption5569"/>
      <w:bookmarkStart w:id="6975" w:name="_Caption5937"/>
      <w:bookmarkStart w:id="6976" w:name="_Caption5724"/>
      <w:bookmarkStart w:id="6977" w:name="_Caption8621"/>
      <w:bookmarkStart w:id="6978" w:name="_Caption6068"/>
      <w:bookmarkStart w:id="6979" w:name="_Caption9570"/>
      <w:bookmarkStart w:id="6980" w:name="_Caption5627"/>
      <w:bookmarkStart w:id="6981" w:name="_Caption3059"/>
      <w:bookmarkStart w:id="6982" w:name="_Caption8399"/>
      <w:bookmarkStart w:id="6983" w:name="_Caption1882"/>
      <w:bookmarkStart w:id="6984" w:name="_Caption5155"/>
      <w:bookmarkStart w:id="6985" w:name="_Caption5119"/>
      <w:bookmarkStart w:id="6986" w:name="_Caption8260"/>
      <w:bookmarkStart w:id="6987" w:name="_Caption2170"/>
      <w:bookmarkStart w:id="6988" w:name="_Caption4869"/>
      <w:bookmarkStart w:id="6989" w:name="_Caption0659"/>
      <w:bookmarkStart w:id="6990" w:name="_Caption5406"/>
      <w:bookmarkStart w:id="6991" w:name="_Caption9803"/>
      <w:bookmarkStart w:id="6992" w:name="_Caption2408"/>
      <w:bookmarkStart w:id="6993" w:name="_Caption9577"/>
      <w:bookmarkStart w:id="6994" w:name="_Caption5815"/>
      <w:bookmarkStart w:id="6995" w:name="_Caption7302"/>
      <w:bookmarkStart w:id="6996" w:name="_Caption7070"/>
      <w:bookmarkStart w:id="6997" w:name="_Caption4620"/>
      <w:bookmarkStart w:id="6998" w:name="_Caption2283"/>
      <w:bookmarkStart w:id="6999" w:name="_Caption7797"/>
      <w:bookmarkStart w:id="7000" w:name="_Caption2425"/>
      <w:bookmarkStart w:id="7001" w:name="_Caption7690"/>
      <w:bookmarkStart w:id="7002" w:name="_Caption3979"/>
      <w:bookmarkStart w:id="7003" w:name="_Toc32321877"/>
      <w:bookmarkStart w:id="7004" w:name="_Toc44598586"/>
      <w:bookmarkStart w:id="7005" w:name="_Toc45654217"/>
      <w:r w:rsidR="00272AF3">
        <w:rPr>
          <w:noProof/>
        </w:rPr>
        <w:t>E</w:t>
      </w:r>
      <w:r w:rsidR="00272AF3" w:rsidRPr="00695C93">
        <w:rPr>
          <w:noProof/>
        </w:rPr>
        <w:t>.</w:t>
      </w:r>
      <w:r w:rsidR="00272AF3">
        <w:rPr>
          <w:noProof/>
        </w:rPr>
        <w:t>1</w:t>
      </w:r>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r w:rsidRPr="00695C93">
        <w:fldChar w:fldCharType="end"/>
      </w:r>
      <w:r w:rsidRPr="00695C93">
        <w:tab/>
      </w:r>
      <w:r>
        <w:t>Summary of Australian literature on the causes of delayed discharge</w:t>
      </w:r>
      <w:bookmarkEnd w:id="7003"/>
      <w:bookmarkEnd w:id="7004"/>
      <w:bookmarkEnd w:id="7005"/>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E.1"/>
        <w:tblDescription w:val="Summary of Australian literature on the causes of delayed discharge"/>
      </w:tblPr>
      <w:tblGrid>
        <w:gridCol w:w="1560"/>
        <w:gridCol w:w="2126"/>
        <w:gridCol w:w="4251"/>
      </w:tblGrid>
      <w:tr w:rsidR="007C6A5F" w:rsidTr="000F1718">
        <w:trPr>
          <w:tblHeader/>
        </w:trPr>
        <w:tc>
          <w:tcPr>
            <w:tcW w:w="1560" w:type="dxa"/>
            <w:tcBorders>
              <w:bottom w:val="single" w:sz="8" w:space="0" w:color="FFFFFF" w:themeColor="background1"/>
            </w:tcBorders>
            <w:shd w:val="clear" w:color="auto" w:fill="6F6652" w:themeFill="accent5"/>
          </w:tcPr>
          <w:p w:rsidR="007C6A5F" w:rsidRDefault="007C6A5F" w:rsidP="00C36DA4">
            <w:pPr>
              <w:pStyle w:val="TableTextColumnHeading"/>
              <w:rPr>
                <w:lang w:bidi="fa-IR"/>
              </w:rPr>
            </w:pPr>
            <w:r>
              <w:rPr>
                <w:lang w:bidi="fa-IR"/>
              </w:rPr>
              <w:t>Study</w:t>
            </w:r>
          </w:p>
        </w:tc>
        <w:tc>
          <w:tcPr>
            <w:tcW w:w="2126" w:type="dxa"/>
            <w:tcBorders>
              <w:bottom w:val="single" w:sz="8" w:space="0" w:color="FFFFFF" w:themeColor="background1"/>
            </w:tcBorders>
            <w:shd w:val="clear" w:color="auto" w:fill="6F6652" w:themeFill="accent5"/>
          </w:tcPr>
          <w:p w:rsidR="007C6A5F" w:rsidRDefault="007C6A5F" w:rsidP="00C36DA4">
            <w:pPr>
              <w:pStyle w:val="TableTextColumnHeading"/>
              <w:rPr>
                <w:lang w:bidi="fa-IR"/>
              </w:rPr>
            </w:pPr>
            <w:r>
              <w:rPr>
                <w:lang w:bidi="fa-IR"/>
              </w:rPr>
              <w:t>Approach</w:t>
            </w:r>
          </w:p>
        </w:tc>
        <w:tc>
          <w:tcPr>
            <w:tcW w:w="4251" w:type="dxa"/>
            <w:tcBorders>
              <w:bottom w:val="single" w:sz="8" w:space="0" w:color="FFFFFF" w:themeColor="background1"/>
            </w:tcBorders>
            <w:shd w:val="clear" w:color="auto" w:fill="6F6652" w:themeFill="accent5"/>
          </w:tcPr>
          <w:p w:rsidR="007C6A5F" w:rsidRDefault="007C6A5F" w:rsidP="00C36DA4">
            <w:pPr>
              <w:pStyle w:val="TableTextColumnHeading"/>
              <w:rPr>
                <w:lang w:bidi="fa-IR"/>
              </w:rPr>
            </w:pPr>
            <w:r>
              <w:rPr>
                <w:lang w:bidi="fa-IR"/>
              </w:rPr>
              <w:t>Key findings relevant to the RIS</w:t>
            </w:r>
          </w:p>
        </w:tc>
      </w:tr>
      <w:tr w:rsidR="007C6A5F" w:rsidTr="000F1718">
        <w:tc>
          <w:tcPr>
            <w:tcW w:w="156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New et. al. (2013)</w:t>
            </w:r>
          </w:p>
        </w:tc>
        <w:tc>
          <w:tcPr>
            <w:tcW w:w="212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 xml:space="preserve">Sample of 360 patients admitted into two inpatient </w:t>
            </w:r>
            <w:r w:rsidRPr="00307C8A">
              <w:rPr>
                <w:b/>
                <w:bCs/>
                <w:lang w:bidi="fa-IR"/>
              </w:rPr>
              <w:t>rehabilitation</w:t>
            </w:r>
            <w:r>
              <w:rPr>
                <w:lang w:bidi="fa-IR"/>
              </w:rPr>
              <w:t xml:space="preserve"> units in Melbourne to examine the occurrence of discharge barriers, their causes and the duration of unnecessary hospitalisation</w:t>
            </w:r>
          </w:p>
        </w:tc>
        <w:tc>
          <w:tcPr>
            <w:tcW w:w="425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ListBullet"/>
              <w:rPr>
                <w:lang w:bidi="fa-IR"/>
              </w:rPr>
            </w:pPr>
            <w:r>
              <w:rPr>
                <w:lang w:bidi="fa-IR"/>
              </w:rPr>
              <w:t>Over the study period, 21 per cent of all bed days were occupied by patients deemed to have a discharge barrier.</w:t>
            </w:r>
          </w:p>
          <w:p w:rsidR="007C6A5F" w:rsidRDefault="007C6A5F" w:rsidP="00C36DA4">
            <w:pPr>
              <w:pStyle w:val="TableListBullet"/>
              <w:rPr>
                <w:lang w:bidi="fa-IR"/>
              </w:rPr>
            </w:pPr>
            <w:r>
              <w:rPr>
                <w:lang w:bidi="fa-IR"/>
              </w:rPr>
              <w:t>The causes of the discharge barrier included the following causes that are directly related to the accessibility of the dwelling, including:</w:t>
            </w:r>
          </w:p>
          <w:p w:rsidR="007C6A5F" w:rsidRDefault="007C6A5F" w:rsidP="00C36DA4">
            <w:pPr>
              <w:pStyle w:val="TableListBullet2"/>
              <w:rPr>
                <w:lang w:bidi="fa-IR"/>
              </w:rPr>
            </w:pPr>
            <w:r>
              <w:rPr>
                <w:lang w:bidi="fa-IR"/>
              </w:rPr>
              <w:t>Accommodation (patient has no available suitable accommodation options), which accounted for 9.1 per cent of all additional unnecessary days in hospital</w:t>
            </w:r>
          </w:p>
          <w:p w:rsidR="007C6A5F" w:rsidRDefault="007C6A5F" w:rsidP="00C36DA4">
            <w:pPr>
              <w:pStyle w:val="TableListBullet2"/>
              <w:rPr>
                <w:lang w:bidi="fa-IR"/>
              </w:rPr>
            </w:pPr>
            <w:r>
              <w:rPr>
                <w:lang w:bidi="fa-IR"/>
              </w:rPr>
              <w:t>Home modifications (patient waiting for home modifications that are essential to ensure safe access and care at home after discharge), which account for 22.6 per cent of all additional unnecessary days in hospital.</w:t>
            </w:r>
          </w:p>
        </w:tc>
      </w:tr>
      <w:tr w:rsidR="007C6A5F" w:rsidTr="00B5160B">
        <w:tc>
          <w:tcPr>
            <w:tcW w:w="156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Salonga</w:t>
            </w:r>
            <w:r>
              <w:rPr>
                <w:lang w:bidi="fa-IR"/>
              </w:rPr>
              <w:noBreakHyphen/>
              <w:t>Reyes and Scott (2016)</w:t>
            </w:r>
          </w:p>
        </w:tc>
        <w:tc>
          <w:tcPr>
            <w:tcW w:w="212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rPr>
                <w:lang w:bidi="fa-IR"/>
              </w:rPr>
            </w:pPr>
            <w:r>
              <w:rPr>
                <w:lang w:bidi="fa-IR"/>
              </w:rPr>
              <w:t>Sample of 406 patients admitted non</w:t>
            </w:r>
            <w:r>
              <w:rPr>
                <w:lang w:bidi="fa-IR"/>
              </w:rPr>
              <w:noBreakHyphen/>
              <w:t xml:space="preserve">acute </w:t>
            </w:r>
            <w:r w:rsidRPr="00307C8A">
              <w:rPr>
                <w:b/>
                <w:bCs/>
                <w:lang w:bidi="fa-IR"/>
              </w:rPr>
              <w:t>maintenance</w:t>
            </w:r>
            <w:r>
              <w:rPr>
                <w:lang w:bidi="fa-IR"/>
              </w:rPr>
              <w:t xml:space="preserve"> care in a tertiary hospital in Brisbane was used to examine causes and effects of discharge delays.</w:t>
            </w:r>
          </w:p>
        </w:tc>
        <w:tc>
          <w:tcPr>
            <w:tcW w:w="425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ListBullet"/>
              <w:rPr>
                <w:lang w:bidi="fa-IR"/>
              </w:rPr>
            </w:pPr>
            <w:r>
              <w:rPr>
                <w:lang w:bidi="fa-IR"/>
              </w:rPr>
              <w:t>Delays accounted for 90 per cent of non</w:t>
            </w:r>
            <w:r>
              <w:rPr>
                <w:lang w:bidi="fa-IR"/>
              </w:rPr>
              <w:noBreakHyphen/>
              <w:t>acute occupied bed days.</w:t>
            </w:r>
          </w:p>
          <w:p w:rsidR="007C6A5F" w:rsidRDefault="007C6A5F" w:rsidP="00C36DA4">
            <w:pPr>
              <w:pStyle w:val="TableListBullet"/>
              <w:rPr>
                <w:lang w:bidi="fa-IR"/>
              </w:rPr>
            </w:pPr>
            <w:r>
              <w:rPr>
                <w:lang w:bidi="fa-IR"/>
              </w:rPr>
              <w:t>Among the causes of delay most relevant to this RIS were:</w:t>
            </w:r>
          </w:p>
          <w:p w:rsidR="007C6A5F" w:rsidRDefault="007C6A5F" w:rsidP="00C36DA4">
            <w:pPr>
              <w:pStyle w:val="TableListBullet2"/>
              <w:rPr>
                <w:lang w:bidi="fa-IR"/>
              </w:rPr>
            </w:pPr>
            <w:r>
              <w:rPr>
                <w:lang w:bidi="fa-IR"/>
              </w:rPr>
              <w:t>Wait for beds in residential aged care facility (43.8 per cent of occupied bed days)</w:t>
            </w:r>
          </w:p>
          <w:p w:rsidR="007C6A5F" w:rsidRDefault="007C6A5F" w:rsidP="00C36DA4">
            <w:pPr>
              <w:pStyle w:val="TableListBullet2"/>
              <w:rPr>
                <w:lang w:bidi="fa-IR"/>
              </w:rPr>
            </w:pPr>
            <w:r>
              <w:rPr>
                <w:lang w:bidi="fa-IR"/>
              </w:rPr>
              <w:t>Wait for delivery of home equipment (2.0 per cent of occupied bed days)</w:t>
            </w:r>
          </w:p>
          <w:p w:rsidR="007C6A5F" w:rsidRDefault="007C6A5F" w:rsidP="00C36DA4">
            <w:pPr>
              <w:pStyle w:val="TableListBullet2"/>
              <w:rPr>
                <w:lang w:bidi="fa-IR"/>
              </w:rPr>
            </w:pPr>
            <w:r>
              <w:rPr>
                <w:lang w:bidi="fa-IR"/>
              </w:rPr>
              <w:t>Wait for home modifications (0.5 per cent of occupied bed days)</w:t>
            </w:r>
          </w:p>
        </w:tc>
      </w:tr>
      <w:tr w:rsidR="007C6A5F" w:rsidTr="00B5160B">
        <w:tc>
          <w:tcPr>
            <w:tcW w:w="1560"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TextEntries"/>
              <w:rPr>
                <w:lang w:bidi="fa-IR"/>
              </w:rPr>
            </w:pPr>
            <w:r>
              <w:rPr>
                <w:lang w:bidi="fa-IR"/>
              </w:rPr>
              <w:lastRenderedPageBreak/>
              <w:t>Ou, Chen and Santiano (2009)</w:t>
            </w:r>
          </w:p>
        </w:tc>
        <w:tc>
          <w:tcPr>
            <w:tcW w:w="2126"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TextEntries"/>
              <w:rPr>
                <w:lang w:bidi="fa-IR"/>
              </w:rPr>
            </w:pPr>
            <w:r>
              <w:rPr>
                <w:lang w:bidi="fa-IR"/>
              </w:rPr>
              <w:t xml:space="preserve">A sample of 1958 in a tertiary referral hospital in NSW was used to estimate the reasons and determinants of delay in </w:t>
            </w:r>
            <w:r w:rsidRPr="00307C8A">
              <w:rPr>
                <w:b/>
                <w:bCs/>
                <w:lang w:bidi="fa-IR"/>
              </w:rPr>
              <w:t>acute</w:t>
            </w:r>
            <w:r>
              <w:rPr>
                <w:lang w:bidi="fa-IR"/>
              </w:rPr>
              <w:t xml:space="preserve"> care general ward patients.</w:t>
            </w:r>
          </w:p>
        </w:tc>
        <w:tc>
          <w:tcPr>
            <w:tcW w:w="4251"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TextEntries"/>
              <w:rPr>
                <w:lang w:bidi="fa-IR"/>
              </w:rPr>
            </w:pPr>
            <w:r>
              <w:rPr>
                <w:lang w:bidi="fa-IR"/>
              </w:rPr>
              <w:t>Causes listed were mostly not relevant to accessible housing. Identified causes most relevant included:</w:t>
            </w:r>
          </w:p>
          <w:p w:rsidR="007C6A5F" w:rsidRDefault="007C6A5F" w:rsidP="00C36DA4">
            <w:pPr>
              <w:pStyle w:val="TableListBullet"/>
              <w:rPr>
                <w:lang w:bidi="fa-IR"/>
              </w:rPr>
            </w:pPr>
            <w:r>
              <w:rPr>
                <w:lang w:bidi="fa-IR"/>
              </w:rPr>
              <w:t>Post</w:t>
            </w:r>
            <w:r>
              <w:rPr>
                <w:lang w:bidi="fa-IR"/>
              </w:rPr>
              <w:noBreakHyphen/>
              <w:t>hospital problem (8.2 per cent), including:</w:t>
            </w:r>
          </w:p>
          <w:p w:rsidR="007C6A5F" w:rsidRDefault="007C6A5F" w:rsidP="00C36DA4">
            <w:pPr>
              <w:pStyle w:val="TableListBullet2"/>
              <w:rPr>
                <w:lang w:bidi="fa-IR"/>
              </w:rPr>
            </w:pPr>
            <w:r>
              <w:rPr>
                <w:lang w:bidi="fa-IR"/>
              </w:rPr>
              <w:t>Awaiting equipment (1.1 per cent)</w:t>
            </w:r>
          </w:p>
          <w:p w:rsidR="007C6A5F" w:rsidRDefault="007C6A5F" w:rsidP="00C36DA4">
            <w:pPr>
              <w:pStyle w:val="TableListBullet2"/>
              <w:rPr>
                <w:lang w:bidi="fa-IR"/>
              </w:rPr>
            </w:pPr>
            <w:r>
              <w:rPr>
                <w:lang w:bidi="fa-IR"/>
              </w:rPr>
              <w:t>Lack of carer support (3.0 per cent)</w:t>
            </w:r>
          </w:p>
          <w:p w:rsidR="007C6A5F" w:rsidRDefault="007C6A5F" w:rsidP="00C36DA4">
            <w:pPr>
              <w:pStyle w:val="TableListBullet2"/>
              <w:rPr>
                <w:lang w:bidi="fa-IR"/>
              </w:rPr>
            </w:pPr>
            <w:r>
              <w:rPr>
                <w:lang w:bidi="fa-IR"/>
              </w:rPr>
              <w:t>Awaiting community nursing (0.8 per cent)</w:t>
            </w:r>
          </w:p>
          <w:p w:rsidR="007C6A5F" w:rsidRDefault="007C6A5F" w:rsidP="00C36DA4">
            <w:pPr>
              <w:pStyle w:val="TableListBullet2"/>
              <w:rPr>
                <w:lang w:bidi="fa-IR"/>
              </w:rPr>
            </w:pPr>
            <w:r>
              <w:rPr>
                <w:lang w:bidi="fa-IR"/>
              </w:rPr>
              <w:t>Awaiting allied health (4.0 per cent)</w:t>
            </w:r>
          </w:p>
          <w:p w:rsidR="007C6A5F" w:rsidRDefault="007C6A5F" w:rsidP="00C36DA4">
            <w:pPr>
              <w:pStyle w:val="TableListBullet"/>
              <w:rPr>
                <w:lang w:bidi="fa-IR"/>
              </w:rPr>
            </w:pPr>
            <w:r>
              <w:rPr>
                <w:lang w:bidi="fa-IR"/>
              </w:rPr>
              <w:t>Alternative care problems (4.3 per cent), including:</w:t>
            </w:r>
          </w:p>
          <w:p w:rsidR="007C6A5F" w:rsidRDefault="007C6A5F" w:rsidP="00C36DA4">
            <w:pPr>
              <w:pStyle w:val="TableListBullet2"/>
              <w:rPr>
                <w:lang w:bidi="fa-IR"/>
              </w:rPr>
            </w:pPr>
            <w:r>
              <w:rPr>
                <w:lang w:bidi="fa-IR"/>
              </w:rPr>
              <w:t>Awaiting rehabilitation placement (2.5 per cent)</w:t>
            </w:r>
          </w:p>
          <w:p w:rsidR="007C6A5F" w:rsidRDefault="007C6A5F" w:rsidP="00C36DA4">
            <w:pPr>
              <w:pStyle w:val="TableListBullet2"/>
              <w:rPr>
                <w:lang w:bidi="fa-IR"/>
              </w:rPr>
            </w:pPr>
            <w:r>
              <w:rPr>
                <w:lang w:bidi="fa-IR"/>
              </w:rPr>
              <w:t>Awaiting respite care (2.1 per cent).</w:t>
            </w:r>
          </w:p>
        </w:tc>
      </w:tr>
    </w:tbl>
    <w:p w:rsidR="007C6A5F" w:rsidRDefault="007C6A5F" w:rsidP="007C6A5F">
      <w:pPr>
        <w:pStyle w:val="Source"/>
        <w:rPr>
          <w:lang w:bidi="fa-IR"/>
        </w:rPr>
      </w:pPr>
      <w:r w:rsidRPr="00015BA8">
        <w:rPr>
          <w:i/>
          <w:lang w:bidi="fa-IR"/>
        </w:rPr>
        <w:t>Source:</w:t>
      </w:r>
      <w:r>
        <w:rPr>
          <w:lang w:bidi="fa-IR"/>
        </w:rPr>
        <w:t xml:space="preserve"> New, P.W. Jolley, D.J. Cameron, P.A. Olver, J.H. and Stoelwinder, J.U. </w:t>
      </w:r>
      <w:r>
        <w:rPr>
          <w:lang w:val="en-US"/>
        </w:rPr>
        <w:t xml:space="preserve">2013, A prospective multicenter study to discharge from inpatient rehabilitations, </w:t>
      </w:r>
      <w:r w:rsidRPr="00BB5DEA">
        <w:rPr>
          <w:i/>
          <w:iCs/>
          <w:lang w:val="en-US"/>
        </w:rPr>
        <w:t>Medical Journal of Australia</w:t>
      </w:r>
      <w:r>
        <w:rPr>
          <w:lang w:val="en-US"/>
        </w:rPr>
        <w:t>, 198 (2), pp. 104</w:t>
      </w:r>
      <w:r>
        <w:rPr>
          <w:lang w:val="en-US"/>
        </w:rPr>
        <w:noBreakHyphen/>
        <w:t>108; Salonga</w:t>
      </w:r>
      <w:r>
        <w:rPr>
          <w:lang w:val="en-US"/>
        </w:rPr>
        <w:noBreakHyphen/>
        <w:t>Reyes, A. Scott, I.A. 2017, Stranded: causes and effects of discharge delays involving non</w:t>
      </w:r>
      <w:r>
        <w:rPr>
          <w:lang w:val="en-US"/>
        </w:rPr>
        <w:noBreakHyphen/>
        <w:t>acute in</w:t>
      </w:r>
      <w:r>
        <w:rPr>
          <w:lang w:val="en-US"/>
        </w:rPr>
        <w:noBreakHyphen/>
        <w:t>patients requiring maintenance care in a tertiary hospital general medicine service, Australian Health Review, 41, CSIRO Publishing, pp. 54</w:t>
      </w:r>
      <w:r>
        <w:rPr>
          <w:lang w:val="en-US"/>
        </w:rPr>
        <w:noBreakHyphen/>
        <w:t>62; Ou, L. Chen, J. and Santiano, N. 2009, Discharge delays in acute care: Reasons and determinants of delay in general ward patients, Australian Health Review, August 2009, Vol 33 No. 3, pp. 513</w:t>
      </w:r>
      <w:r>
        <w:rPr>
          <w:lang w:val="en-US"/>
        </w:rPr>
        <w:noBreakHyphen/>
        <w:t>521.</w:t>
      </w:r>
    </w:p>
    <w:p w:rsidR="007C6A5F" w:rsidRDefault="007C6A5F" w:rsidP="007C6A5F">
      <w:pPr>
        <w:pStyle w:val="BodyText"/>
        <w:rPr>
          <w:lang w:bidi="fa-IR"/>
        </w:rPr>
      </w:pPr>
      <w:r>
        <w:rPr>
          <w:lang w:bidi="fa-IR"/>
        </w:rPr>
        <w:t>From this limited Australian evidence base, we draw the following inferences.</w:t>
      </w:r>
    </w:p>
    <w:p w:rsidR="007C6A5F" w:rsidRDefault="007C6A5F" w:rsidP="005A6F87">
      <w:pPr>
        <w:pStyle w:val="ListBullet"/>
        <w:numPr>
          <w:ilvl w:val="0"/>
          <w:numId w:val="17"/>
        </w:numPr>
        <w:rPr>
          <w:lang w:bidi="fa-IR"/>
        </w:rPr>
      </w:pPr>
      <w:r>
        <w:rPr>
          <w:lang w:bidi="fa-IR"/>
        </w:rPr>
        <w:t xml:space="preserve">Around 6.7 per cent of bed days in </w:t>
      </w:r>
      <w:r w:rsidRPr="005F6C3B">
        <w:rPr>
          <w:b/>
          <w:bCs/>
          <w:lang w:bidi="fa-IR"/>
        </w:rPr>
        <w:t>rehabilitation</w:t>
      </w:r>
      <w:r>
        <w:rPr>
          <w:lang w:bidi="fa-IR"/>
        </w:rPr>
        <w:t xml:space="preserve"> care (see box E.2 for definitions) can potentially be attributed to a lack of accessible housing, based on the following findings from New et. al. (2013):</w:t>
      </w:r>
    </w:p>
    <w:p w:rsidR="007C6A5F" w:rsidRDefault="007C6A5F" w:rsidP="005A6F87">
      <w:pPr>
        <w:pStyle w:val="ListBullet2"/>
        <w:numPr>
          <w:ilvl w:val="1"/>
          <w:numId w:val="17"/>
        </w:numPr>
        <w:ind w:left="568" w:hanging="284"/>
        <w:rPr>
          <w:lang w:bidi="fa-IR"/>
        </w:rPr>
      </w:pPr>
      <w:r>
        <w:rPr>
          <w:lang w:bidi="fa-IR"/>
        </w:rPr>
        <w:t>Over the 21 per cent of all bed days were occupied by patients deemed to have a discharge barrier.</w:t>
      </w:r>
    </w:p>
    <w:p w:rsidR="007C6A5F" w:rsidRDefault="007C6A5F" w:rsidP="005A6F87">
      <w:pPr>
        <w:pStyle w:val="ListBullet2"/>
        <w:numPr>
          <w:ilvl w:val="1"/>
          <w:numId w:val="17"/>
        </w:numPr>
        <w:ind w:left="568" w:hanging="284"/>
        <w:rPr>
          <w:lang w:bidi="fa-IR"/>
        </w:rPr>
      </w:pPr>
      <w:r>
        <w:rPr>
          <w:lang w:bidi="fa-IR"/>
        </w:rPr>
        <w:t>Together, accommodation (patient has no available suitable accommodation options) and home modifications (patient waiting for home modifications that are essential to ensure safe access and care at home after discharge) account for 31.7 per cent of additional/unnecessary bed days.</w:t>
      </w:r>
      <w:r>
        <w:rPr>
          <w:rStyle w:val="FootnoteReference"/>
          <w:lang w:bidi="fa-IR"/>
        </w:rPr>
        <w:footnoteReference w:id="90"/>
      </w:r>
    </w:p>
    <w:p w:rsidR="007C6A5F" w:rsidRDefault="007C6A5F" w:rsidP="005A6F87">
      <w:pPr>
        <w:pStyle w:val="ListBullet"/>
        <w:numPr>
          <w:ilvl w:val="0"/>
          <w:numId w:val="17"/>
        </w:numPr>
        <w:rPr>
          <w:lang w:bidi="fa-IR"/>
        </w:rPr>
      </w:pPr>
      <w:r>
        <w:rPr>
          <w:lang w:bidi="fa-IR"/>
        </w:rPr>
        <w:t>Around 1.8 per cent occupied bed days in maintenance care can potentially be attributed to a lack of accessible housing, based on the following findings from Salonga</w:t>
      </w:r>
      <w:r>
        <w:rPr>
          <w:lang w:bidi="fa-IR"/>
        </w:rPr>
        <w:noBreakHyphen/>
        <w:t>Reyes and Scott (2017).</w:t>
      </w:r>
    </w:p>
    <w:p w:rsidR="007C6A5F" w:rsidRDefault="007C6A5F" w:rsidP="005A6F87">
      <w:pPr>
        <w:pStyle w:val="ListBullet2"/>
        <w:numPr>
          <w:ilvl w:val="1"/>
          <w:numId w:val="17"/>
        </w:numPr>
        <w:ind w:left="568" w:hanging="284"/>
        <w:rPr>
          <w:lang w:bidi="fa-IR"/>
        </w:rPr>
      </w:pPr>
      <w:r>
        <w:rPr>
          <w:lang w:bidi="fa-IR"/>
        </w:rPr>
        <w:t>90 per cent of bed days in maintenance care are due to discharge delays.</w:t>
      </w:r>
    </w:p>
    <w:p w:rsidR="007C6A5F" w:rsidRPr="006723B9" w:rsidRDefault="007C6A5F" w:rsidP="005A6F87">
      <w:pPr>
        <w:pStyle w:val="ListBullet2"/>
        <w:numPr>
          <w:ilvl w:val="1"/>
          <w:numId w:val="17"/>
        </w:numPr>
        <w:ind w:left="568" w:hanging="284"/>
        <w:rPr>
          <w:lang w:bidi="fa-IR"/>
        </w:rPr>
      </w:pPr>
      <w:r w:rsidRPr="006723B9">
        <w:rPr>
          <w:lang w:bidi="fa-IR"/>
        </w:rPr>
        <w:t>2.0 per cent of delays were due to waiting for home modifications.</w:t>
      </w:r>
    </w:p>
    <w:p w:rsidR="007C6A5F" w:rsidRDefault="007C6A5F" w:rsidP="007C6A5F">
      <w:pPr>
        <w:pStyle w:val="ListBullet"/>
        <w:numPr>
          <w:ilvl w:val="0"/>
          <w:numId w:val="17"/>
        </w:numPr>
        <w:rPr>
          <w:lang w:bidi="fa-IR"/>
        </w:rPr>
      </w:pPr>
      <w:r>
        <w:rPr>
          <w:lang w:bidi="fa-IR"/>
        </w:rPr>
        <w:t>We did not identify any reliable evidence to suggest that housing issues are delaying discharge from hospital acute care.</w:t>
      </w:r>
      <w:r>
        <w:rPr>
          <w:rStyle w:val="FootnoteReference"/>
          <w:lang w:bidi="fa-IR"/>
        </w:rPr>
        <w:footnoteReference w:id="91"/>
      </w:r>
    </w:p>
    <w:p w:rsidR="007C6A5F" w:rsidRDefault="007C6A5F" w:rsidP="007C6A5F">
      <w:pPr>
        <w:pStyle w:val="Invisiblepara"/>
      </w:pPr>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Box E.2"/>
        <w:tblDescription w:val="Relevant types of care"/>
      </w:tblPr>
      <w:tblGrid>
        <w:gridCol w:w="7938"/>
      </w:tblGrid>
      <w:tr w:rsidR="007C6A5F" w:rsidRPr="00E05C8C" w:rsidTr="00063389">
        <w:trPr>
          <w:tblHeader/>
        </w:trPr>
        <w:tc>
          <w:tcPr>
            <w:tcW w:w="7938" w:type="dxa"/>
            <w:shd w:val="clear" w:color="auto" w:fill="C6BFAB" w:themeFill="accent3"/>
          </w:tcPr>
          <w:bookmarkStart w:id="7006" w:name="_Toc32321878"/>
          <w:bookmarkStart w:id="7007" w:name="_Caption6525"/>
          <w:bookmarkStart w:id="7008" w:name="_Caption7568"/>
          <w:p w:rsidR="007C6A5F" w:rsidRPr="00E05C8C" w:rsidRDefault="007C6A5F" w:rsidP="005A6F87">
            <w:pPr>
              <w:pStyle w:val="Caption"/>
              <w:numPr>
                <w:ilvl w:val="0"/>
                <w:numId w:val="13"/>
              </w:numPr>
              <w:spacing w:before="120" w:after="100"/>
            </w:pPr>
            <w:r w:rsidRPr="00E05C8C">
              <w:fldChar w:fldCharType="begin"/>
            </w:r>
            <w:bookmarkEnd w:id="7006"/>
            <w:bookmarkEnd w:id="7007"/>
            <w:bookmarkEnd w:id="7008"/>
            <w:r w:rsidRPr="00E05C8C">
              <w:instrText xml:space="preserve"> IF 1 = 1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E</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E05C8C">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E05C8C">
              <w:instrText xml:space="preserve">." </w:instrText>
            </w:r>
            <w:r w:rsidRPr="00E05C8C">
              <w:fldChar w:fldCharType="separate"/>
            </w:r>
            <w:r>
              <w:rPr>
                <w:noProof/>
              </w:rPr>
              <w:instrText>2</w:instrText>
            </w:r>
            <w:r w:rsidRPr="00E05C8C">
              <w:rPr>
                <w:noProof/>
              </w:rPr>
              <w:instrText>.</w:instrText>
            </w:r>
            <w:r w:rsidRPr="00E05C8C">
              <w:fldChar w:fldCharType="end"/>
            </w:r>
            <w:r w:rsidRPr="00E05C8C">
              <w:instrText>" "</w:instrText>
            </w:r>
            <w:r>
              <w:rPr>
                <w:noProof/>
              </w:rPr>
              <w:fldChar w:fldCharType="begin"/>
            </w:r>
            <w:r>
              <w:rPr>
                <w:noProof/>
              </w:rPr>
              <w:instrText xml:space="preserve"> STYLEREF "Heading 6" \l \n </w:instrText>
            </w:r>
            <w:r>
              <w:rPr>
                <w:noProof/>
              </w:rPr>
              <w:fldChar w:fldCharType="separate"/>
            </w:r>
            <w:r>
              <w:rPr>
                <w:noProof/>
              </w:rPr>
              <w:instrText>E</w:instrText>
            </w:r>
            <w:r>
              <w:rPr>
                <w:noProof/>
              </w:rPr>
              <w:fldChar w:fldCharType="end"/>
            </w:r>
            <w:r w:rsidRPr="00E05C8C">
              <w:instrText xml:space="preserve">." </w:instrText>
            </w:r>
            <w:r w:rsidRPr="00E05C8C">
              <w:fldChar w:fldCharType="separate"/>
            </w:r>
            <w:r>
              <w:rPr>
                <w:noProof/>
              </w:rPr>
              <w:instrText>E</w:instrText>
            </w:r>
            <w:r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E</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E05C8C">
              <w:instrText xml:space="preserve"> = 0 "" "1" </w:instrText>
            </w:r>
            <w:r w:rsidRPr="00E05C8C">
              <w:fldChar w:fldCharType="separate"/>
            </w:r>
            <w:r w:rsidRPr="00E05C8C">
              <w:rPr>
                <w:noProof/>
              </w:rPr>
              <w:instrText>1</w:instrText>
            </w:r>
            <w:r w:rsidRPr="00E05C8C">
              <w:fldChar w:fldCharType="end"/>
            </w:r>
            <w:r w:rsidRPr="00E05C8C">
              <w:instrText xml:space="preserve">" "6" </w:instrText>
            </w:r>
            <w:r w:rsidRPr="00E05C8C">
              <w:fldChar w:fldCharType="separate"/>
            </w:r>
            <w:r w:rsidRPr="00E05C8C">
              <w:rPr>
                <w:noProof/>
              </w:rPr>
              <w:instrText>6</w:instrText>
            </w:r>
            <w:r w:rsidRPr="00E05C8C">
              <w:fldChar w:fldCharType="end"/>
            </w:r>
            <w:r w:rsidRPr="00E05C8C">
              <w:instrText xml:space="preserve"> </w:instrText>
            </w:r>
            <w:r w:rsidRPr="00E05C8C">
              <w:fldChar w:fldCharType="separate"/>
            </w:r>
            <w:r>
              <w:rPr>
                <w:noProof/>
              </w:rPr>
              <w:instrText>2</w:instrText>
            </w:r>
            <w:r w:rsidRPr="00E05C8C">
              <w:fldChar w:fldCharType="end"/>
            </w:r>
            <w:r w:rsidRPr="00E05C8C">
              <w:instrText xml:space="preserve">" "" </w:instrText>
            </w:r>
            <w:r w:rsidRPr="00E05C8C">
              <w:fldChar w:fldCharType="separate"/>
            </w:r>
            <w:bookmarkStart w:id="7009" w:name="_Caption3100"/>
            <w:bookmarkStart w:id="7010" w:name="_Caption0266"/>
            <w:bookmarkStart w:id="7011" w:name="_Caption6302"/>
            <w:bookmarkStart w:id="7012" w:name="_Caption4069"/>
            <w:bookmarkStart w:id="7013" w:name="_Caption8650"/>
            <w:bookmarkStart w:id="7014" w:name="_Caption8552"/>
            <w:bookmarkStart w:id="7015" w:name="_Caption9332"/>
            <w:bookmarkStart w:id="7016" w:name="_Caption3149"/>
            <w:bookmarkStart w:id="7017" w:name="_Caption8476"/>
            <w:bookmarkStart w:id="7018" w:name="_Caption4277"/>
            <w:bookmarkStart w:id="7019" w:name="_Caption3657"/>
            <w:bookmarkStart w:id="7020" w:name="_Caption1674"/>
            <w:bookmarkStart w:id="7021" w:name="_Caption2819"/>
            <w:bookmarkStart w:id="7022" w:name="_Caption6184"/>
            <w:bookmarkStart w:id="7023" w:name="_Caption8653"/>
            <w:bookmarkStart w:id="7024" w:name="_Caption2000"/>
            <w:bookmarkStart w:id="7025" w:name="_Caption1071"/>
            <w:bookmarkStart w:id="7026" w:name="_Caption6848"/>
            <w:bookmarkStart w:id="7027" w:name="_Caption0817"/>
            <w:bookmarkStart w:id="7028" w:name="_Caption9590"/>
            <w:bookmarkStart w:id="7029" w:name="_Caption6598"/>
            <w:bookmarkStart w:id="7030" w:name="_Caption0069"/>
            <w:bookmarkStart w:id="7031" w:name="_Caption0799"/>
            <w:bookmarkStart w:id="7032" w:name="_Caption0891"/>
            <w:bookmarkStart w:id="7033" w:name="_Caption4849"/>
            <w:bookmarkStart w:id="7034" w:name="_Caption7408"/>
            <w:bookmarkStart w:id="7035" w:name="_Caption7125"/>
            <w:bookmarkStart w:id="7036" w:name="_Caption7569"/>
            <w:bookmarkStart w:id="7037" w:name="_Caption4498"/>
            <w:bookmarkStart w:id="7038" w:name="_Caption4813"/>
            <w:bookmarkStart w:id="7039" w:name="_Caption6502"/>
            <w:bookmarkStart w:id="7040" w:name="_Caption5148"/>
            <w:bookmarkStart w:id="7041" w:name="_Caption8235"/>
            <w:bookmarkStart w:id="7042" w:name="_Caption9933"/>
            <w:bookmarkStart w:id="7043" w:name="_Caption9996"/>
            <w:bookmarkStart w:id="7044" w:name="_Caption9995"/>
            <w:bookmarkStart w:id="7045" w:name="_Caption8743"/>
            <w:bookmarkStart w:id="7046" w:name="_Caption7846"/>
            <w:bookmarkStart w:id="7047" w:name="_Caption9885"/>
            <w:bookmarkStart w:id="7048" w:name="_Caption4393"/>
            <w:bookmarkStart w:id="7049" w:name="_Caption9378"/>
            <w:bookmarkStart w:id="7050" w:name="_Caption0436"/>
            <w:bookmarkStart w:id="7051" w:name="_Caption8737"/>
            <w:bookmarkStart w:id="7052" w:name="_Caption0851"/>
            <w:bookmarkStart w:id="7053" w:name="_Caption4832"/>
            <w:bookmarkStart w:id="7054" w:name="_Caption0846"/>
            <w:bookmarkStart w:id="7055" w:name="_Caption7965"/>
            <w:bookmarkStart w:id="7056" w:name="_Caption9861"/>
            <w:bookmarkStart w:id="7057" w:name="_Caption5847"/>
            <w:bookmarkStart w:id="7058" w:name="_Caption4302"/>
            <w:bookmarkStart w:id="7059" w:name="_Caption5885"/>
            <w:bookmarkStart w:id="7060" w:name="_Caption3178"/>
            <w:bookmarkStart w:id="7061" w:name="_Caption6245"/>
            <w:bookmarkStart w:id="7062" w:name="_Caption2090"/>
            <w:bookmarkStart w:id="7063" w:name="_Caption2535"/>
            <w:bookmarkStart w:id="7064" w:name="_Caption3598"/>
            <w:bookmarkStart w:id="7065" w:name="_Caption4286"/>
            <w:bookmarkStart w:id="7066" w:name="_Caption3136"/>
            <w:bookmarkStart w:id="7067" w:name="_Caption6758"/>
            <w:bookmarkStart w:id="7068" w:name="_Caption9881"/>
            <w:bookmarkStart w:id="7069" w:name="_Caption7643"/>
            <w:bookmarkStart w:id="7070" w:name="_Caption1104"/>
            <w:bookmarkStart w:id="7071" w:name="_Caption6829"/>
            <w:bookmarkStart w:id="7072" w:name="_Caption1023"/>
            <w:bookmarkStart w:id="7073" w:name="_Caption9845"/>
            <w:bookmarkStart w:id="7074" w:name="_Caption2095"/>
            <w:bookmarkStart w:id="7075" w:name="_Caption7093"/>
            <w:bookmarkStart w:id="7076" w:name="_Caption4305"/>
            <w:bookmarkStart w:id="7077" w:name="_Caption3875"/>
            <w:bookmarkStart w:id="7078" w:name="_Caption2758"/>
            <w:bookmarkStart w:id="7079" w:name="_Caption1983"/>
            <w:bookmarkStart w:id="7080" w:name="_Caption2738"/>
            <w:bookmarkStart w:id="7081" w:name="_Caption3685"/>
            <w:bookmarkStart w:id="7082" w:name="_Caption5377"/>
            <w:bookmarkStart w:id="7083" w:name="_Caption2525"/>
            <w:bookmarkStart w:id="7084" w:name="_Caption5202"/>
            <w:bookmarkStart w:id="7085" w:name="_Caption9292"/>
            <w:bookmarkStart w:id="7086" w:name="_Caption2336"/>
            <w:bookmarkStart w:id="7087" w:name="_Toc44598587"/>
            <w:bookmarkStart w:id="7088" w:name="_Toc45654218"/>
            <w:r w:rsidR="00272AF3">
              <w:rPr>
                <w:noProof/>
              </w:rPr>
              <w:t>E</w:t>
            </w:r>
            <w:r w:rsidR="00272AF3" w:rsidRPr="00E05C8C">
              <w:rPr>
                <w:noProof/>
              </w:rPr>
              <w:t>.</w:t>
            </w:r>
            <w:r w:rsidR="00272AF3">
              <w:rPr>
                <w:noProof/>
              </w:rPr>
              <w:t>2</w:t>
            </w:r>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r w:rsidRPr="00E05C8C">
              <w:fldChar w:fldCharType="end"/>
            </w:r>
            <w:r w:rsidRPr="00E05C8C">
              <w:tab/>
            </w:r>
            <w:r>
              <w:t>Relevant types of care</w:t>
            </w:r>
            <w:bookmarkEnd w:id="7087"/>
            <w:bookmarkEnd w:id="7088"/>
          </w:p>
        </w:tc>
      </w:tr>
      <w:tr w:rsidR="007C6A5F" w:rsidTr="00B5160B">
        <w:tc>
          <w:tcPr>
            <w:tcW w:w="7938" w:type="dxa"/>
            <w:tcBorders>
              <w:bottom w:val="single" w:sz="4" w:space="0" w:color="9B917E" w:themeColor="accent4"/>
            </w:tcBorders>
            <w:shd w:val="clear" w:color="auto" w:fill="E9E8E5" w:themeFill="background2"/>
          </w:tcPr>
          <w:p w:rsidR="007C6A5F" w:rsidRDefault="007C6A5F" w:rsidP="005A6F87">
            <w:pPr>
              <w:pStyle w:val="ListBullet"/>
              <w:numPr>
                <w:ilvl w:val="0"/>
                <w:numId w:val="17"/>
              </w:numPr>
            </w:pPr>
            <w:r w:rsidRPr="003B6F2D">
              <w:rPr>
                <w:b/>
                <w:bCs/>
              </w:rPr>
              <w:t>Acute care</w:t>
            </w:r>
            <w:r>
              <w:t xml:space="preserve"> — care in which the intent is to perform surgery, diagnostic or therapeutic procedures in the treatment of illness or injury.</w:t>
            </w:r>
            <w:r>
              <w:rPr>
                <w:rStyle w:val="FootnoteReference"/>
              </w:rPr>
              <w:footnoteReference w:id="92"/>
            </w:r>
          </w:p>
          <w:p w:rsidR="007C6A5F" w:rsidRDefault="007C6A5F" w:rsidP="005A6F87">
            <w:pPr>
              <w:pStyle w:val="ListBullet"/>
              <w:numPr>
                <w:ilvl w:val="0"/>
                <w:numId w:val="17"/>
              </w:numPr>
            </w:pPr>
            <w:r w:rsidRPr="003B6F2D">
              <w:rPr>
                <w:b/>
                <w:bCs/>
              </w:rPr>
              <w:t>Subacute care</w:t>
            </w:r>
            <w:r>
              <w:t xml:space="preserve"> — specialised multidisciplinary hospital</w:t>
            </w:r>
            <w:r>
              <w:noBreakHyphen/>
              <w:t>based care in which the primary need for care is optimisation of the patient’s functioning and quality of life. A person’s functioning may relate to their whole body or a body part, the whole person, or the whole person in a social context, and to impairment of a body function or structure, activity limitation and/or participation restriction comprises the following care types:</w:t>
            </w:r>
            <w:r>
              <w:rPr>
                <w:rStyle w:val="FootnoteReference"/>
              </w:rPr>
              <w:footnoteReference w:id="93"/>
            </w:r>
          </w:p>
          <w:p w:rsidR="007C6A5F" w:rsidRDefault="007C6A5F" w:rsidP="005A6F87">
            <w:pPr>
              <w:pStyle w:val="ListBullet2"/>
              <w:numPr>
                <w:ilvl w:val="1"/>
                <w:numId w:val="17"/>
              </w:numPr>
              <w:ind w:left="568" w:hanging="284"/>
            </w:pPr>
            <w:r w:rsidRPr="003B6F2D">
              <w:rPr>
                <w:b/>
                <w:bCs/>
              </w:rPr>
              <w:t>Rehabilitation care</w:t>
            </w:r>
            <w:r>
              <w:t xml:space="preserve"> </w:t>
            </w:r>
            <w:r>
              <w:rPr>
                <w:lang w:val="en-GB" w:eastAsia="en-GB"/>
              </w:rPr>
              <w:t>—</w:t>
            </w:r>
            <w:r w:rsidRPr="006021A0">
              <w:rPr>
                <w:lang w:val="en-GB" w:eastAsia="en-GB"/>
              </w:rPr>
              <w:t xml:space="preserve"> </w:t>
            </w:r>
            <w:r>
              <w:rPr>
                <w:lang w:val="en-GB" w:eastAsia="en-GB"/>
              </w:rPr>
              <w:t xml:space="preserve">care to </w:t>
            </w:r>
            <w:r w:rsidRPr="006021A0">
              <w:rPr>
                <w:lang w:val="en-GB" w:eastAsia="en-GB"/>
              </w:rPr>
              <w:t>improve the functioning of a patient with an impairment, activity limitation or participation restriction due to a health condition.</w:t>
            </w:r>
          </w:p>
          <w:p w:rsidR="007C6A5F" w:rsidRPr="006021A0" w:rsidRDefault="007C6A5F" w:rsidP="005A6F87">
            <w:pPr>
              <w:pStyle w:val="ListBullet2"/>
              <w:numPr>
                <w:ilvl w:val="1"/>
                <w:numId w:val="17"/>
              </w:numPr>
              <w:ind w:left="568" w:hanging="284"/>
              <w:rPr>
                <w:lang w:val="en-GB" w:eastAsia="en-GB"/>
              </w:rPr>
            </w:pPr>
            <w:r w:rsidRPr="003B6F2D">
              <w:rPr>
                <w:b/>
                <w:bCs/>
              </w:rPr>
              <w:t>Palliative care</w:t>
            </w:r>
            <w:r>
              <w:t xml:space="preserve"> — </w:t>
            </w:r>
            <w:r>
              <w:rPr>
                <w:lang w:val="en-GB" w:eastAsia="en-GB"/>
              </w:rPr>
              <w:t>care to</w:t>
            </w:r>
            <w:r w:rsidRPr="006021A0">
              <w:rPr>
                <w:lang w:val="en-GB" w:eastAsia="en-GB"/>
              </w:rPr>
              <w:t xml:space="preserve"> optimis</w:t>
            </w:r>
            <w:r>
              <w:rPr>
                <w:lang w:val="en-GB" w:eastAsia="en-GB"/>
              </w:rPr>
              <w:t>e</w:t>
            </w:r>
            <w:r w:rsidRPr="006021A0">
              <w:rPr>
                <w:lang w:val="en-GB" w:eastAsia="en-GB"/>
              </w:rPr>
              <w:t xml:space="preserve"> of the quality of life of a patient with an active and advanced life-limiting illness.</w:t>
            </w:r>
          </w:p>
          <w:p w:rsidR="007C6A5F" w:rsidRDefault="007C6A5F" w:rsidP="005A6F87">
            <w:pPr>
              <w:pStyle w:val="ListBullet2"/>
              <w:numPr>
                <w:ilvl w:val="1"/>
                <w:numId w:val="17"/>
              </w:numPr>
              <w:ind w:left="568" w:hanging="284"/>
            </w:pPr>
            <w:r w:rsidRPr="003B6F2D">
              <w:rPr>
                <w:b/>
                <w:bCs/>
              </w:rPr>
              <w:t>Geriatric evaluation and management care</w:t>
            </w:r>
            <w:r>
              <w:t xml:space="preserve"> — </w:t>
            </w:r>
            <w:r w:rsidRPr="006021A0">
              <w:rPr>
                <w:lang w:val="en-GB" w:eastAsia="en-GB"/>
              </w:rPr>
              <w:t xml:space="preserve">care </w:t>
            </w:r>
            <w:r>
              <w:rPr>
                <w:lang w:val="en-GB" w:eastAsia="en-GB"/>
              </w:rPr>
              <w:t>to</w:t>
            </w:r>
            <w:r w:rsidRPr="006021A0">
              <w:rPr>
                <w:lang w:val="en-GB" w:eastAsia="en-GB"/>
              </w:rPr>
              <w:t xml:space="preserve"> improve</w:t>
            </w:r>
            <w:r>
              <w:rPr>
                <w:lang w:val="en-GB" w:eastAsia="en-GB"/>
              </w:rPr>
              <w:t xml:space="preserve"> </w:t>
            </w:r>
            <w:r w:rsidRPr="006021A0">
              <w:rPr>
                <w:lang w:val="en-GB" w:eastAsia="en-GB"/>
              </w:rPr>
              <w:t>the functioning of a patient with multi-dimensional needs, associated with age related medical conditions. Some examples of conditions in GEM care patients include a tendency to fall, incontinence, reduced mobility and cognitive impairment. The patient may also have complex psychosocial problems.</w:t>
            </w:r>
          </w:p>
          <w:p w:rsidR="007C6A5F" w:rsidRDefault="007C6A5F" w:rsidP="005A6F87">
            <w:pPr>
              <w:pStyle w:val="ListBullet2"/>
              <w:numPr>
                <w:ilvl w:val="1"/>
                <w:numId w:val="17"/>
              </w:numPr>
              <w:ind w:left="568" w:hanging="284"/>
              <w:rPr>
                <w:lang w:val="en-GB" w:eastAsia="en-GB"/>
              </w:rPr>
            </w:pPr>
            <w:r w:rsidRPr="003B6F2D">
              <w:rPr>
                <w:b/>
                <w:bCs/>
              </w:rPr>
              <w:t>P</w:t>
            </w:r>
            <w:r w:rsidR="00A9009D">
              <w:rPr>
                <w:b/>
                <w:bCs/>
              </w:rPr>
              <w:t>s</w:t>
            </w:r>
            <w:r w:rsidRPr="003B6F2D">
              <w:rPr>
                <w:b/>
                <w:bCs/>
              </w:rPr>
              <w:t>ychogeriatric care</w:t>
            </w:r>
            <w:r>
              <w:t xml:space="preserve"> — </w:t>
            </w:r>
            <w:r w:rsidRPr="006021A0">
              <w:rPr>
                <w:lang w:val="en-GB" w:eastAsia="en-GB"/>
              </w:rPr>
              <w:t xml:space="preserve">care </w:t>
            </w:r>
            <w:r>
              <w:rPr>
                <w:lang w:val="en-GB" w:eastAsia="en-GB"/>
              </w:rPr>
              <w:t>to</w:t>
            </w:r>
            <w:r w:rsidRPr="006021A0">
              <w:rPr>
                <w:lang w:val="en-GB" w:eastAsia="en-GB"/>
              </w:rPr>
              <w:t xml:space="preserve"> improve</w:t>
            </w:r>
            <w:r>
              <w:rPr>
                <w:lang w:val="en-GB" w:eastAsia="en-GB"/>
              </w:rPr>
              <w:t xml:space="preserve"> </w:t>
            </w:r>
            <w:r w:rsidRPr="006021A0">
              <w:rPr>
                <w:lang w:val="en-GB" w:eastAsia="en-GB"/>
              </w:rPr>
              <w:t>the functional status, behaviour and/or quality of life for an older patient with significant psychiatric or behavioural disturbance. The disturbance is caused by mental illness, age related organic brain impairment or a physical condition.</w:t>
            </w:r>
          </w:p>
          <w:p w:rsidR="007C6A5F" w:rsidRPr="006021A0" w:rsidRDefault="007C6A5F" w:rsidP="005A6F87">
            <w:pPr>
              <w:pStyle w:val="ListBullet"/>
              <w:numPr>
                <w:ilvl w:val="0"/>
                <w:numId w:val="17"/>
              </w:numPr>
            </w:pPr>
            <w:r w:rsidRPr="003B6F2D">
              <w:rPr>
                <w:b/>
                <w:bCs/>
              </w:rPr>
              <w:t>Non</w:t>
            </w:r>
            <w:r w:rsidRPr="003B6F2D">
              <w:rPr>
                <w:b/>
                <w:bCs/>
              </w:rPr>
              <w:noBreakHyphen/>
              <w:t>acute care (also referred to as maintenance care)</w:t>
            </w:r>
            <w:r>
              <w:t xml:space="preserve"> —</w:t>
            </w:r>
            <w:r w:rsidRPr="006021A0">
              <w:t xml:space="preserve"> </w:t>
            </w:r>
            <w:r>
              <w:t>hospital</w:t>
            </w:r>
            <w:r>
              <w:noBreakHyphen/>
              <w:t xml:space="preserve">based </w:t>
            </w:r>
            <w:r w:rsidRPr="006021A0">
              <w:t xml:space="preserve">care </w:t>
            </w:r>
            <w:r>
              <w:t>to</w:t>
            </w:r>
            <w:r w:rsidRPr="006021A0">
              <w:t xml:space="preserve"> support patient</w:t>
            </w:r>
            <w:r>
              <w:t>s</w:t>
            </w:r>
            <w:r w:rsidRPr="006021A0">
              <w:t xml:space="preserve"> with </w:t>
            </w:r>
            <w:r>
              <w:t xml:space="preserve">an </w:t>
            </w:r>
            <w:r w:rsidRPr="006021A0">
              <w:t>impairment, activity limitation or participation restriction due to a health condition.</w:t>
            </w:r>
          </w:p>
          <w:p w:rsidR="007C6A5F" w:rsidRPr="00BF2F67" w:rsidRDefault="007C6A5F" w:rsidP="000F1718">
            <w:pPr>
              <w:pStyle w:val="ListBullet"/>
              <w:numPr>
                <w:ilvl w:val="0"/>
                <w:numId w:val="17"/>
              </w:numPr>
              <w:spacing w:after="120"/>
            </w:pPr>
            <w:r w:rsidRPr="003B6F2D">
              <w:rPr>
                <w:b/>
                <w:bCs/>
              </w:rPr>
              <w:t>Transition care</w:t>
            </w:r>
            <w:r>
              <w:t xml:space="preserve"> — </w:t>
            </w:r>
            <w:r w:rsidRPr="006021A0">
              <w:rPr>
                <w:lang w:val="en-GB" w:eastAsia="en-GB"/>
              </w:rPr>
              <w:t xml:space="preserve">care </w:t>
            </w:r>
            <w:r>
              <w:rPr>
                <w:lang w:val="en-GB" w:eastAsia="en-GB"/>
              </w:rPr>
              <w:t xml:space="preserve">to </w:t>
            </w:r>
            <w:r w:rsidRPr="006021A0">
              <w:rPr>
                <w:lang w:val="en-GB" w:eastAsia="en-GB"/>
              </w:rPr>
              <w:t xml:space="preserve">help </w:t>
            </w:r>
            <w:r>
              <w:rPr>
                <w:lang w:val="en-GB" w:eastAsia="en-GB"/>
              </w:rPr>
              <w:t>patients</w:t>
            </w:r>
            <w:r w:rsidRPr="006021A0">
              <w:rPr>
                <w:lang w:val="en-GB" w:eastAsia="en-GB"/>
              </w:rPr>
              <w:t xml:space="preserve"> recover after a hospital stay. It provides short-term specialised care and support to help </w:t>
            </w:r>
            <w:r>
              <w:rPr>
                <w:lang w:val="en-GB" w:eastAsia="en-GB"/>
              </w:rPr>
              <w:t xml:space="preserve">the patient </w:t>
            </w:r>
            <w:r w:rsidRPr="006021A0">
              <w:rPr>
                <w:lang w:val="en-GB" w:eastAsia="en-GB"/>
              </w:rPr>
              <w:t>regain functional independence and confidence sooner, and avoid the need for longer term care and support services.</w:t>
            </w:r>
            <w:r>
              <w:rPr>
                <w:lang w:val="en-GB" w:eastAsia="en-GB"/>
              </w:rPr>
              <w:t xml:space="preserve"> C</w:t>
            </w:r>
            <w:r w:rsidRPr="006021A0">
              <w:rPr>
                <w:lang w:val="en-GB" w:eastAsia="en-GB"/>
              </w:rPr>
              <w:t xml:space="preserve">are is tailored to </w:t>
            </w:r>
            <w:r>
              <w:rPr>
                <w:lang w:val="en-GB" w:eastAsia="en-GB"/>
              </w:rPr>
              <w:t>the patient’s specific</w:t>
            </w:r>
            <w:r w:rsidRPr="006021A0">
              <w:rPr>
                <w:lang w:val="en-GB" w:eastAsia="en-GB"/>
              </w:rPr>
              <w:t xml:space="preserve"> needs and goals, and </w:t>
            </w:r>
            <w:r>
              <w:rPr>
                <w:lang w:val="en-GB" w:eastAsia="en-GB"/>
              </w:rPr>
              <w:t>can be delivered</w:t>
            </w:r>
            <w:r w:rsidRPr="006021A0">
              <w:rPr>
                <w:lang w:val="en-GB" w:eastAsia="en-GB"/>
              </w:rPr>
              <w:t xml:space="preserve"> in an aged care home, </w:t>
            </w:r>
            <w:r>
              <w:rPr>
                <w:lang w:val="en-GB" w:eastAsia="en-GB"/>
              </w:rPr>
              <w:t>the patient’s</w:t>
            </w:r>
            <w:r w:rsidRPr="006021A0">
              <w:rPr>
                <w:lang w:val="en-GB" w:eastAsia="en-GB"/>
              </w:rPr>
              <w:t xml:space="preserve"> own home, out in the community, or a mix of these locations, as </w:t>
            </w:r>
            <w:r>
              <w:rPr>
                <w:lang w:val="en-GB" w:eastAsia="en-GB"/>
              </w:rPr>
              <w:t>the</w:t>
            </w:r>
            <w:r w:rsidRPr="006021A0">
              <w:rPr>
                <w:lang w:val="en-GB" w:eastAsia="en-GB"/>
              </w:rPr>
              <w:t xml:space="preserve"> needs change with your recovery.</w:t>
            </w:r>
            <w:r>
              <w:rPr>
                <w:rStyle w:val="FootnoteReference"/>
                <w:lang w:val="en-GB" w:eastAsia="en-GB"/>
              </w:rPr>
              <w:footnoteReference w:id="94"/>
            </w:r>
          </w:p>
        </w:tc>
      </w:tr>
    </w:tbl>
    <w:p w:rsidR="007C6A5F" w:rsidRDefault="007C6A5F" w:rsidP="007C6A5F">
      <w:pPr>
        <w:pStyle w:val="Heading7"/>
        <w:numPr>
          <w:ilvl w:val="6"/>
          <w:numId w:val="5"/>
        </w:numPr>
        <w:rPr>
          <w:lang w:bidi="fa-IR"/>
        </w:rPr>
      </w:pPr>
      <w:r>
        <w:rPr>
          <w:lang w:bidi="fa-IR"/>
        </w:rPr>
        <w:t>Estimating the size of the problem</w:t>
      </w:r>
    </w:p>
    <w:p w:rsidR="007C6A5F" w:rsidRDefault="007C6A5F" w:rsidP="007C6A5F">
      <w:pPr>
        <w:pStyle w:val="BodyText"/>
        <w:rPr>
          <w:lang w:bidi="fa-IR"/>
        </w:rPr>
      </w:pPr>
      <w:r>
        <w:rPr>
          <w:lang w:bidi="fa-IR"/>
        </w:rPr>
        <w:t>To estimate the size of the problem, we use the following approach.</w:t>
      </w:r>
    </w:p>
    <w:p w:rsidR="007C6A5F" w:rsidRDefault="007C6A5F" w:rsidP="005A6F87">
      <w:pPr>
        <w:pStyle w:val="ListBullet"/>
        <w:numPr>
          <w:ilvl w:val="0"/>
          <w:numId w:val="17"/>
        </w:numPr>
        <w:rPr>
          <w:lang w:bidi="fa-IR"/>
        </w:rPr>
      </w:pPr>
      <w:r>
        <w:rPr>
          <w:lang w:bidi="fa-IR"/>
        </w:rPr>
        <w:t>Estimate the total cost of the relevant types of care. This includes:</w:t>
      </w:r>
    </w:p>
    <w:p w:rsidR="007C6A5F" w:rsidRDefault="007C6A5F" w:rsidP="005A6F87">
      <w:pPr>
        <w:pStyle w:val="ListBullet2"/>
        <w:numPr>
          <w:ilvl w:val="1"/>
          <w:numId w:val="17"/>
        </w:numPr>
        <w:ind w:left="568" w:hanging="284"/>
        <w:rPr>
          <w:lang w:bidi="fa-IR"/>
        </w:rPr>
      </w:pPr>
      <w:r>
        <w:rPr>
          <w:lang w:bidi="fa-IR"/>
        </w:rPr>
        <w:t>Sub</w:t>
      </w:r>
      <w:r>
        <w:rPr>
          <w:lang w:bidi="fa-IR"/>
        </w:rPr>
        <w:noBreakHyphen/>
        <w:t>acute care (excluding palliative care)</w:t>
      </w:r>
    </w:p>
    <w:p w:rsidR="007C6A5F" w:rsidRDefault="007C6A5F" w:rsidP="005A6F87">
      <w:pPr>
        <w:pStyle w:val="ListBullet2"/>
        <w:numPr>
          <w:ilvl w:val="1"/>
          <w:numId w:val="17"/>
        </w:numPr>
        <w:ind w:left="568" w:hanging="284"/>
        <w:rPr>
          <w:lang w:bidi="fa-IR"/>
        </w:rPr>
      </w:pPr>
      <w:r>
        <w:rPr>
          <w:lang w:bidi="fa-IR"/>
        </w:rPr>
        <w:t>Non</w:t>
      </w:r>
      <w:r>
        <w:rPr>
          <w:lang w:bidi="fa-IR"/>
        </w:rPr>
        <w:noBreakHyphen/>
        <w:t>acute hospital care</w:t>
      </w:r>
    </w:p>
    <w:p w:rsidR="007C6A5F" w:rsidRDefault="007C6A5F" w:rsidP="005A6F87">
      <w:pPr>
        <w:pStyle w:val="ListBullet2"/>
        <w:numPr>
          <w:ilvl w:val="1"/>
          <w:numId w:val="17"/>
        </w:numPr>
        <w:ind w:left="568" w:hanging="284"/>
        <w:rPr>
          <w:lang w:bidi="fa-IR"/>
        </w:rPr>
      </w:pPr>
      <w:r>
        <w:rPr>
          <w:lang w:bidi="fa-IR"/>
        </w:rPr>
        <w:lastRenderedPageBreak/>
        <w:t>Transition care.</w:t>
      </w:r>
    </w:p>
    <w:p w:rsidR="007C6A5F" w:rsidRDefault="007C6A5F" w:rsidP="005A6F87">
      <w:pPr>
        <w:pStyle w:val="ListBullet"/>
        <w:numPr>
          <w:ilvl w:val="0"/>
          <w:numId w:val="17"/>
        </w:numPr>
        <w:rPr>
          <w:lang w:bidi="fa-IR"/>
        </w:rPr>
      </w:pPr>
      <w:r>
        <w:rPr>
          <w:lang w:bidi="fa-IR"/>
        </w:rPr>
        <w:t>We then assume the following proportion of these costs can be attributed to the problem of a lack of accessible housing.</w:t>
      </w:r>
    </w:p>
    <w:p w:rsidR="007C6A5F" w:rsidRDefault="007C6A5F" w:rsidP="005A6F87">
      <w:pPr>
        <w:pStyle w:val="ListBullet2"/>
        <w:numPr>
          <w:ilvl w:val="1"/>
          <w:numId w:val="17"/>
        </w:numPr>
        <w:ind w:left="568" w:hanging="284"/>
        <w:rPr>
          <w:lang w:bidi="fa-IR"/>
        </w:rPr>
      </w:pPr>
      <w:r>
        <w:rPr>
          <w:lang w:bidi="fa-IR"/>
        </w:rPr>
        <w:t>6.7 per cent of sub</w:t>
      </w:r>
      <w:r>
        <w:rPr>
          <w:lang w:bidi="fa-IR"/>
        </w:rPr>
        <w:noBreakHyphen/>
        <w:t>acute care based on the findings of New et. al. 2013 (although this study only related to rehabilitation care)</w:t>
      </w:r>
    </w:p>
    <w:p w:rsidR="007C6A5F" w:rsidRDefault="007C6A5F" w:rsidP="005A6F87">
      <w:pPr>
        <w:pStyle w:val="ListBullet2"/>
        <w:numPr>
          <w:ilvl w:val="1"/>
          <w:numId w:val="17"/>
        </w:numPr>
        <w:ind w:left="568" w:hanging="284"/>
        <w:rPr>
          <w:lang w:bidi="fa-IR"/>
        </w:rPr>
      </w:pPr>
      <w:r>
        <w:rPr>
          <w:lang w:bidi="fa-IR"/>
        </w:rPr>
        <w:t>1.8 per cent of maintenance care based on the findings of Salonga</w:t>
      </w:r>
      <w:r>
        <w:rPr>
          <w:lang w:bidi="fa-IR"/>
        </w:rPr>
        <w:noBreakHyphen/>
        <w:t>Reyes and Scott (2017)</w:t>
      </w:r>
    </w:p>
    <w:p w:rsidR="007C6A5F" w:rsidRDefault="007C6A5F" w:rsidP="005A6F87">
      <w:pPr>
        <w:pStyle w:val="ListBullet2"/>
        <w:numPr>
          <w:ilvl w:val="1"/>
          <w:numId w:val="17"/>
        </w:numPr>
        <w:ind w:left="568" w:hanging="284"/>
        <w:rPr>
          <w:lang w:bidi="fa-IR"/>
        </w:rPr>
      </w:pPr>
      <w:r>
        <w:rPr>
          <w:lang w:bidi="fa-IR"/>
        </w:rPr>
        <w:t>As there are no studies on the extent to which lack of accessible housing increases the need for transition care, we apply the estimate relating to maintenance care.</w:t>
      </w:r>
    </w:p>
    <w:p w:rsidR="007C6A5F" w:rsidRDefault="007C6A5F" w:rsidP="007C6A5F">
      <w:pPr>
        <w:pStyle w:val="BodyText"/>
        <w:rPr>
          <w:lang w:bidi="fa-IR"/>
        </w:rPr>
      </w:pPr>
    </w:p>
    <w:p w:rsidR="007C6A5F" w:rsidRDefault="007C6A5F" w:rsidP="007C6A5F">
      <w:pPr>
        <w:pStyle w:val="Heading6"/>
        <w:numPr>
          <w:ilvl w:val="5"/>
          <w:numId w:val="5"/>
        </w:numPr>
      </w:pPr>
      <w:bookmarkStart w:id="7089" w:name="_Toc32321779"/>
      <w:bookmarkStart w:id="7090" w:name="_Toc44598468"/>
      <w:bookmarkStart w:id="7091" w:name="_Toc45654099"/>
      <w:r>
        <w:lastRenderedPageBreak/>
        <w:t>Approach to estimating the costs associated with loneliness</w:t>
      </w:r>
      <w:bookmarkEnd w:id="7089"/>
      <w:bookmarkEnd w:id="7090"/>
      <w:bookmarkEnd w:id="7091"/>
    </w:p>
    <w:p w:rsidR="007C6A5F" w:rsidRDefault="007C6A5F" w:rsidP="007C6A5F">
      <w:pPr>
        <w:pStyle w:val="Heading7"/>
        <w:numPr>
          <w:ilvl w:val="6"/>
          <w:numId w:val="5"/>
        </w:numPr>
      </w:pPr>
      <w:r>
        <w:t>Estimated incidence of loneliness due to inaccessible housing</w:t>
      </w:r>
    </w:p>
    <w:p w:rsidR="007C6A5F" w:rsidRDefault="007C6A5F" w:rsidP="007C6A5F">
      <w:pPr>
        <w:pStyle w:val="BodyText"/>
      </w:pPr>
      <w:r>
        <w:t>A lack of accessible housing could contribute to loneliness in people with a mobility limitation through either:</w:t>
      </w:r>
    </w:p>
    <w:p w:rsidR="007C6A5F" w:rsidRDefault="007C6A5F" w:rsidP="005A6F87">
      <w:pPr>
        <w:pStyle w:val="ListBullet"/>
        <w:numPr>
          <w:ilvl w:val="0"/>
          <w:numId w:val="17"/>
        </w:numPr>
      </w:pPr>
      <w:r>
        <w:t>their own dwelling restricting their ability to leave and re</w:t>
      </w:r>
      <w:r>
        <w:noBreakHyphen/>
        <w:t>enter the dwelling</w:t>
      </w:r>
    </w:p>
    <w:p w:rsidR="007C6A5F" w:rsidRPr="005A1CAF" w:rsidRDefault="007C6A5F" w:rsidP="005A6F87">
      <w:pPr>
        <w:pStyle w:val="ListBullet"/>
        <w:numPr>
          <w:ilvl w:val="0"/>
          <w:numId w:val="17"/>
        </w:numPr>
      </w:pPr>
      <w:r>
        <w:t>their friend’s and families dwellings lacking accessibility features that would enable them to visit.</w:t>
      </w:r>
    </w:p>
    <w:p w:rsidR="007C6A5F" w:rsidRDefault="007C6A5F" w:rsidP="007C6A5F">
      <w:pPr>
        <w:pStyle w:val="Heading8"/>
        <w:numPr>
          <w:ilvl w:val="7"/>
          <w:numId w:val="5"/>
        </w:numPr>
        <w:rPr>
          <w:lang w:bidi="fa-IR"/>
        </w:rPr>
      </w:pPr>
      <w:r>
        <w:rPr>
          <w:lang w:bidi="fa-IR"/>
        </w:rPr>
        <w:t>Accessibility of own residence</w:t>
      </w:r>
    </w:p>
    <w:p w:rsidR="007C6A5F" w:rsidRDefault="007C6A5F" w:rsidP="007C6A5F">
      <w:pPr>
        <w:pStyle w:val="BodyText"/>
        <w:rPr>
          <w:lang w:bidi="fa-IR"/>
        </w:rPr>
      </w:pPr>
      <w:r>
        <w:rPr>
          <w:lang w:bidi="fa-IR"/>
        </w:rPr>
        <w:t>One way a lack of accessible housing could contribute to social isolation and loneliness for people with mobility limitations is where they are unable to easily enter or leave their own home. The SDAC does not explicitly ask respondents about the ease with which they can enter or leave their residence. However, an indicator relevant to the ease of entering and/or leaving a dwelling is whether the individual leaves home as often as they would like. Although an imperfect indicator, it is reasonable to infer that if a person leaves home as often as they would like, the accessibility of the residence is not a major restriction on their lifestyle.</w:t>
      </w:r>
    </w:p>
    <w:p w:rsidR="007C6A5F" w:rsidRDefault="007C6A5F" w:rsidP="005A6F87">
      <w:pPr>
        <w:pStyle w:val="ListBullet"/>
        <w:numPr>
          <w:ilvl w:val="0"/>
          <w:numId w:val="17"/>
        </w:numPr>
        <w:rPr>
          <w:lang w:bidi="fa-IR"/>
        </w:rPr>
      </w:pPr>
      <w:r>
        <w:rPr>
          <w:lang w:bidi="fa-IR"/>
        </w:rPr>
        <w:t>SDAC data suggests that in 2018, nearly 2 million people were leaving the residence as often as they would like, around two</w:t>
      </w:r>
      <w:r>
        <w:rPr>
          <w:lang w:bidi="fa-IR"/>
        </w:rPr>
        <w:noBreakHyphen/>
        <w:t>thirds of the population with a mobility impairment (table </w:t>
      </w:r>
      <w:r>
        <w:rPr>
          <w:lang w:bidi="fa-IR"/>
        </w:rPr>
        <w:fldChar w:fldCharType="begin"/>
      </w:r>
      <w:r>
        <w:rPr>
          <w:lang w:bidi="fa-IR"/>
        </w:rPr>
        <w:instrText xml:space="preserve"> REF _Caption4003 </w:instrText>
      </w:r>
      <w:r>
        <w:rPr>
          <w:lang w:bidi="fa-IR"/>
        </w:rPr>
        <w:fldChar w:fldCharType="separate"/>
      </w:r>
      <w:r>
        <w:rPr>
          <w:noProof/>
        </w:rPr>
        <w:t>F</w:t>
      </w:r>
      <w:r w:rsidRPr="00695C93">
        <w:rPr>
          <w:noProof/>
        </w:rPr>
        <w:t>.</w:t>
      </w:r>
      <w:r>
        <w:rPr>
          <w:noProof/>
        </w:rPr>
        <w:t>1</w:t>
      </w:r>
      <w:r>
        <w:rPr>
          <w:lang w:bidi="fa-IR"/>
        </w:rPr>
        <w:fldChar w:fldCharType="end"/>
      </w:r>
      <w:r>
        <w:rPr>
          <w:lang w:bidi="fa-IR"/>
        </w:rPr>
        <w:t>).</w:t>
      </w:r>
      <w:r>
        <w:rPr>
          <w:rStyle w:val="FootnoteReference"/>
          <w:lang w:bidi="fa-IR"/>
        </w:rPr>
        <w:footnoteReference w:id="95"/>
      </w:r>
    </w:p>
    <w:p w:rsidR="007C6A5F" w:rsidRDefault="007C6A5F" w:rsidP="005A6F87">
      <w:pPr>
        <w:pStyle w:val="ListBullet"/>
        <w:numPr>
          <w:ilvl w:val="0"/>
          <w:numId w:val="17"/>
        </w:numPr>
        <w:rPr>
          <w:lang w:bidi="fa-IR"/>
        </w:rPr>
      </w:pPr>
      <w:r>
        <w:rPr>
          <w:lang w:bidi="fa-IR"/>
        </w:rPr>
        <w:t>Around 962 200 do not leave their residence as often as they would like or not at all.</w:t>
      </w:r>
    </w:p>
    <w:p w:rsidR="007C6A5F" w:rsidRDefault="007C6A5F" w:rsidP="007C6A5F">
      <w:pPr>
        <w:pStyle w:val="Caption"/>
      </w:pPr>
      <w:r w:rsidRPr="00063389">
        <w:fldChar w:fldCharType="begin"/>
      </w:r>
      <w:r w:rsidRPr="00063389">
        <w:instrText xml:space="preserve"> IF 1 = 1 "</w:instrText>
      </w:r>
      <w:r w:rsidRPr="00063389">
        <w:fldChar w:fldCharType="begin"/>
      </w:r>
      <w:r w:rsidRPr="00063389">
        <w:instrText xml:space="preserve"> IF </w:instrText>
      </w:r>
      <w:r w:rsidRPr="00063389">
        <w:rPr>
          <w:noProof/>
        </w:rPr>
        <w:fldChar w:fldCharType="begin"/>
      </w:r>
      <w:r w:rsidRPr="00063389">
        <w:rPr>
          <w:noProof/>
        </w:rPr>
        <w:instrText xml:space="preserve"> STYLEREF "Heading 6" \l \n </w:instrText>
      </w:r>
      <w:r w:rsidRPr="00063389">
        <w:rPr>
          <w:noProof/>
        </w:rPr>
        <w:fldChar w:fldCharType="separate"/>
      </w:r>
      <w:r w:rsidRPr="00063389">
        <w:rPr>
          <w:noProof/>
        </w:rPr>
        <w:instrText>F</w:instrText>
      </w:r>
      <w:r w:rsidRPr="00063389">
        <w:rPr>
          <w:noProof/>
        </w:rPr>
        <w:fldChar w:fldCharType="end"/>
      </w:r>
      <w:r w:rsidRPr="00063389">
        <w:instrText xml:space="preserve"> = 0 "</w:instrText>
      </w:r>
      <w:r w:rsidRPr="00063389">
        <w:fldChar w:fldCharType="begin"/>
      </w:r>
      <w:r w:rsidRPr="00063389">
        <w:instrText xml:space="preserve"> IF </w:instrText>
      </w:r>
      <w:r w:rsidRPr="00063389">
        <w:rPr>
          <w:noProof/>
        </w:rPr>
        <w:fldChar w:fldCharType="begin"/>
      </w:r>
      <w:r w:rsidRPr="00063389">
        <w:rPr>
          <w:noProof/>
        </w:rPr>
        <w:instrText xml:space="preserve"> STYLEREF "Heading 1" \l \n </w:instrText>
      </w:r>
      <w:r w:rsidRPr="00063389">
        <w:rPr>
          <w:noProof/>
        </w:rPr>
        <w:fldChar w:fldCharType="separate"/>
      </w:r>
      <w:r w:rsidRPr="00063389">
        <w:rPr>
          <w:noProof/>
        </w:rPr>
        <w:instrText>2</w:instrText>
      </w:r>
      <w:r w:rsidRPr="00063389">
        <w:rPr>
          <w:noProof/>
        </w:rPr>
        <w:fldChar w:fldCharType="end"/>
      </w:r>
      <w:r w:rsidRPr="00063389">
        <w:instrText xml:space="preserve"> = 0 "" "</w:instrText>
      </w:r>
      <w:r w:rsidRPr="00063389">
        <w:rPr>
          <w:noProof/>
        </w:rPr>
        <w:fldChar w:fldCharType="begin"/>
      </w:r>
      <w:r w:rsidRPr="00063389">
        <w:rPr>
          <w:noProof/>
        </w:rPr>
        <w:instrText xml:space="preserve"> STYLEREF "Heading 1" \l \n </w:instrText>
      </w:r>
      <w:r w:rsidRPr="00063389">
        <w:rPr>
          <w:noProof/>
        </w:rPr>
        <w:fldChar w:fldCharType="separate"/>
      </w:r>
      <w:r w:rsidRPr="00063389">
        <w:rPr>
          <w:noProof/>
        </w:rPr>
        <w:instrText>2</w:instrText>
      </w:r>
      <w:r w:rsidRPr="00063389">
        <w:rPr>
          <w:noProof/>
        </w:rPr>
        <w:fldChar w:fldCharType="end"/>
      </w:r>
      <w:r w:rsidRPr="00063389">
        <w:instrText xml:space="preserve">." </w:instrText>
      </w:r>
      <w:r w:rsidRPr="00063389">
        <w:fldChar w:fldCharType="separate"/>
      </w:r>
      <w:r w:rsidRPr="00063389">
        <w:rPr>
          <w:noProof/>
        </w:rPr>
        <w:instrText>2.</w:instrText>
      </w:r>
      <w:r w:rsidRPr="00063389">
        <w:fldChar w:fldCharType="end"/>
      </w:r>
      <w:r w:rsidRPr="00063389">
        <w:instrText>" "</w:instrText>
      </w:r>
      <w:r w:rsidRPr="00063389">
        <w:rPr>
          <w:noProof/>
        </w:rPr>
        <w:fldChar w:fldCharType="begin"/>
      </w:r>
      <w:r w:rsidRPr="00063389">
        <w:rPr>
          <w:noProof/>
        </w:rPr>
        <w:instrText xml:space="preserve"> STYLEREF "Heading 6" \l \n </w:instrText>
      </w:r>
      <w:r w:rsidRPr="00063389">
        <w:rPr>
          <w:noProof/>
        </w:rPr>
        <w:fldChar w:fldCharType="separate"/>
      </w:r>
      <w:r w:rsidRPr="00063389">
        <w:rPr>
          <w:noProof/>
        </w:rPr>
        <w:instrText>F</w:instrText>
      </w:r>
      <w:r w:rsidRPr="00063389">
        <w:rPr>
          <w:noProof/>
        </w:rPr>
        <w:fldChar w:fldCharType="end"/>
      </w:r>
      <w:r w:rsidRPr="00063389">
        <w:instrText xml:space="preserve">." </w:instrText>
      </w:r>
      <w:r w:rsidRPr="00063389">
        <w:fldChar w:fldCharType="separate"/>
      </w:r>
      <w:r w:rsidRPr="00063389">
        <w:rPr>
          <w:noProof/>
        </w:rPr>
        <w:instrText>F.</w:instrText>
      </w:r>
      <w:r w:rsidRPr="00063389">
        <w:fldChar w:fldCharType="end"/>
      </w:r>
      <w:r w:rsidRPr="00063389">
        <w:fldChar w:fldCharType="begin"/>
      </w:r>
      <w:r w:rsidRPr="00063389">
        <w:instrText xml:space="preserve"> SEQ Item \* ARABIC \s </w:instrText>
      </w:r>
      <w:r w:rsidRPr="00063389">
        <w:fldChar w:fldCharType="begin"/>
      </w:r>
      <w:r w:rsidRPr="00063389">
        <w:instrText xml:space="preserve"> IF </w:instrText>
      </w:r>
      <w:r w:rsidRPr="00063389">
        <w:rPr>
          <w:noProof/>
        </w:rPr>
        <w:fldChar w:fldCharType="begin"/>
      </w:r>
      <w:r w:rsidRPr="00063389">
        <w:rPr>
          <w:noProof/>
        </w:rPr>
        <w:instrText xml:space="preserve"> STYLEREF "Heading 6" \l \n </w:instrText>
      </w:r>
      <w:r w:rsidRPr="00063389">
        <w:rPr>
          <w:noProof/>
        </w:rPr>
        <w:fldChar w:fldCharType="separate"/>
      </w:r>
      <w:r w:rsidRPr="00063389">
        <w:rPr>
          <w:noProof/>
        </w:rPr>
        <w:instrText>F</w:instrText>
      </w:r>
      <w:r w:rsidRPr="00063389">
        <w:rPr>
          <w:noProof/>
        </w:rPr>
        <w:fldChar w:fldCharType="end"/>
      </w:r>
      <w:r w:rsidRPr="00063389">
        <w:instrText xml:space="preserve"> = 0 "</w:instrText>
      </w:r>
      <w:r w:rsidRPr="00063389">
        <w:fldChar w:fldCharType="begin"/>
      </w:r>
      <w:r w:rsidRPr="00063389">
        <w:instrText xml:space="preserve"> IF </w:instrText>
      </w:r>
      <w:r w:rsidRPr="00063389">
        <w:rPr>
          <w:noProof/>
        </w:rPr>
        <w:fldChar w:fldCharType="begin"/>
      </w:r>
      <w:r w:rsidRPr="00063389">
        <w:rPr>
          <w:noProof/>
        </w:rPr>
        <w:instrText xml:space="preserve"> STYLEREF "Heading 1" \l \n </w:instrText>
      </w:r>
      <w:r w:rsidRPr="00063389">
        <w:rPr>
          <w:noProof/>
        </w:rPr>
        <w:fldChar w:fldCharType="separate"/>
      </w:r>
      <w:r w:rsidRPr="00063389">
        <w:rPr>
          <w:noProof/>
        </w:rPr>
        <w:instrText>2</w:instrText>
      </w:r>
      <w:r w:rsidRPr="00063389">
        <w:rPr>
          <w:noProof/>
        </w:rPr>
        <w:fldChar w:fldCharType="end"/>
      </w:r>
      <w:r w:rsidRPr="00063389">
        <w:instrText xml:space="preserve"> = 0 "" "1" </w:instrText>
      </w:r>
      <w:r w:rsidRPr="00063389">
        <w:fldChar w:fldCharType="separate"/>
      </w:r>
      <w:r w:rsidRPr="00063389">
        <w:rPr>
          <w:noProof/>
        </w:rPr>
        <w:instrText>1</w:instrText>
      </w:r>
      <w:r w:rsidRPr="00063389">
        <w:fldChar w:fldCharType="end"/>
      </w:r>
      <w:r w:rsidRPr="00063389">
        <w:instrText xml:space="preserve">" "6" </w:instrText>
      </w:r>
      <w:r w:rsidRPr="00063389">
        <w:fldChar w:fldCharType="separate"/>
      </w:r>
      <w:r w:rsidRPr="00063389">
        <w:rPr>
          <w:noProof/>
        </w:rPr>
        <w:instrText>6</w:instrText>
      </w:r>
      <w:r w:rsidRPr="00063389">
        <w:fldChar w:fldCharType="end"/>
      </w:r>
      <w:r w:rsidRPr="00063389">
        <w:instrText xml:space="preserve"> </w:instrText>
      </w:r>
      <w:r w:rsidRPr="00063389">
        <w:fldChar w:fldCharType="separate"/>
      </w:r>
      <w:r w:rsidRPr="00063389">
        <w:rPr>
          <w:noProof/>
        </w:rPr>
        <w:instrText>1</w:instrText>
      </w:r>
      <w:r w:rsidRPr="00063389">
        <w:fldChar w:fldCharType="end"/>
      </w:r>
      <w:r w:rsidRPr="00063389">
        <w:instrText xml:space="preserve">" "" </w:instrText>
      </w:r>
      <w:r w:rsidRPr="00063389">
        <w:fldChar w:fldCharType="separate"/>
      </w:r>
      <w:bookmarkStart w:id="7092" w:name="_Caption3690"/>
      <w:bookmarkStart w:id="7093" w:name="_Caption4524"/>
      <w:bookmarkStart w:id="7094" w:name="_Caption6435"/>
      <w:bookmarkStart w:id="7095" w:name="_Caption7274"/>
      <w:bookmarkStart w:id="7096" w:name="_Caption5007"/>
      <w:bookmarkStart w:id="7097" w:name="_Caption8953"/>
      <w:bookmarkStart w:id="7098" w:name="_Caption0318"/>
      <w:bookmarkStart w:id="7099" w:name="_Caption9997"/>
      <w:bookmarkStart w:id="7100" w:name="_Caption6764"/>
      <w:bookmarkStart w:id="7101" w:name="_Caption3076"/>
      <w:bookmarkStart w:id="7102" w:name="_Caption0566"/>
      <w:bookmarkStart w:id="7103" w:name="_Caption2268"/>
      <w:bookmarkStart w:id="7104" w:name="_Caption8611"/>
      <w:bookmarkStart w:id="7105" w:name="_Caption8963"/>
      <w:bookmarkStart w:id="7106" w:name="_Caption3460"/>
      <w:bookmarkStart w:id="7107" w:name="_Caption0007"/>
      <w:bookmarkStart w:id="7108" w:name="_Caption3340"/>
      <w:bookmarkStart w:id="7109" w:name="_Caption7006"/>
      <w:bookmarkStart w:id="7110" w:name="_Caption4890"/>
      <w:bookmarkStart w:id="7111" w:name="_Caption8583"/>
      <w:bookmarkStart w:id="7112" w:name="_Caption8198"/>
      <w:bookmarkStart w:id="7113" w:name="_Caption1660"/>
      <w:bookmarkStart w:id="7114" w:name="_Caption7559"/>
      <w:bookmarkStart w:id="7115" w:name="_Caption8909"/>
      <w:bookmarkStart w:id="7116" w:name="_Caption6206"/>
      <w:bookmarkStart w:id="7117" w:name="_Caption8884"/>
      <w:bookmarkStart w:id="7118" w:name="_Caption8908"/>
      <w:bookmarkStart w:id="7119" w:name="_Caption2642"/>
      <w:bookmarkStart w:id="7120" w:name="_Caption3214"/>
      <w:bookmarkStart w:id="7121" w:name="_Caption2456"/>
      <w:bookmarkStart w:id="7122" w:name="_Caption8797"/>
      <w:bookmarkStart w:id="7123" w:name="_Caption1594"/>
      <w:bookmarkStart w:id="7124" w:name="_Caption9077"/>
      <w:bookmarkStart w:id="7125" w:name="_Caption2348"/>
      <w:bookmarkStart w:id="7126" w:name="_Caption4670"/>
      <w:bookmarkStart w:id="7127" w:name="_Caption0680"/>
      <w:bookmarkStart w:id="7128" w:name="_Caption1384"/>
      <w:bookmarkStart w:id="7129" w:name="_Caption0102"/>
      <w:bookmarkStart w:id="7130" w:name="_Caption3565"/>
      <w:bookmarkStart w:id="7131" w:name="_Caption7282"/>
      <w:bookmarkStart w:id="7132" w:name="_Caption3554"/>
      <w:bookmarkStart w:id="7133" w:name="_Caption4003"/>
      <w:bookmarkStart w:id="7134" w:name="_Caption8965"/>
      <w:bookmarkStart w:id="7135" w:name="_Caption3200"/>
      <w:bookmarkStart w:id="7136" w:name="_Caption4560"/>
      <w:bookmarkStart w:id="7137" w:name="_Caption8556"/>
      <w:bookmarkStart w:id="7138" w:name="_Caption0424"/>
      <w:bookmarkStart w:id="7139" w:name="_Caption1472"/>
      <w:bookmarkStart w:id="7140" w:name="_Caption6704"/>
      <w:bookmarkStart w:id="7141" w:name="_Caption9021"/>
      <w:bookmarkStart w:id="7142" w:name="_Caption1176"/>
      <w:bookmarkStart w:id="7143" w:name="_Caption7907"/>
      <w:bookmarkStart w:id="7144" w:name="_Caption6042"/>
      <w:bookmarkStart w:id="7145" w:name="_Caption8530"/>
      <w:bookmarkStart w:id="7146" w:name="_Caption5405"/>
      <w:bookmarkStart w:id="7147" w:name="_Caption4281"/>
      <w:bookmarkStart w:id="7148" w:name="_Caption1614"/>
      <w:bookmarkStart w:id="7149" w:name="_Caption4066"/>
      <w:bookmarkStart w:id="7150" w:name="_Caption3885"/>
      <w:bookmarkStart w:id="7151" w:name="_Caption9719"/>
      <w:bookmarkStart w:id="7152" w:name="_Caption4876"/>
      <w:bookmarkStart w:id="7153" w:name="_Caption8625"/>
      <w:bookmarkStart w:id="7154" w:name="_Caption2368"/>
      <w:bookmarkStart w:id="7155" w:name="_Caption5509"/>
      <w:bookmarkStart w:id="7156" w:name="_Caption1021"/>
      <w:bookmarkStart w:id="7157" w:name="_Caption7885"/>
      <w:bookmarkStart w:id="7158" w:name="_Caption5054"/>
      <w:bookmarkStart w:id="7159" w:name="_Caption6474"/>
      <w:bookmarkStart w:id="7160" w:name="_Caption0337"/>
      <w:bookmarkStart w:id="7161" w:name="_Caption7042"/>
      <w:bookmarkStart w:id="7162" w:name="_Caption9043"/>
      <w:bookmarkStart w:id="7163" w:name="_Caption3116"/>
      <w:bookmarkStart w:id="7164" w:name="_Caption3143"/>
      <w:bookmarkStart w:id="7165" w:name="_Caption6035"/>
      <w:bookmarkStart w:id="7166" w:name="_Caption8472"/>
      <w:bookmarkStart w:id="7167" w:name="_Caption1598"/>
      <w:bookmarkStart w:id="7168" w:name="_Caption0510"/>
      <w:bookmarkStart w:id="7169" w:name="_Caption5857"/>
      <w:bookmarkStart w:id="7170" w:name="_Caption4452"/>
      <w:bookmarkStart w:id="7171" w:name="_Caption5136"/>
      <w:bookmarkStart w:id="7172" w:name="_Toc32321879"/>
      <w:bookmarkStart w:id="7173" w:name="_Toc44598588"/>
      <w:bookmarkStart w:id="7174" w:name="_Toc45654219"/>
      <w:r w:rsidR="00272AF3" w:rsidRPr="00063389">
        <w:rPr>
          <w:noProof/>
        </w:rPr>
        <w:t>F.1</w:t>
      </w:r>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r w:rsidRPr="00063389">
        <w:fldChar w:fldCharType="end"/>
      </w:r>
      <w:r w:rsidRPr="00063389">
        <w:tab/>
        <w:t>Leaving residence</w:t>
      </w:r>
      <w:bookmarkEnd w:id="7172"/>
      <w:bookmarkEnd w:id="7173"/>
      <w:bookmarkEnd w:id="7174"/>
    </w:p>
    <w:tbl>
      <w:tblPr>
        <w:tblStyle w:val="TableGridLight"/>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F.1"/>
        <w:tblDescription w:val="Leaving residence"/>
      </w:tblPr>
      <w:tblGrid>
        <w:gridCol w:w="1849"/>
        <w:gridCol w:w="1014"/>
        <w:gridCol w:w="1015"/>
        <w:gridCol w:w="1014"/>
        <w:gridCol w:w="920"/>
        <w:gridCol w:w="851"/>
        <w:gridCol w:w="1272"/>
      </w:tblGrid>
      <w:tr w:rsidR="007C6A5F" w:rsidTr="000D6D12">
        <w:trPr>
          <w:trHeight w:val="230"/>
          <w:tblHeader/>
        </w:trPr>
        <w:tc>
          <w:tcPr>
            <w:tcW w:w="1849" w:type="dxa"/>
            <w:shd w:val="clear" w:color="auto" w:fill="6F6652" w:themeFill="accent5"/>
          </w:tcPr>
          <w:p w:rsidR="007C6A5F" w:rsidRDefault="00063389" w:rsidP="00C36DA4">
            <w:pPr>
              <w:pStyle w:val="TableDataColumnHeading"/>
              <w:jc w:val="left"/>
              <w:rPr>
                <w:lang w:val="en-GB"/>
              </w:rPr>
            </w:pPr>
            <w:r>
              <w:rPr>
                <w:lang w:val="en-GB"/>
              </w:rPr>
              <w:t>Level of leaving residence</w:t>
            </w:r>
          </w:p>
        </w:tc>
        <w:tc>
          <w:tcPr>
            <w:tcW w:w="1014" w:type="dxa"/>
            <w:shd w:val="clear" w:color="auto" w:fill="6F6652" w:themeFill="accent5"/>
          </w:tcPr>
          <w:p w:rsidR="007C6A5F" w:rsidRDefault="007C6A5F" w:rsidP="00C36DA4">
            <w:pPr>
              <w:pStyle w:val="TableDataColumnHeading"/>
              <w:rPr>
                <w:lang w:val="en-GB"/>
              </w:rPr>
            </w:pPr>
            <w:r>
              <w:rPr>
                <w:lang w:val="en-GB"/>
              </w:rPr>
              <w:t>Profound</w:t>
            </w:r>
          </w:p>
          <w:p w:rsidR="000D6D12" w:rsidRDefault="000D6D12" w:rsidP="00C36DA4">
            <w:pPr>
              <w:pStyle w:val="TableDataColumnHeading"/>
              <w:rPr>
                <w:lang w:val="en-GB"/>
              </w:rPr>
            </w:pPr>
            <w:r>
              <w:rPr>
                <w:lang w:val="en-GB"/>
              </w:rPr>
              <w:t>(‘000)</w:t>
            </w:r>
          </w:p>
        </w:tc>
        <w:tc>
          <w:tcPr>
            <w:tcW w:w="1015" w:type="dxa"/>
            <w:shd w:val="clear" w:color="auto" w:fill="6F6652" w:themeFill="accent5"/>
          </w:tcPr>
          <w:p w:rsidR="007C6A5F" w:rsidRDefault="007C6A5F" w:rsidP="00C36DA4">
            <w:pPr>
              <w:pStyle w:val="TableDataColumnHeading"/>
              <w:rPr>
                <w:lang w:val="en-GB"/>
              </w:rPr>
            </w:pPr>
            <w:r>
              <w:rPr>
                <w:lang w:val="en-GB"/>
              </w:rPr>
              <w:t>Severe</w:t>
            </w:r>
          </w:p>
          <w:p w:rsidR="000D6D12" w:rsidRDefault="000D6D12" w:rsidP="00C36DA4">
            <w:pPr>
              <w:pStyle w:val="TableDataColumnHeading"/>
              <w:rPr>
                <w:lang w:val="en-GB"/>
              </w:rPr>
            </w:pPr>
            <w:r>
              <w:rPr>
                <w:lang w:val="en-GB"/>
              </w:rPr>
              <w:t>(‘000)</w:t>
            </w:r>
          </w:p>
        </w:tc>
        <w:tc>
          <w:tcPr>
            <w:tcW w:w="1014" w:type="dxa"/>
            <w:shd w:val="clear" w:color="auto" w:fill="6F6652" w:themeFill="accent5"/>
          </w:tcPr>
          <w:p w:rsidR="007C6A5F" w:rsidRDefault="007C6A5F" w:rsidP="00C36DA4">
            <w:pPr>
              <w:pStyle w:val="TableDataColumnHeading"/>
              <w:rPr>
                <w:lang w:val="en-GB"/>
              </w:rPr>
            </w:pPr>
            <w:r>
              <w:rPr>
                <w:lang w:val="en-GB"/>
              </w:rPr>
              <w:t>Moderate</w:t>
            </w:r>
          </w:p>
          <w:p w:rsidR="000D6D12" w:rsidRDefault="000D6D12" w:rsidP="00C36DA4">
            <w:pPr>
              <w:pStyle w:val="TableDataColumnHeading"/>
              <w:rPr>
                <w:lang w:val="en-GB"/>
              </w:rPr>
            </w:pPr>
            <w:r>
              <w:rPr>
                <w:lang w:val="en-GB"/>
              </w:rPr>
              <w:t>(‘000)</w:t>
            </w:r>
          </w:p>
        </w:tc>
        <w:tc>
          <w:tcPr>
            <w:tcW w:w="920" w:type="dxa"/>
            <w:shd w:val="clear" w:color="auto" w:fill="6F6652" w:themeFill="accent5"/>
          </w:tcPr>
          <w:p w:rsidR="007C6A5F" w:rsidRDefault="007C6A5F" w:rsidP="00C36DA4">
            <w:pPr>
              <w:pStyle w:val="TableDataColumnHeading"/>
              <w:rPr>
                <w:lang w:val="en-GB"/>
              </w:rPr>
            </w:pPr>
            <w:r>
              <w:rPr>
                <w:lang w:val="en-GB"/>
              </w:rPr>
              <w:t>Mild</w:t>
            </w:r>
          </w:p>
          <w:p w:rsidR="000D6D12" w:rsidRDefault="000D6D12" w:rsidP="00C36DA4">
            <w:pPr>
              <w:pStyle w:val="TableDataColumnHeading"/>
              <w:rPr>
                <w:lang w:val="en-GB"/>
              </w:rPr>
            </w:pPr>
            <w:r>
              <w:rPr>
                <w:lang w:val="en-GB"/>
              </w:rPr>
              <w:t>(‘000)</w:t>
            </w:r>
          </w:p>
        </w:tc>
        <w:tc>
          <w:tcPr>
            <w:tcW w:w="851" w:type="dxa"/>
            <w:shd w:val="clear" w:color="auto" w:fill="6F6652" w:themeFill="accent5"/>
          </w:tcPr>
          <w:p w:rsidR="007C6A5F" w:rsidRDefault="007C6A5F" w:rsidP="00C36DA4">
            <w:pPr>
              <w:pStyle w:val="TableDataColumnHeading"/>
              <w:rPr>
                <w:lang w:val="en-GB"/>
              </w:rPr>
            </w:pPr>
            <w:r>
              <w:rPr>
                <w:lang w:val="en-GB"/>
              </w:rPr>
              <w:t>Total</w:t>
            </w:r>
          </w:p>
          <w:p w:rsidR="000D6D12" w:rsidRDefault="000D6D12" w:rsidP="00C36DA4">
            <w:pPr>
              <w:pStyle w:val="TableDataColumnHeading"/>
              <w:rPr>
                <w:lang w:val="en-GB"/>
              </w:rPr>
            </w:pPr>
            <w:r>
              <w:rPr>
                <w:lang w:val="en-GB"/>
              </w:rPr>
              <w:t>(‘000)</w:t>
            </w:r>
          </w:p>
        </w:tc>
        <w:tc>
          <w:tcPr>
            <w:tcW w:w="1272" w:type="dxa"/>
            <w:shd w:val="clear" w:color="auto" w:fill="6F6652" w:themeFill="accent5"/>
          </w:tcPr>
          <w:p w:rsidR="007C6A5F" w:rsidRDefault="007C6A5F" w:rsidP="00C36DA4">
            <w:pPr>
              <w:pStyle w:val="TableDataColumnHeading"/>
              <w:rPr>
                <w:lang w:val="en-GB"/>
              </w:rPr>
            </w:pPr>
            <w:r>
              <w:rPr>
                <w:lang w:val="en-GB"/>
              </w:rPr>
              <w:t>Share of total</w:t>
            </w:r>
          </w:p>
          <w:p w:rsidR="000D6D12" w:rsidRDefault="000D6D12" w:rsidP="00C36DA4">
            <w:pPr>
              <w:pStyle w:val="TableDataColumnHeading"/>
              <w:rPr>
                <w:lang w:val="en-GB"/>
              </w:rPr>
            </w:pPr>
            <w:r>
              <w:rPr>
                <w:lang w:val="en-GB"/>
              </w:rPr>
              <w:t>(‘000)</w:t>
            </w:r>
          </w:p>
        </w:tc>
      </w:tr>
      <w:tr w:rsidR="007C6A5F" w:rsidTr="000D6D12">
        <w:trPr>
          <w:trHeight w:val="230"/>
        </w:trPr>
        <w:tc>
          <w:tcPr>
            <w:tcW w:w="184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Does not leave residence</w:t>
            </w:r>
          </w:p>
        </w:tc>
        <w:tc>
          <w:tcPr>
            <w:tcW w:w="1014" w:type="dxa"/>
            <w:tcBorders>
              <w:top w:val="single" w:sz="8" w:space="0" w:color="FFFFFF" w:themeColor="background1"/>
              <w:bottom w:val="single" w:sz="8" w:space="0" w:color="FFFFFF" w:themeColor="background1"/>
            </w:tcBorders>
            <w:shd w:val="clear" w:color="auto" w:fill="E9E8E5" w:themeFill="background2"/>
          </w:tcPr>
          <w:p w:rsidR="007C6A5F" w:rsidRPr="00530933" w:rsidRDefault="007C6A5F" w:rsidP="00C36DA4">
            <w:pPr>
              <w:pStyle w:val="TableDataEntries"/>
            </w:pPr>
            <w:r w:rsidRPr="00530933">
              <w:t xml:space="preserve"> 25.9</w:t>
            </w:r>
          </w:p>
        </w:tc>
        <w:tc>
          <w:tcPr>
            <w:tcW w:w="1015" w:type="dxa"/>
            <w:tcBorders>
              <w:top w:val="single" w:sz="8" w:space="0" w:color="FFFFFF" w:themeColor="background1"/>
              <w:bottom w:val="single" w:sz="8" w:space="0" w:color="FFFFFF" w:themeColor="background1"/>
            </w:tcBorders>
            <w:shd w:val="clear" w:color="auto" w:fill="E9E8E5" w:themeFill="background2"/>
          </w:tcPr>
          <w:p w:rsidR="007C6A5F" w:rsidRPr="00530933" w:rsidRDefault="007C6A5F" w:rsidP="00C36DA4">
            <w:pPr>
              <w:pStyle w:val="TableDataEntries"/>
            </w:pPr>
            <w:r w:rsidRPr="00530933">
              <w:t xml:space="preserve"> 1.7</w:t>
            </w:r>
          </w:p>
        </w:tc>
        <w:tc>
          <w:tcPr>
            <w:tcW w:w="1014" w:type="dxa"/>
            <w:tcBorders>
              <w:top w:val="single" w:sz="8" w:space="0" w:color="FFFFFF" w:themeColor="background1"/>
              <w:bottom w:val="single" w:sz="8" w:space="0" w:color="FFFFFF" w:themeColor="background1"/>
            </w:tcBorders>
            <w:shd w:val="clear" w:color="auto" w:fill="E9E8E5" w:themeFill="background2"/>
          </w:tcPr>
          <w:p w:rsidR="007C6A5F" w:rsidRPr="00530933" w:rsidRDefault="007C6A5F" w:rsidP="00C36DA4">
            <w:pPr>
              <w:pStyle w:val="TableDataEntries"/>
            </w:pPr>
            <w:r w:rsidRPr="00530933">
              <w:t xml:space="preserve"> 1.3</w:t>
            </w:r>
          </w:p>
        </w:tc>
        <w:tc>
          <w:tcPr>
            <w:tcW w:w="920" w:type="dxa"/>
            <w:tcBorders>
              <w:top w:val="single" w:sz="8" w:space="0" w:color="FFFFFF" w:themeColor="background1"/>
              <w:bottom w:val="single" w:sz="8" w:space="0" w:color="FFFFFF" w:themeColor="background1"/>
            </w:tcBorders>
            <w:shd w:val="clear" w:color="auto" w:fill="E9E8E5" w:themeFill="background2"/>
          </w:tcPr>
          <w:p w:rsidR="007C6A5F" w:rsidRPr="00530933" w:rsidRDefault="007C6A5F" w:rsidP="00C36DA4">
            <w:pPr>
              <w:pStyle w:val="TableDataEntries"/>
            </w:pPr>
            <w:r w:rsidRPr="00530933">
              <w:t xml:space="preserve"> 5.4</w:t>
            </w:r>
          </w:p>
        </w:tc>
        <w:tc>
          <w:tcPr>
            <w:tcW w:w="851" w:type="dxa"/>
            <w:tcBorders>
              <w:top w:val="single" w:sz="8" w:space="0" w:color="FFFFFF" w:themeColor="background1"/>
              <w:bottom w:val="single" w:sz="8" w:space="0" w:color="FFFFFF" w:themeColor="background1"/>
            </w:tcBorders>
            <w:shd w:val="clear" w:color="auto" w:fill="E9E8E5" w:themeFill="background2"/>
          </w:tcPr>
          <w:p w:rsidR="007C6A5F" w:rsidRPr="00530933" w:rsidRDefault="007C6A5F" w:rsidP="00C36DA4">
            <w:pPr>
              <w:pStyle w:val="TableDataEntries"/>
            </w:pPr>
            <w:r w:rsidRPr="00530933">
              <w:t xml:space="preserve"> 34.3</w:t>
            </w:r>
          </w:p>
        </w:tc>
        <w:tc>
          <w:tcPr>
            <w:tcW w:w="1272" w:type="dxa"/>
            <w:tcBorders>
              <w:top w:val="single" w:sz="8" w:space="0" w:color="FFFFFF" w:themeColor="background1"/>
              <w:bottom w:val="single" w:sz="8" w:space="0" w:color="FFFFFF" w:themeColor="background1"/>
            </w:tcBorders>
            <w:shd w:val="clear" w:color="auto" w:fill="E9E8E5" w:themeFill="background2"/>
          </w:tcPr>
          <w:p w:rsidR="007C6A5F" w:rsidRPr="00530933" w:rsidRDefault="007C6A5F" w:rsidP="00C36DA4">
            <w:pPr>
              <w:pStyle w:val="TableDataEntries"/>
            </w:pPr>
            <w:r w:rsidRPr="00530933">
              <w:t xml:space="preserve"> 1.1</w:t>
            </w:r>
          </w:p>
        </w:tc>
      </w:tr>
      <w:tr w:rsidR="007C6A5F" w:rsidTr="000D6D12">
        <w:trPr>
          <w:trHeight w:val="230"/>
        </w:trPr>
        <w:tc>
          <w:tcPr>
            <w:tcW w:w="184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Does not leave residence as often as would like</w:t>
            </w:r>
          </w:p>
        </w:tc>
        <w:tc>
          <w:tcPr>
            <w:tcW w:w="1014" w:type="dxa"/>
            <w:tcBorders>
              <w:top w:val="single" w:sz="8" w:space="0" w:color="FFFFFF" w:themeColor="background1"/>
              <w:bottom w:val="single" w:sz="8" w:space="0" w:color="FFFFFF" w:themeColor="background1"/>
            </w:tcBorders>
            <w:shd w:val="clear" w:color="auto" w:fill="E9E8E5" w:themeFill="background2"/>
          </w:tcPr>
          <w:p w:rsidR="007C6A5F" w:rsidRPr="00530933" w:rsidRDefault="007C6A5F" w:rsidP="00C36DA4">
            <w:pPr>
              <w:pStyle w:val="TableDataEntries"/>
            </w:pPr>
            <w:r w:rsidRPr="00530933">
              <w:t xml:space="preserve"> 240.5</w:t>
            </w:r>
          </w:p>
        </w:tc>
        <w:tc>
          <w:tcPr>
            <w:tcW w:w="1015" w:type="dxa"/>
            <w:tcBorders>
              <w:top w:val="single" w:sz="8" w:space="0" w:color="FFFFFF" w:themeColor="background1"/>
              <w:bottom w:val="single" w:sz="8" w:space="0" w:color="FFFFFF" w:themeColor="background1"/>
            </w:tcBorders>
            <w:shd w:val="clear" w:color="auto" w:fill="E9E8E5" w:themeFill="background2"/>
          </w:tcPr>
          <w:p w:rsidR="007C6A5F" w:rsidRPr="00530933" w:rsidRDefault="007C6A5F" w:rsidP="00C36DA4">
            <w:pPr>
              <w:pStyle w:val="TableDataEntries"/>
            </w:pPr>
            <w:r w:rsidRPr="00530933">
              <w:t xml:space="preserve"> 241.1</w:t>
            </w:r>
          </w:p>
        </w:tc>
        <w:tc>
          <w:tcPr>
            <w:tcW w:w="1014" w:type="dxa"/>
            <w:tcBorders>
              <w:top w:val="single" w:sz="8" w:space="0" w:color="FFFFFF" w:themeColor="background1"/>
              <w:bottom w:val="single" w:sz="8" w:space="0" w:color="FFFFFF" w:themeColor="background1"/>
            </w:tcBorders>
            <w:shd w:val="clear" w:color="auto" w:fill="E9E8E5" w:themeFill="background2"/>
          </w:tcPr>
          <w:p w:rsidR="007C6A5F" w:rsidRPr="00530933" w:rsidRDefault="007C6A5F" w:rsidP="00C36DA4">
            <w:pPr>
              <w:pStyle w:val="TableDataEntries"/>
            </w:pPr>
            <w:r w:rsidRPr="00530933">
              <w:t xml:space="preserve"> 158.7</w:t>
            </w:r>
          </w:p>
        </w:tc>
        <w:tc>
          <w:tcPr>
            <w:tcW w:w="920" w:type="dxa"/>
            <w:tcBorders>
              <w:top w:val="single" w:sz="8" w:space="0" w:color="FFFFFF" w:themeColor="background1"/>
              <w:bottom w:val="single" w:sz="8" w:space="0" w:color="FFFFFF" w:themeColor="background1"/>
            </w:tcBorders>
            <w:shd w:val="clear" w:color="auto" w:fill="E9E8E5" w:themeFill="background2"/>
          </w:tcPr>
          <w:p w:rsidR="007C6A5F" w:rsidRPr="00530933" w:rsidRDefault="007C6A5F" w:rsidP="00C36DA4">
            <w:pPr>
              <w:pStyle w:val="TableDataEntries"/>
            </w:pPr>
            <w:r w:rsidRPr="00530933">
              <w:t xml:space="preserve"> 321.3</w:t>
            </w:r>
          </w:p>
        </w:tc>
        <w:tc>
          <w:tcPr>
            <w:tcW w:w="851" w:type="dxa"/>
            <w:tcBorders>
              <w:top w:val="single" w:sz="8" w:space="0" w:color="FFFFFF" w:themeColor="background1"/>
              <w:bottom w:val="single" w:sz="8" w:space="0" w:color="FFFFFF" w:themeColor="background1"/>
            </w:tcBorders>
            <w:shd w:val="clear" w:color="auto" w:fill="E9E8E5" w:themeFill="background2"/>
          </w:tcPr>
          <w:p w:rsidR="007C6A5F" w:rsidRPr="00530933" w:rsidRDefault="007C6A5F" w:rsidP="00C36DA4">
            <w:pPr>
              <w:pStyle w:val="TableDataEntries"/>
            </w:pPr>
            <w:r w:rsidRPr="00530933">
              <w:t xml:space="preserve"> 961.6</w:t>
            </w:r>
          </w:p>
        </w:tc>
        <w:tc>
          <w:tcPr>
            <w:tcW w:w="1272" w:type="dxa"/>
            <w:tcBorders>
              <w:top w:val="single" w:sz="8" w:space="0" w:color="FFFFFF" w:themeColor="background1"/>
              <w:bottom w:val="single" w:sz="8" w:space="0" w:color="FFFFFF" w:themeColor="background1"/>
            </w:tcBorders>
            <w:shd w:val="clear" w:color="auto" w:fill="E9E8E5" w:themeFill="background2"/>
          </w:tcPr>
          <w:p w:rsidR="007C6A5F" w:rsidRPr="00530933" w:rsidRDefault="007C6A5F" w:rsidP="00C36DA4">
            <w:pPr>
              <w:pStyle w:val="TableDataEntries"/>
            </w:pPr>
            <w:r w:rsidRPr="00530933">
              <w:t xml:space="preserve"> 32.2</w:t>
            </w:r>
          </w:p>
        </w:tc>
      </w:tr>
      <w:tr w:rsidR="000F1718" w:rsidTr="000D6D12">
        <w:trPr>
          <w:trHeight w:val="230"/>
        </w:trPr>
        <w:tc>
          <w:tcPr>
            <w:tcW w:w="1849" w:type="dxa"/>
            <w:tcBorders>
              <w:top w:val="single" w:sz="8" w:space="0" w:color="FFFFFF" w:themeColor="background1"/>
              <w:bottom w:val="single" w:sz="8" w:space="0" w:color="FFFFFF" w:themeColor="background1"/>
            </w:tcBorders>
            <w:shd w:val="clear" w:color="auto" w:fill="E9E8E5" w:themeFill="background2"/>
          </w:tcPr>
          <w:p w:rsidR="000F1718" w:rsidRDefault="000F1718" w:rsidP="000F1718">
            <w:pPr>
              <w:pStyle w:val="TableDataEntries"/>
              <w:jc w:val="left"/>
              <w:rPr>
                <w:lang w:val="en-GB"/>
              </w:rPr>
            </w:pPr>
            <w:r>
              <w:rPr>
                <w:lang w:val="en-GB"/>
              </w:rPr>
              <w:lastRenderedPageBreak/>
              <w:t>Leaves residence as often as would like</w:t>
            </w:r>
            <w:r w:rsidRPr="00A96B1A">
              <w:rPr>
                <w:rStyle w:val="NoteLabel"/>
                <w:color w:val="000000" w:themeColor="text1"/>
              </w:rPr>
              <w:t>a</w:t>
            </w:r>
          </w:p>
        </w:tc>
        <w:tc>
          <w:tcPr>
            <w:tcW w:w="1014" w:type="dxa"/>
            <w:tcBorders>
              <w:top w:val="single" w:sz="8" w:space="0" w:color="FFFFFF" w:themeColor="background1"/>
              <w:bottom w:val="single" w:sz="8" w:space="0" w:color="FFFFFF" w:themeColor="background1"/>
            </w:tcBorders>
            <w:shd w:val="clear" w:color="auto" w:fill="E9E8E5" w:themeFill="background2"/>
            <w:vAlign w:val="bottom"/>
          </w:tcPr>
          <w:p w:rsidR="000F1718" w:rsidRPr="00530933" w:rsidRDefault="000F1718" w:rsidP="000F1718">
            <w:pPr>
              <w:pStyle w:val="TableDataEntries"/>
            </w:pPr>
            <w:r w:rsidRPr="00530933">
              <w:t xml:space="preserve"> 367.0</w:t>
            </w:r>
          </w:p>
        </w:tc>
        <w:tc>
          <w:tcPr>
            <w:tcW w:w="1015" w:type="dxa"/>
            <w:tcBorders>
              <w:top w:val="single" w:sz="8" w:space="0" w:color="FFFFFF" w:themeColor="background1"/>
              <w:bottom w:val="single" w:sz="8" w:space="0" w:color="FFFFFF" w:themeColor="background1"/>
            </w:tcBorders>
            <w:shd w:val="clear" w:color="auto" w:fill="E9E8E5" w:themeFill="background2"/>
            <w:vAlign w:val="bottom"/>
          </w:tcPr>
          <w:p w:rsidR="000F1718" w:rsidRPr="00530933" w:rsidRDefault="000F1718" w:rsidP="000F1718">
            <w:pPr>
              <w:pStyle w:val="TableDataEntries"/>
            </w:pPr>
            <w:r w:rsidRPr="00530933">
              <w:t xml:space="preserve"> 276.0</w:t>
            </w:r>
          </w:p>
        </w:tc>
        <w:tc>
          <w:tcPr>
            <w:tcW w:w="1014" w:type="dxa"/>
            <w:tcBorders>
              <w:top w:val="single" w:sz="8" w:space="0" w:color="FFFFFF" w:themeColor="background1"/>
              <w:bottom w:val="single" w:sz="8" w:space="0" w:color="FFFFFF" w:themeColor="background1"/>
            </w:tcBorders>
            <w:shd w:val="clear" w:color="auto" w:fill="E9E8E5" w:themeFill="background2"/>
            <w:vAlign w:val="bottom"/>
          </w:tcPr>
          <w:p w:rsidR="000F1718" w:rsidRPr="00530933" w:rsidRDefault="000F1718" w:rsidP="000F1718">
            <w:pPr>
              <w:pStyle w:val="TableDataEntries"/>
            </w:pPr>
            <w:r w:rsidRPr="00530933">
              <w:t xml:space="preserve"> 274.3</w:t>
            </w:r>
          </w:p>
        </w:tc>
        <w:tc>
          <w:tcPr>
            <w:tcW w:w="920" w:type="dxa"/>
            <w:tcBorders>
              <w:top w:val="single" w:sz="8" w:space="0" w:color="FFFFFF" w:themeColor="background1"/>
              <w:bottom w:val="single" w:sz="8" w:space="0" w:color="FFFFFF" w:themeColor="background1"/>
            </w:tcBorders>
            <w:shd w:val="clear" w:color="auto" w:fill="E9E8E5" w:themeFill="background2"/>
            <w:vAlign w:val="bottom"/>
          </w:tcPr>
          <w:p w:rsidR="000F1718" w:rsidRPr="00530933" w:rsidRDefault="000F1718" w:rsidP="000F1718">
            <w:pPr>
              <w:pStyle w:val="TableDataEntries"/>
            </w:pPr>
            <w:r w:rsidRPr="00530933">
              <w:t>1 070.2</w:t>
            </w:r>
          </w:p>
        </w:tc>
        <w:tc>
          <w:tcPr>
            <w:tcW w:w="851" w:type="dxa"/>
            <w:tcBorders>
              <w:top w:val="single" w:sz="8" w:space="0" w:color="FFFFFF" w:themeColor="background1"/>
              <w:bottom w:val="single" w:sz="8" w:space="0" w:color="FFFFFF" w:themeColor="background1"/>
            </w:tcBorders>
            <w:shd w:val="clear" w:color="auto" w:fill="E9E8E5" w:themeFill="background2"/>
            <w:vAlign w:val="bottom"/>
          </w:tcPr>
          <w:p w:rsidR="000F1718" w:rsidRPr="00530933" w:rsidRDefault="000F1718" w:rsidP="000F1718">
            <w:pPr>
              <w:pStyle w:val="TableDataEntries"/>
            </w:pPr>
            <w:r w:rsidRPr="00530933">
              <w:t>1 987.5</w:t>
            </w:r>
          </w:p>
        </w:tc>
        <w:tc>
          <w:tcPr>
            <w:tcW w:w="1272" w:type="dxa"/>
            <w:tcBorders>
              <w:top w:val="single" w:sz="8" w:space="0" w:color="FFFFFF" w:themeColor="background1"/>
              <w:bottom w:val="single" w:sz="8" w:space="0" w:color="FFFFFF" w:themeColor="background1"/>
            </w:tcBorders>
            <w:shd w:val="clear" w:color="auto" w:fill="E9E8E5" w:themeFill="background2"/>
            <w:vAlign w:val="bottom"/>
          </w:tcPr>
          <w:p w:rsidR="000F1718" w:rsidRPr="00530933" w:rsidRDefault="000F1718" w:rsidP="000F1718">
            <w:pPr>
              <w:pStyle w:val="TableDataEntries"/>
            </w:pPr>
            <w:r w:rsidRPr="00530933">
              <w:t xml:space="preserve"> 66.6</w:t>
            </w:r>
          </w:p>
        </w:tc>
      </w:tr>
      <w:tr w:rsidR="000F1718" w:rsidTr="000D6D12">
        <w:trPr>
          <w:trHeight w:val="230"/>
        </w:trPr>
        <w:tc>
          <w:tcPr>
            <w:tcW w:w="1849" w:type="dxa"/>
            <w:tcBorders>
              <w:top w:val="single" w:sz="8" w:space="0" w:color="FFFFFF" w:themeColor="background1"/>
              <w:bottom w:val="single" w:sz="4" w:space="0" w:color="6F6652" w:themeColor="accent5"/>
            </w:tcBorders>
            <w:shd w:val="clear" w:color="auto" w:fill="C2DADB" w:themeFill="accent6" w:themeFillTint="99"/>
          </w:tcPr>
          <w:p w:rsidR="000F1718" w:rsidRDefault="000F1718" w:rsidP="000F1718">
            <w:pPr>
              <w:pStyle w:val="TableDataEntries"/>
              <w:jc w:val="left"/>
              <w:rPr>
                <w:lang w:val="en-GB"/>
              </w:rPr>
            </w:pPr>
            <w:r w:rsidRPr="00530933">
              <w:rPr>
                <w:rFonts w:ascii="Franklin Gothic Demi" w:hAnsi="Franklin Gothic Demi"/>
                <w:lang w:val="en-GB"/>
              </w:rPr>
              <w:t>Total</w:t>
            </w:r>
          </w:p>
        </w:tc>
        <w:tc>
          <w:tcPr>
            <w:tcW w:w="1014" w:type="dxa"/>
            <w:tcBorders>
              <w:top w:val="single" w:sz="8" w:space="0" w:color="FFFFFF" w:themeColor="background1"/>
              <w:bottom w:val="single" w:sz="4" w:space="0" w:color="6F6652" w:themeColor="accent5"/>
            </w:tcBorders>
            <w:shd w:val="clear" w:color="auto" w:fill="C2DADB" w:themeFill="accent6" w:themeFillTint="99"/>
            <w:vAlign w:val="bottom"/>
          </w:tcPr>
          <w:p w:rsidR="000F1718" w:rsidRPr="00530933" w:rsidRDefault="000F1718" w:rsidP="000F1718">
            <w:pPr>
              <w:pStyle w:val="TableDataEntries"/>
            </w:pPr>
            <w:r w:rsidRPr="00530933">
              <w:rPr>
                <w:rFonts w:ascii="Franklin Gothic Demi" w:hAnsi="Franklin Gothic Demi"/>
              </w:rPr>
              <w:t xml:space="preserve"> 633.4</w:t>
            </w:r>
          </w:p>
        </w:tc>
        <w:tc>
          <w:tcPr>
            <w:tcW w:w="1015" w:type="dxa"/>
            <w:tcBorders>
              <w:top w:val="single" w:sz="8" w:space="0" w:color="FFFFFF" w:themeColor="background1"/>
              <w:bottom w:val="single" w:sz="4" w:space="0" w:color="6F6652" w:themeColor="accent5"/>
            </w:tcBorders>
            <w:shd w:val="clear" w:color="auto" w:fill="C2DADB" w:themeFill="accent6" w:themeFillTint="99"/>
            <w:vAlign w:val="bottom"/>
          </w:tcPr>
          <w:p w:rsidR="000F1718" w:rsidRPr="00530933" w:rsidRDefault="000F1718" w:rsidP="000F1718">
            <w:pPr>
              <w:pStyle w:val="TableDataEntries"/>
            </w:pPr>
            <w:r w:rsidRPr="00530933">
              <w:rPr>
                <w:rFonts w:ascii="Franklin Gothic Demi" w:hAnsi="Franklin Gothic Demi"/>
              </w:rPr>
              <w:t xml:space="preserve"> 518.8</w:t>
            </w:r>
          </w:p>
        </w:tc>
        <w:tc>
          <w:tcPr>
            <w:tcW w:w="1014" w:type="dxa"/>
            <w:tcBorders>
              <w:top w:val="single" w:sz="8" w:space="0" w:color="FFFFFF" w:themeColor="background1"/>
              <w:bottom w:val="single" w:sz="4" w:space="0" w:color="6F6652" w:themeColor="accent5"/>
            </w:tcBorders>
            <w:shd w:val="clear" w:color="auto" w:fill="C2DADB" w:themeFill="accent6" w:themeFillTint="99"/>
            <w:vAlign w:val="bottom"/>
          </w:tcPr>
          <w:p w:rsidR="000F1718" w:rsidRPr="00530933" w:rsidRDefault="000F1718" w:rsidP="000F1718">
            <w:pPr>
              <w:pStyle w:val="TableDataEntries"/>
            </w:pPr>
            <w:r w:rsidRPr="00530933">
              <w:rPr>
                <w:rFonts w:ascii="Franklin Gothic Demi" w:hAnsi="Franklin Gothic Demi"/>
              </w:rPr>
              <w:t xml:space="preserve"> 434.3</w:t>
            </w:r>
          </w:p>
        </w:tc>
        <w:tc>
          <w:tcPr>
            <w:tcW w:w="920" w:type="dxa"/>
            <w:tcBorders>
              <w:top w:val="single" w:sz="8" w:space="0" w:color="FFFFFF" w:themeColor="background1"/>
              <w:bottom w:val="single" w:sz="4" w:space="0" w:color="6F6652" w:themeColor="accent5"/>
            </w:tcBorders>
            <w:shd w:val="clear" w:color="auto" w:fill="C2DADB" w:themeFill="accent6" w:themeFillTint="99"/>
            <w:vAlign w:val="bottom"/>
          </w:tcPr>
          <w:p w:rsidR="000F1718" w:rsidRPr="00530933" w:rsidRDefault="000F1718" w:rsidP="000F1718">
            <w:pPr>
              <w:pStyle w:val="TableDataEntries"/>
            </w:pPr>
            <w:r w:rsidRPr="00530933">
              <w:rPr>
                <w:rFonts w:ascii="Franklin Gothic Demi" w:hAnsi="Franklin Gothic Demi"/>
              </w:rPr>
              <w:t>1 396.9</w:t>
            </w:r>
          </w:p>
        </w:tc>
        <w:tc>
          <w:tcPr>
            <w:tcW w:w="851" w:type="dxa"/>
            <w:tcBorders>
              <w:top w:val="single" w:sz="8" w:space="0" w:color="FFFFFF" w:themeColor="background1"/>
              <w:bottom w:val="single" w:sz="4" w:space="0" w:color="6F6652" w:themeColor="accent5"/>
            </w:tcBorders>
            <w:shd w:val="clear" w:color="auto" w:fill="C2DADB" w:themeFill="accent6" w:themeFillTint="99"/>
            <w:vAlign w:val="bottom"/>
          </w:tcPr>
          <w:p w:rsidR="000F1718" w:rsidRPr="00530933" w:rsidRDefault="000F1718" w:rsidP="000F1718">
            <w:pPr>
              <w:pStyle w:val="TableDataEntries"/>
            </w:pPr>
            <w:r w:rsidRPr="00530933">
              <w:rPr>
                <w:rFonts w:ascii="Franklin Gothic Demi" w:hAnsi="Franklin Gothic Demi"/>
              </w:rPr>
              <w:t>2 983.4</w:t>
            </w:r>
          </w:p>
        </w:tc>
        <w:tc>
          <w:tcPr>
            <w:tcW w:w="1272" w:type="dxa"/>
            <w:tcBorders>
              <w:top w:val="single" w:sz="8" w:space="0" w:color="FFFFFF" w:themeColor="background1"/>
              <w:bottom w:val="single" w:sz="4" w:space="0" w:color="6F6652" w:themeColor="accent5"/>
            </w:tcBorders>
            <w:shd w:val="clear" w:color="auto" w:fill="C2DADB" w:themeFill="accent6" w:themeFillTint="99"/>
            <w:vAlign w:val="bottom"/>
          </w:tcPr>
          <w:p w:rsidR="000F1718" w:rsidRPr="00530933" w:rsidRDefault="000F1718" w:rsidP="000F1718">
            <w:pPr>
              <w:pStyle w:val="TableDataEntries"/>
            </w:pPr>
            <w:r w:rsidRPr="00530933">
              <w:rPr>
                <w:rFonts w:ascii="Franklin Gothic Demi" w:hAnsi="Franklin Gothic Demi"/>
              </w:rPr>
              <w:t xml:space="preserve"> 100.0</w:t>
            </w:r>
          </w:p>
        </w:tc>
      </w:tr>
    </w:tbl>
    <w:p w:rsidR="007C6A5F" w:rsidRPr="00E4232C" w:rsidRDefault="007C6A5F" w:rsidP="007C6A5F">
      <w:pPr>
        <w:pStyle w:val="Note"/>
      </w:pPr>
      <w:r w:rsidRPr="00A96B1A">
        <w:rPr>
          <w:rStyle w:val="NoteLabel"/>
          <w:color w:val="000000" w:themeColor="text1"/>
        </w:rPr>
        <w:t>a</w:t>
      </w:r>
      <w:r>
        <w:t xml:space="preserve"> Includes not applicable.</w:t>
      </w:r>
    </w:p>
    <w:p w:rsidR="007C6A5F" w:rsidRDefault="007C6A5F" w:rsidP="007C6A5F">
      <w:pPr>
        <w:pStyle w:val="Source"/>
        <w:rPr>
          <w:lang w:bidi="fa-IR"/>
        </w:rPr>
      </w:pPr>
      <w:r w:rsidRPr="001C7174">
        <w:rPr>
          <w:i/>
          <w:lang w:bidi="fa-IR"/>
        </w:rPr>
        <w:t>Source:</w:t>
      </w:r>
      <w:r>
        <w:rPr>
          <w:lang w:bidi="fa-IR"/>
        </w:rPr>
        <w:t xml:space="preserve"> </w:t>
      </w:r>
      <w:r>
        <w:t>ABS, Survey of Disabilities, Ageing and Carers, 2018, TableBuilder.</w:t>
      </w:r>
    </w:p>
    <w:p w:rsidR="007C6A5F" w:rsidRDefault="007C6A5F" w:rsidP="007C6A5F">
      <w:pPr>
        <w:pStyle w:val="BodyText"/>
        <w:rPr>
          <w:lang w:eastAsia="en-US" w:bidi="fa-IR"/>
        </w:rPr>
      </w:pPr>
      <w:r>
        <w:rPr>
          <w:lang w:eastAsia="en-US" w:bidi="fa-IR"/>
        </w:rPr>
        <w:t>The SDAC also reports the main reason why respondents do not leave home as often as they would like. Many of these reasons appear unrelated to the accessibility features of the dwelling. On the other hand:</w:t>
      </w:r>
    </w:p>
    <w:p w:rsidR="007C6A5F" w:rsidRDefault="007C6A5F" w:rsidP="005A6F87">
      <w:pPr>
        <w:pStyle w:val="ListBullet"/>
        <w:numPr>
          <w:ilvl w:val="0"/>
          <w:numId w:val="17"/>
        </w:numPr>
        <w:rPr>
          <w:lang w:eastAsia="en-US" w:bidi="fa-IR"/>
        </w:rPr>
      </w:pPr>
      <w:r>
        <w:rPr>
          <w:lang w:eastAsia="en-US" w:bidi="fa-IR"/>
        </w:rPr>
        <w:t>around 547 600 people identified ‘their own disability/condition’ as the main reason they do not leave the residence as often as they would like</w:t>
      </w:r>
    </w:p>
    <w:p w:rsidR="007C6A5F" w:rsidRDefault="007C6A5F" w:rsidP="005A6F87">
      <w:pPr>
        <w:pStyle w:val="ListBullet"/>
        <w:numPr>
          <w:ilvl w:val="0"/>
          <w:numId w:val="17"/>
        </w:numPr>
        <w:rPr>
          <w:lang w:eastAsia="en-US" w:bidi="fa-IR"/>
        </w:rPr>
      </w:pPr>
      <w:r>
        <w:rPr>
          <w:lang w:eastAsia="en-US" w:bidi="fa-IR"/>
        </w:rPr>
        <w:t>around 20 300 people identified ‘old age/too old’ as the main reason they do not leave the residence as often as they would like (table </w:t>
      </w:r>
      <w:r>
        <w:rPr>
          <w:lang w:eastAsia="en-US" w:bidi="fa-IR"/>
        </w:rPr>
        <w:fldChar w:fldCharType="begin"/>
      </w:r>
      <w:r>
        <w:rPr>
          <w:lang w:eastAsia="en-US" w:bidi="fa-IR"/>
        </w:rPr>
        <w:instrText xml:space="preserve"> REF _Caption0391 </w:instrText>
      </w:r>
      <w:r>
        <w:rPr>
          <w:lang w:eastAsia="en-US" w:bidi="fa-IR"/>
        </w:rPr>
        <w:fldChar w:fldCharType="separate"/>
      </w:r>
      <w:r>
        <w:rPr>
          <w:noProof/>
        </w:rPr>
        <w:t>F</w:t>
      </w:r>
      <w:r w:rsidRPr="00695C93">
        <w:rPr>
          <w:noProof/>
        </w:rPr>
        <w:t>.</w:t>
      </w:r>
      <w:r>
        <w:rPr>
          <w:noProof/>
        </w:rPr>
        <w:t>2</w:t>
      </w:r>
      <w:r>
        <w:rPr>
          <w:lang w:eastAsia="en-US" w:bidi="fa-IR"/>
        </w:rPr>
        <w:fldChar w:fldCharType="end"/>
      </w:r>
      <w:r>
        <w:rPr>
          <w:lang w:eastAsia="en-US" w:bidi="fa-IR"/>
        </w:rPr>
        <w:t>).</w:t>
      </w:r>
    </w:p>
    <w:p w:rsidR="007C6A5F" w:rsidRDefault="007C6A5F" w:rsidP="007C6A5F">
      <w:pPr>
        <w:pStyle w:val="BodyText"/>
        <w:rPr>
          <w:lang w:eastAsia="en-US" w:bidi="fa-IR"/>
        </w:rPr>
      </w:pPr>
      <w:r>
        <w:rPr>
          <w:lang w:eastAsia="en-US" w:bidi="fa-IR"/>
        </w:rPr>
        <w:t>It is possible that respondents living in housing that has inadequate accessibility features may have given one of these responses (implying that some people may not have left the house as often as they would like due to a combination of inaccessible housing and their own disability or old age).</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F</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F</w:instrText>
      </w:r>
      <w:r>
        <w:rPr>
          <w:noProof/>
        </w:rPr>
        <w:fldChar w:fldCharType="end"/>
      </w:r>
      <w:r w:rsidRPr="00695C93">
        <w:instrText xml:space="preserve">." </w:instrText>
      </w:r>
      <w:r w:rsidRPr="00695C93">
        <w:fldChar w:fldCharType="separate"/>
      </w:r>
      <w:r>
        <w:rPr>
          <w:noProof/>
        </w:rPr>
        <w:instrText>F</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F</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2</w:instrText>
      </w:r>
      <w:r w:rsidRPr="00695C93">
        <w:fldChar w:fldCharType="end"/>
      </w:r>
      <w:r w:rsidRPr="00695C93">
        <w:instrText xml:space="preserve">" "" </w:instrText>
      </w:r>
      <w:r w:rsidRPr="00695C93">
        <w:fldChar w:fldCharType="separate"/>
      </w:r>
      <w:bookmarkStart w:id="7175" w:name="_Caption7564"/>
      <w:bookmarkStart w:id="7176" w:name="_Caption7986"/>
      <w:bookmarkStart w:id="7177" w:name="_Caption8375"/>
      <w:bookmarkStart w:id="7178" w:name="_Caption7406"/>
      <w:bookmarkStart w:id="7179" w:name="_Caption5085"/>
      <w:bookmarkStart w:id="7180" w:name="_Caption7882"/>
      <w:bookmarkStart w:id="7181" w:name="_Caption3404"/>
      <w:bookmarkStart w:id="7182" w:name="_Caption8746"/>
      <w:bookmarkStart w:id="7183" w:name="_Caption3184"/>
      <w:bookmarkStart w:id="7184" w:name="_Caption9842"/>
      <w:bookmarkStart w:id="7185" w:name="_Caption2021"/>
      <w:bookmarkStart w:id="7186" w:name="_Caption4158"/>
      <w:bookmarkStart w:id="7187" w:name="_Caption3537"/>
      <w:bookmarkStart w:id="7188" w:name="_Caption6160"/>
      <w:bookmarkStart w:id="7189" w:name="_Caption9228"/>
      <w:bookmarkStart w:id="7190" w:name="_Caption4346"/>
      <w:bookmarkStart w:id="7191" w:name="_Caption8426"/>
      <w:bookmarkStart w:id="7192" w:name="_Caption5258"/>
      <w:bookmarkStart w:id="7193" w:name="_Caption6879"/>
      <w:bookmarkStart w:id="7194" w:name="_Caption6657"/>
      <w:bookmarkStart w:id="7195" w:name="_Caption3398"/>
      <w:bookmarkStart w:id="7196" w:name="_Caption1634"/>
      <w:bookmarkStart w:id="7197" w:name="_Caption2019"/>
      <w:bookmarkStart w:id="7198" w:name="_Caption6868"/>
      <w:bookmarkStart w:id="7199" w:name="_Caption9985"/>
      <w:bookmarkStart w:id="7200" w:name="_Caption4118"/>
      <w:bookmarkStart w:id="7201" w:name="_Caption7987"/>
      <w:bookmarkStart w:id="7202" w:name="_Caption9357"/>
      <w:bookmarkStart w:id="7203" w:name="_Caption6521"/>
      <w:bookmarkStart w:id="7204" w:name="_Caption2404"/>
      <w:bookmarkStart w:id="7205" w:name="_Caption8557"/>
      <w:bookmarkStart w:id="7206" w:name="_Caption6345"/>
      <w:bookmarkStart w:id="7207" w:name="_Caption4661"/>
      <w:bookmarkStart w:id="7208" w:name="_Caption8783"/>
      <w:bookmarkStart w:id="7209" w:name="_Caption0677"/>
      <w:bookmarkStart w:id="7210" w:name="_Caption3019"/>
      <w:bookmarkStart w:id="7211" w:name="_Caption9716"/>
      <w:bookmarkStart w:id="7212" w:name="_Caption2437"/>
      <w:bookmarkStart w:id="7213" w:name="_Caption9697"/>
      <w:bookmarkStart w:id="7214" w:name="_Caption1574"/>
      <w:bookmarkStart w:id="7215" w:name="_Caption3450"/>
      <w:bookmarkStart w:id="7216" w:name="_Caption3763"/>
      <w:bookmarkStart w:id="7217" w:name="_Caption0391"/>
      <w:bookmarkStart w:id="7218" w:name="_Caption6313"/>
      <w:bookmarkStart w:id="7219" w:name="_Caption0619"/>
      <w:bookmarkStart w:id="7220" w:name="_Caption1537"/>
      <w:bookmarkStart w:id="7221" w:name="_Caption9584"/>
      <w:bookmarkStart w:id="7222" w:name="_Caption4091"/>
      <w:bookmarkStart w:id="7223" w:name="_Caption3382"/>
      <w:bookmarkStart w:id="7224" w:name="_Caption9671"/>
      <w:bookmarkStart w:id="7225" w:name="_Caption1511"/>
      <w:bookmarkStart w:id="7226" w:name="_Caption0317"/>
      <w:bookmarkStart w:id="7227" w:name="_Caption5121"/>
      <w:bookmarkStart w:id="7228" w:name="_Caption9053"/>
      <w:bookmarkStart w:id="7229" w:name="_Caption3645"/>
      <w:bookmarkStart w:id="7230" w:name="_Caption0918"/>
      <w:bookmarkStart w:id="7231" w:name="_Caption4166"/>
      <w:bookmarkStart w:id="7232" w:name="_Caption7359"/>
      <w:bookmarkStart w:id="7233" w:name="_Caption6165"/>
      <w:bookmarkStart w:id="7234" w:name="_Caption9756"/>
      <w:bookmarkStart w:id="7235" w:name="_Caption6530"/>
      <w:bookmarkStart w:id="7236" w:name="_Caption4503"/>
      <w:bookmarkStart w:id="7237" w:name="_Caption8457"/>
      <w:bookmarkStart w:id="7238" w:name="_Caption7521"/>
      <w:bookmarkStart w:id="7239" w:name="_Caption1552"/>
      <w:bookmarkStart w:id="7240" w:name="_Caption4953"/>
      <w:bookmarkStart w:id="7241" w:name="_Caption5348"/>
      <w:bookmarkStart w:id="7242" w:name="_Caption2468"/>
      <w:bookmarkStart w:id="7243" w:name="_Caption1957"/>
      <w:bookmarkStart w:id="7244" w:name="_Caption7428"/>
      <w:bookmarkStart w:id="7245" w:name="_Caption6118"/>
      <w:bookmarkStart w:id="7246" w:name="_Caption5503"/>
      <w:bookmarkStart w:id="7247" w:name="_Caption7173"/>
      <w:bookmarkStart w:id="7248" w:name="_Caption6768"/>
      <w:bookmarkStart w:id="7249" w:name="_Caption4679"/>
      <w:bookmarkStart w:id="7250" w:name="_Caption3734"/>
      <w:bookmarkStart w:id="7251" w:name="_Caption6145"/>
      <w:bookmarkStart w:id="7252" w:name="_Caption3190"/>
      <w:bookmarkStart w:id="7253" w:name="_Caption3823"/>
      <w:bookmarkStart w:id="7254" w:name="_Caption1068"/>
      <w:bookmarkStart w:id="7255" w:name="_Toc32321880"/>
      <w:bookmarkStart w:id="7256" w:name="_Toc44598589"/>
      <w:bookmarkStart w:id="7257" w:name="_Toc45654220"/>
      <w:r w:rsidR="00272AF3">
        <w:rPr>
          <w:noProof/>
        </w:rPr>
        <w:t>F</w:t>
      </w:r>
      <w:r w:rsidR="00272AF3" w:rsidRPr="00695C93">
        <w:rPr>
          <w:noProof/>
        </w:rPr>
        <w:t>.</w:t>
      </w:r>
      <w:r w:rsidR="00272AF3">
        <w:rPr>
          <w:noProof/>
        </w:rPr>
        <w:t>2</w:t>
      </w:r>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r w:rsidRPr="00695C93">
        <w:fldChar w:fldCharType="end"/>
      </w:r>
      <w:r w:rsidRPr="00695C93">
        <w:tab/>
      </w:r>
      <w:r>
        <w:t>Reason given for not leaving home as often as one would like</w:t>
      </w:r>
      <w:bookmarkEnd w:id="7255"/>
      <w:bookmarkEnd w:id="7256"/>
      <w:bookmarkEnd w:id="7257"/>
    </w:p>
    <w:tbl>
      <w:tblPr>
        <w:tblStyle w:val="TableGridLight"/>
        <w:tblW w:w="8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2"/>
        <w:tblDescription w:val="Reason given for not leaving home as often as one would like"/>
      </w:tblPr>
      <w:tblGrid>
        <w:gridCol w:w="2694"/>
        <w:gridCol w:w="992"/>
        <w:gridCol w:w="850"/>
        <w:gridCol w:w="993"/>
        <w:gridCol w:w="708"/>
        <w:gridCol w:w="851"/>
        <w:gridCol w:w="1051"/>
      </w:tblGrid>
      <w:tr w:rsidR="007C6A5F" w:rsidRPr="00E8116F" w:rsidTr="00B70DD7">
        <w:trPr>
          <w:trHeight w:val="252"/>
          <w:tblHeader/>
        </w:trPr>
        <w:tc>
          <w:tcPr>
            <w:tcW w:w="2694" w:type="dxa"/>
            <w:shd w:val="clear" w:color="auto" w:fill="6F6652" w:themeFill="accent5"/>
            <w:noWrap/>
            <w:hideMark/>
          </w:tcPr>
          <w:p w:rsidR="007C6A5F" w:rsidRPr="00E8116F" w:rsidRDefault="00722469" w:rsidP="00C36DA4">
            <w:pPr>
              <w:pStyle w:val="TableHeading1"/>
              <w:rPr>
                <w:color w:val="FFFFFF" w:themeColor="background1"/>
              </w:rPr>
            </w:pPr>
            <w:r>
              <w:rPr>
                <w:color w:val="FFFFFF" w:themeColor="background1"/>
              </w:rPr>
              <w:t>Reason for not leaving home</w:t>
            </w:r>
          </w:p>
        </w:tc>
        <w:tc>
          <w:tcPr>
            <w:tcW w:w="992" w:type="dxa"/>
            <w:shd w:val="clear" w:color="auto" w:fill="6F6652" w:themeFill="accent5"/>
            <w:noWrap/>
            <w:hideMark/>
          </w:tcPr>
          <w:p w:rsidR="007C6A5F" w:rsidRDefault="007C6A5F" w:rsidP="000F1718">
            <w:pPr>
              <w:pStyle w:val="TableHeading1"/>
              <w:jc w:val="right"/>
              <w:rPr>
                <w:color w:val="FFFFFF" w:themeColor="background1"/>
              </w:rPr>
            </w:pPr>
            <w:r w:rsidRPr="00E8116F">
              <w:rPr>
                <w:color w:val="FFFFFF" w:themeColor="background1"/>
              </w:rPr>
              <w:t>Profound</w:t>
            </w:r>
          </w:p>
          <w:p w:rsidR="000D6D12" w:rsidRPr="000D6D12" w:rsidRDefault="000D6D12" w:rsidP="000D6D12">
            <w:pPr>
              <w:pStyle w:val="TableTextEntries"/>
              <w:jc w:val="right"/>
              <w:rPr>
                <w:rFonts w:ascii="Franklin Gothic Demi" w:hAnsi="Franklin Gothic Demi"/>
                <w:color w:val="FFFFFF" w:themeColor="background1"/>
              </w:rPr>
            </w:pPr>
            <w:r w:rsidRPr="000D6D12">
              <w:rPr>
                <w:rFonts w:ascii="Franklin Gothic Demi" w:hAnsi="Franklin Gothic Demi"/>
                <w:color w:val="FFFFFF" w:themeColor="background1"/>
              </w:rPr>
              <w:t>(‘000)</w:t>
            </w:r>
          </w:p>
          <w:p w:rsidR="000D6D12" w:rsidRPr="000D6D12" w:rsidRDefault="000D6D12" w:rsidP="000D6D12">
            <w:pPr>
              <w:pStyle w:val="TableTextEntries"/>
              <w:jc w:val="right"/>
            </w:pPr>
          </w:p>
        </w:tc>
        <w:tc>
          <w:tcPr>
            <w:tcW w:w="850" w:type="dxa"/>
            <w:shd w:val="clear" w:color="auto" w:fill="6F6652" w:themeFill="accent5"/>
            <w:noWrap/>
            <w:hideMark/>
          </w:tcPr>
          <w:p w:rsidR="007C6A5F" w:rsidRDefault="007C6A5F" w:rsidP="000F1718">
            <w:pPr>
              <w:pStyle w:val="TableHeading1"/>
              <w:jc w:val="right"/>
              <w:rPr>
                <w:color w:val="FFFFFF" w:themeColor="background1"/>
              </w:rPr>
            </w:pPr>
            <w:r w:rsidRPr="00E8116F">
              <w:rPr>
                <w:color w:val="FFFFFF" w:themeColor="background1"/>
              </w:rPr>
              <w:t>Severe</w:t>
            </w:r>
          </w:p>
          <w:p w:rsidR="000D6D12" w:rsidRPr="000D6D12" w:rsidRDefault="000D6D12" w:rsidP="000D6D12">
            <w:pPr>
              <w:pStyle w:val="TableTextEntries"/>
              <w:jc w:val="right"/>
              <w:rPr>
                <w:rFonts w:ascii="Franklin Gothic Demi" w:hAnsi="Franklin Gothic Demi"/>
                <w:color w:val="FFFFFF" w:themeColor="background1"/>
              </w:rPr>
            </w:pPr>
            <w:r w:rsidRPr="000D6D12">
              <w:rPr>
                <w:rFonts w:ascii="Franklin Gothic Demi" w:hAnsi="Franklin Gothic Demi"/>
                <w:color w:val="FFFFFF" w:themeColor="background1"/>
              </w:rPr>
              <w:t>(‘000)</w:t>
            </w:r>
          </w:p>
          <w:p w:rsidR="000D6D12" w:rsidRPr="000D6D12" w:rsidRDefault="000D6D12" w:rsidP="000D6D12">
            <w:pPr>
              <w:pStyle w:val="TableTextEntries"/>
              <w:jc w:val="right"/>
            </w:pPr>
          </w:p>
        </w:tc>
        <w:tc>
          <w:tcPr>
            <w:tcW w:w="993" w:type="dxa"/>
            <w:shd w:val="clear" w:color="auto" w:fill="6F6652" w:themeFill="accent5"/>
            <w:noWrap/>
            <w:hideMark/>
          </w:tcPr>
          <w:p w:rsidR="007C6A5F" w:rsidRDefault="007C6A5F" w:rsidP="000F1718">
            <w:pPr>
              <w:pStyle w:val="TableHeading1"/>
              <w:jc w:val="right"/>
              <w:rPr>
                <w:color w:val="FFFFFF" w:themeColor="background1"/>
              </w:rPr>
            </w:pPr>
            <w:r w:rsidRPr="00E8116F">
              <w:rPr>
                <w:color w:val="FFFFFF" w:themeColor="background1"/>
              </w:rPr>
              <w:t>Moderate</w:t>
            </w:r>
          </w:p>
          <w:p w:rsidR="000D6D12" w:rsidRPr="000D6D12" w:rsidRDefault="000D6D12" w:rsidP="000D6D12">
            <w:pPr>
              <w:pStyle w:val="TableTextEntries"/>
              <w:jc w:val="right"/>
              <w:rPr>
                <w:rFonts w:ascii="Franklin Gothic Demi" w:hAnsi="Franklin Gothic Demi"/>
                <w:color w:val="FFFFFF" w:themeColor="background1"/>
              </w:rPr>
            </w:pPr>
            <w:r w:rsidRPr="000D6D12">
              <w:rPr>
                <w:rFonts w:ascii="Franklin Gothic Demi" w:hAnsi="Franklin Gothic Demi"/>
                <w:color w:val="FFFFFF" w:themeColor="background1"/>
              </w:rPr>
              <w:t>(‘000)</w:t>
            </w:r>
          </w:p>
          <w:p w:rsidR="000D6D12" w:rsidRPr="000D6D12" w:rsidRDefault="000D6D12" w:rsidP="000D6D12">
            <w:pPr>
              <w:pStyle w:val="TableTextEntries"/>
              <w:jc w:val="right"/>
            </w:pPr>
          </w:p>
        </w:tc>
        <w:tc>
          <w:tcPr>
            <w:tcW w:w="708" w:type="dxa"/>
            <w:shd w:val="clear" w:color="auto" w:fill="6F6652" w:themeFill="accent5"/>
            <w:noWrap/>
            <w:hideMark/>
          </w:tcPr>
          <w:p w:rsidR="007C6A5F" w:rsidRDefault="007C6A5F" w:rsidP="000F1718">
            <w:pPr>
              <w:pStyle w:val="TableHeading1"/>
              <w:jc w:val="right"/>
              <w:rPr>
                <w:color w:val="FFFFFF" w:themeColor="background1"/>
              </w:rPr>
            </w:pPr>
            <w:r w:rsidRPr="00E8116F">
              <w:rPr>
                <w:color w:val="FFFFFF" w:themeColor="background1"/>
              </w:rPr>
              <w:t>Mild</w:t>
            </w:r>
          </w:p>
          <w:p w:rsidR="000D6D12" w:rsidRPr="000D6D12" w:rsidRDefault="000D6D12" w:rsidP="000D6D12">
            <w:pPr>
              <w:pStyle w:val="TableTextEntries"/>
              <w:jc w:val="right"/>
              <w:rPr>
                <w:rFonts w:ascii="Franklin Gothic Demi" w:hAnsi="Franklin Gothic Demi"/>
                <w:color w:val="FFFFFF" w:themeColor="background1"/>
              </w:rPr>
            </w:pPr>
            <w:r w:rsidRPr="000D6D12">
              <w:rPr>
                <w:rFonts w:ascii="Franklin Gothic Demi" w:hAnsi="Franklin Gothic Demi"/>
                <w:color w:val="FFFFFF" w:themeColor="background1"/>
              </w:rPr>
              <w:t>(‘000)</w:t>
            </w:r>
          </w:p>
          <w:p w:rsidR="000D6D12" w:rsidRPr="000D6D12" w:rsidRDefault="000D6D12" w:rsidP="000D6D12">
            <w:pPr>
              <w:pStyle w:val="TableTextEntries"/>
              <w:jc w:val="right"/>
            </w:pPr>
          </w:p>
        </w:tc>
        <w:tc>
          <w:tcPr>
            <w:tcW w:w="851" w:type="dxa"/>
            <w:shd w:val="clear" w:color="auto" w:fill="6F6652" w:themeFill="accent5"/>
            <w:noWrap/>
            <w:hideMark/>
          </w:tcPr>
          <w:p w:rsidR="007C6A5F" w:rsidRDefault="007C6A5F" w:rsidP="000F1718">
            <w:pPr>
              <w:pStyle w:val="TableHeading1"/>
              <w:jc w:val="right"/>
              <w:rPr>
                <w:color w:val="FFFFFF" w:themeColor="background1"/>
              </w:rPr>
            </w:pPr>
            <w:r w:rsidRPr="00E8116F">
              <w:rPr>
                <w:color w:val="FFFFFF" w:themeColor="background1"/>
              </w:rPr>
              <w:t>Total</w:t>
            </w:r>
          </w:p>
          <w:p w:rsidR="000D6D12" w:rsidRPr="000D6D12" w:rsidRDefault="000D6D12" w:rsidP="000D6D12">
            <w:pPr>
              <w:pStyle w:val="TableTextEntries"/>
              <w:jc w:val="right"/>
              <w:rPr>
                <w:rFonts w:ascii="Franklin Gothic Demi" w:hAnsi="Franklin Gothic Demi"/>
                <w:color w:val="FFFFFF" w:themeColor="background1"/>
              </w:rPr>
            </w:pPr>
            <w:r w:rsidRPr="000D6D12">
              <w:rPr>
                <w:rFonts w:ascii="Franklin Gothic Demi" w:hAnsi="Franklin Gothic Demi"/>
                <w:color w:val="FFFFFF" w:themeColor="background1"/>
              </w:rPr>
              <w:t>(‘000)</w:t>
            </w:r>
          </w:p>
          <w:p w:rsidR="000D6D12" w:rsidRPr="000D6D12" w:rsidRDefault="000D6D12" w:rsidP="000D6D12">
            <w:pPr>
              <w:pStyle w:val="TableTextEntries"/>
              <w:jc w:val="right"/>
            </w:pPr>
          </w:p>
        </w:tc>
        <w:tc>
          <w:tcPr>
            <w:tcW w:w="1051" w:type="dxa"/>
            <w:shd w:val="clear" w:color="auto" w:fill="6F6652" w:themeFill="accent5"/>
            <w:noWrap/>
            <w:hideMark/>
          </w:tcPr>
          <w:p w:rsidR="007C6A5F" w:rsidRDefault="007C6A5F" w:rsidP="000F1718">
            <w:pPr>
              <w:pStyle w:val="TableHeading1"/>
              <w:jc w:val="right"/>
              <w:rPr>
                <w:color w:val="FFFFFF" w:themeColor="background1"/>
              </w:rPr>
            </w:pPr>
            <w:r w:rsidRPr="00E8116F">
              <w:rPr>
                <w:color w:val="FFFFFF" w:themeColor="background1"/>
              </w:rPr>
              <w:t>Share of people with a mobility limitation</w:t>
            </w:r>
          </w:p>
          <w:p w:rsidR="000D6D12" w:rsidRPr="000D6D12" w:rsidRDefault="000D6D12" w:rsidP="000D6D12">
            <w:pPr>
              <w:pStyle w:val="TableTextEntries"/>
              <w:jc w:val="right"/>
              <w:rPr>
                <w:rFonts w:ascii="Franklin Gothic Demi" w:hAnsi="Franklin Gothic Demi"/>
                <w:color w:val="FFFFFF" w:themeColor="background1"/>
              </w:rPr>
            </w:pPr>
            <w:r w:rsidRPr="000D6D12">
              <w:rPr>
                <w:rFonts w:ascii="Franklin Gothic Demi" w:hAnsi="Franklin Gothic Demi"/>
                <w:color w:val="FFFFFF" w:themeColor="background1"/>
              </w:rPr>
              <w:t>(</w:t>
            </w:r>
            <w:r>
              <w:rPr>
                <w:rFonts w:ascii="Franklin Gothic Demi" w:hAnsi="Franklin Gothic Demi"/>
                <w:color w:val="FFFFFF" w:themeColor="background1"/>
              </w:rPr>
              <w:t>Per cent</w:t>
            </w:r>
            <w:r w:rsidRPr="000D6D12">
              <w:rPr>
                <w:rFonts w:ascii="Franklin Gothic Demi" w:hAnsi="Franklin Gothic Demi"/>
                <w:color w:val="FFFFFF" w:themeColor="background1"/>
              </w:rPr>
              <w:t>)</w:t>
            </w:r>
          </w:p>
        </w:tc>
      </w:tr>
      <w:tr w:rsidR="007C6A5F" w:rsidRPr="001E0D72" w:rsidTr="000D6D12">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Unit"/>
              <w:jc w:val="left"/>
            </w:pPr>
            <w:r w:rsidRPr="001E0D72">
              <w:t>Could not be bothered/nowhere to go</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0F1718">
            <w:pPr>
              <w:pStyle w:val="TableUnit"/>
            </w:pPr>
            <w:r w:rsidRPr="001E0D72">
              <w:t>13.4</w:t>
            </w:r>
          </w:p>
        </w:tc>
        <w:tc>
          <w:tcPr>
            <w:tcW w:w="850"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Unit"/>
            </w:pPr>
            <w:r w:rsidRPr="001E0D72">
              <w:t>6.2</w:t>
            </w:r>
          </w:p>
        </w:tc>
        <w:tc>
          <w:tcPr>
            <w:tcW w:w="993"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Unit"/>
            </w:pPr>
            <w:r w:rsidRPr="001E0D72">
              <w:t>10.4</w:t>
            </w:r>
          </w:p>
        </w:tc>
        <w:tc>
          <w:tcPr>
            <w:tcW w:w="708"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Unit"/>
            </w:pPr>
            <w:r w:rsidRPr="001E0D72">
              <w:t>28.6</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Unit"/>
            </w:pPr>
            <w:r w:rsidRPr="001E0D72">
              <w:t>58.6</w:t>
            </w:r>
          </w:p>
        </w:tc>
        <w:tc>
          <w:tcPr>
            <w:tcW w:w="10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Unit"/>
            </w:pPr>
            <w:r w:rsidRPr="001E0D72">
              <w:t>2.0</w:t>
            </w:r>
          </w:p>
        </w:tc>
      </w:tr>
      <w:tr w:rsidR="007C6A5F" w:rsidRPr="001E0D72" w:rsidTr="000D6D12">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jc w:val="left"/>
            </w:pPr>
            <w:r w:rsidRPr="001E0D72">
              <w:t>Cost/can't afford to</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0F1718">
            <w:pPr>
              <w:pStyle w:val="TableDataEntries"/>
            </w:pPr>
            <w:r w:rsidRPr="001E0D72">
              <w:t>5.1</w:t>
            </w:r>
          </w:p>
        </w:tc>
        <w:tc>
          <w:tcPr>
            <w:tcW w:w="850"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10.6</w:t>
            </w:r>
          </w:p>
        </w:tc>
        <w:tc>
          <w:tcPr>
            <w:tcW w:w="993"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16</w:t>
            </w:r>
          </w:p>
        </w:tc>
        <w:tc>
          <w:tcPr>
            <w:tcW w:w="708"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36.5</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68.2</w:t>
            </w:r>
          </w:p>
        </w:tc>
        <w:tc>
          <w:tcPr>
            <w:tcW w:w="10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2.3</w:t>
            </w:r>
          </w:p>
        </w:tc>
      </w:tr>
      <w:tr w:rsidR="007C6A5F" w:rsidRPr="001F224E" w:rsidTr="000D6D12">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hideMark/>
          </w:tcPr>
          <w:p w:rsidR="007C6A5F" w:rsidRPr="001F224E" w:rsidRDefault="007C6A5F" w:rsidP="00C36DA4">
            <w:pPr>
              <w:pStyle w:val="TableDataEntries"/>
              <w:jc w:val="left"/>
              <w:rPr>
                <w:rFonts w:ascii="Franklin Gothic Demi" w:hAnsi="Franklin Gothic Demi"/>
              </w:rPr>
            </w:pPr>
            <w:r w:rsidRPr="001F224E">
              <w:rPr>
                <w:rFonts w:ascii="Franklin Gothic Demi" w:hAnsi="Franklin Gothic Demi"/>
              </w:rPr>
              <w:t>Own disability/condition</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1F224E" w:rsidRDefault="007C6A5F" w:rsidP="000F1718">
            <w:pPr>
              <w:pStyle w:val="TableDataEntries"/>
              <w:rPr>
                <w:rFonts w:ascii="Franklin Gothic Demi" w:hAnsi="Franklin Gothic Demi"/>
              </w:rPr>
            </w:pPr>
            <w:r w:rsidRPr="001F224E">
              <w:rPr>
                <w:rFonts w:ascii="Franklin Gothic Demi" w:hAnsi="Franklin Gothic Demi"/>
              </w:rPr>
              <w:t>154.7</w:t>
            </w:r>
          </w:p>
        </w:tc>
        <w:tc>
          <w:tcPr>
            <w:tcW w:w="850" w:type="dxa"/>
            <w:tcBorders>
              <w:top w:val="single" w:sz="8" w:space="0" w:color="FFFFFF" w:themeColor="background1"/>
              <w:bottom w:val="single" w:sz="8" w:space="0" w:color="FFFFFF" w:themeColor="background1"/>
            </w:tcBorders>
            <w:shd w:val="clear" w:color="auto" w:fill="E9E8E5" w:themeFill="background2"/>
            <w:noWrap/>
            <w:hideMark/>
          </w:tcPr>
          <w:p w:rsidR="007C6A5F" w:rsidRPr="001F224E" w:rsidRDefault="007C6A5F" w:rsidP="00C36DA4">
            <w:pPr>
              <w:pStyle w:val="TableDataEntries"/>
              <w:rPr>
                <w:rFonts w:ascii="Franklin Gothic Demi" w:hAnsi="Franklin Gothic Demi"/>
              </w:rPr>
            </w:pPr>
            <w:r w:rsidRPr="001F224E">
              <w:rPr>
                <w:rFonts w:ascii="Franklin Gothic Demi" w:hAnsi="Franklin Gothic Demi"/>
              </w:rPr>
              <w:t>165.7</w:t>
            </w:r>
          </w:p>
        </w:tc>
        <w:tc>
          <w:tcPr>
            <w:tcW w:w="993" w:type="dxa"/>
            <w:tcBorders>
              <w:top w:val="single" w:sz="8" w:space="0" w:color="FFFFFF" w:themeColor="background1"/>
              <w:bottom w:val="single" w:sz="8" w:space="0" w:color="FFFFFF" w:themeColor="background1"/>
            </w:tcBorders>
            <w:shd w:val="clear" w:color="auto" w:fill="E9E8E5" w:themeFill="background2"/>
            <w:noWrap/>
            <w:hideMark/>
          </w:tcPr>
          <w:p w:rsidR="007C6A5F" w:rsidRPr="001F224E" w:rsidRDefault="007C6A5F" w:rsidP="00C36DA4">
            <w:pPr>
              <w:pStyle w:val="TableDataEntries"/>
              <w:rPr>
                <w:rFonts w:ascii="Franklin Gothic Demi" w:hAnsi="Franklin Gothic Demi"/>
              </w:rPr>
            </w:pPr>
            <w:r w:rsidRPr="001F224E">
              <w:rPr>
                <w:rFonts w:ascii="Franklin Gothic Demi" w:hAnsi="Franklin Gothic Demi"/>
              </w:rPr>
              <w:t>97.5</w:t>
            </w:r>
          </w:p>
        </w:tc>
        <w:tc>
          <w:tcPr>
            <w:tcW w:w="708" w:type="dxa"/>
            <w:tcBorders>
              <w:top w:val="single" w:sz="8" w:space="0" w:color="FFFFFF" w:themeColor="background1"/>
              <w:bottom w:val="single" w:sz="8" w:space="0" w:color="FFFFFF" w:themeColor="background1"/>
            </w:tcBorders>
            <w:shd w:val="clear" w:color="auto" w:fill="E9E8E5" w:themeFill="background2"/>
            <w:noWrap/>
            <w:hideMark/>
          </w:tcPr>
          <w:p w:rsidR="007C6A5F" w:rsidRPr="001F224E" w:rsidRDefault="007C6A5F" w:rsidP="00C36DA4">
            <w:pPr>
              <w:pStyle w:val="TableDataEntries"/>
              <w:rPr>
                <w:rFonts w:ascii="Franklin Gothic Demi" w:hAnsi="Franklin Gothic Demi"/>
              </w:rPr>
            </w:pPr>
            <w:r w:rsidRPr="001F224E">
              <w:rPr>
                <w:rFonts w:ascii="Franklin Gothic Demi" w:hAnsi="Franklin Gothic Demi"/>
              </w:rPr>
              <w:t>129.7</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F224E" w:rsidRDefault="007C6A5F" w:rsidP="00C36DA4">
            <w:pPr>
              <w:pStyle w:val="TableDataEntries"/>
              <w:rPr>
                <w:rFonts w:ascii="Franklin Gothic Demi" w:hAnsi="Franklin Gothic Demi"/>
              </w:rPr>
            </w:pPr>
            <w:r w:rsidRPr="001F224E">
              <w:rPr>
                <w:rFonts w:ascii="Franklin Gothic Demi" w:hAnsi="Franklin Gothic Demi"/>
              </w:rPr>
              <w:t>547.6</w:t>
            </w:r>
          </w:p>
        </w:tc>
        <w:tc>
          <w:tcPr>
            <w:tcW w:w="10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F224E" w:rsidRDefault="007C6A5F" w:rsidP="00C36DA4">
            <w:pPr>
              <w:pStyle w:val="TableDataEntries"/>
              <w:rPr>
                <w:rFonts w:ascii="Franklin Gothic Demi" w:hAnsi="Franklin Gothic Demi"/>
              </w:rPr>
            </w:pPr>
            <w:r w:rsidRPr="001F224E">
              <w:rPr>
                <w:rFonts w:ascii="Franklin Gothic Demi" w:hAnsi="Franklin Gothic Demi"/>
              </w:rPr>
              <w:t>18.4</w:t>
            </w:r>
          </w:p>
        </w:tc>
      </w:tr>
      <w:tr w:rsidR="007C6A5F" w:rsidRPr="001E0D72" w:rsidTr="000D6D12">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jc w:val="left"/>
            </w:pPr>
            <w:r w:rsidRPr="001E0D72">
              <w:t>Another person's disability/condition</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0F1718">
            <w:pPr>
              <w:pStyle w:val="TableDataEntries"/>
            </w:pPr>
            <w:r w:rsidRPr="001E0D72">
              <w:t>5.1</w:t>
            </w:r>
          </w:p>
        </w:tc>
        <w:tc>
          <w:tcPr>
            <w:tcW w:w="850"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7.2</w:t>
            </w:r>
          </w:p>
        </w:tc>
        <w:tc>
          <w:tcPr>
            <w:tcW w:w="993"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7.1</w:t>
            </w:r>
          </w:p>
        </w:tc>
        <w:tc>
          <w:tcPr>
            <w:tcW w:w="708"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16.4</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35.8</w:t>
            </w:r>
          </w:p>
        </w:tc>
        <w:tc>
          <w:tcPr>
            <w:tcW w:w="10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1.2</w:t>
            </w:r>
          </w:p>
        </w:tc>
      </w:tr>
      <w:tr w:rsidR="007C6A5F" w:rsidRPr="001E0D72" w:rsidTr="000D6D12">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jc w:val="left"/>
            </w:pPr>
            <w:r w:rsidRPr="001E0D72">
              <w:t>Difficulty using transport</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0F1718">
            <w:pPr>
              <w:pStyle w:val="TableDataEntries"/>
            </w:pPr>
            <w:r w:rsidRPr="001E0D72">
              <w:t>1.4</w:t>
            </w:r>
          </w:p>
        </w:tc>
        <w:tc>
          <w:tcPr>
            <w:tcW w:w="850"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2.2</w:t>
            </w:r>
          </w:p>
        </w:tc>
        <w:tc>
          <w:tcPr>
            <w:tcW w:w="993"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0.9</w:t>
            </w:r>
          </w:p>
        </w:tc>
        <w:tc>
          <w:tcPr>
            <w:tcW w:w="708"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4.6</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9.1</w:t>
            </w:r>
          </w:p>
        </w:tc>
        <w:tc>
          <w:tcPr>
            <w:tcW w:w="10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0.3</w:t>
            </w:r>
          </w:p>
        </w:tc>
      </w:tr>
      <w:tr w:rsidR="007C6A5F" w:rsidRPr="001E0D72" w:rsidTr="000D6D12">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jc w:val="left"/>
            </w:pPr>
            <w:r w:rsidRPr="001E0D72">
              <w:t>Difficulty obtaining transport</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0F1718">
            <w:pPr>
              <w:pStyle w:val="TableDataEntries"/>
            </w:pPr>
            <w:r w:rsidRPr="001E0D72">
              <w:t>3.6</w:t>
            </w:r>
          </w:p>
        </w:tc>
        <w:tc>
          <w:tcPr>
            <w:tcW w:w="850"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5.6</w:t>
            </w:r>
          </w:p>
        </w:tc>
        <w:tc>
          <w:tcPr>
            <w:tcW w:w="993"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1.4</w:t>
            </w:r>
          </w:p>
        </w:tc>
        <w:tc>
          <w:tcPr>
            <w:tcW w:w="708"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7.6</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18.2</w:t>
            </w:r>
          </w:p>
        </w:tc>
        <w:tc>
          <w:tcPr>
            <w:tcW w:w="10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0.6</w:t>
            </w:r>
          </w:p>
        </w:tc>
      </w:tr>
      <w:tr w:rsidR="007C6A5F" w:rsidRPr="001E0D72" w:rsidTr="000D6D12">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jc w:val="left"/>
            </w:pPr>
            <w:r w:rsidRPr="001E0D72">
              <w:t>Children too young</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0F1718">
            <w:pPr>
              <w:pStyle w:val="TableDataEntries"/>
            </w:pPr>
            <w:r w:rsidRPr="001E0D72">
              <w:t>5.9</w:t>
            </w:r>
          </w:p>
        </w:tc>
        <w:tc>
          <w:tcPr>
            <w:tcW w:w="850"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0</w:t>
            </w:r>
          </w:p>
        </w:tc>
        <w:tc>
          <w:tcPr>
            <w:tcW w:w="993"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1.3</w:t>
            </w:r>
          </w:p>
        </w:tc>
        <w:tc>
          <w:tcPr>
            <w:tcW w:w="708"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5.8</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13</w:t>
            </w:r>
          </w:p>
        </w:tc>
        <w:tc>
          <w:tcPr>
            <w:tcW w:w="10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0.4</w:t>
            </w:r>
          </w:p>
        </w:tc>
      </w:tr>
      <w:tr w:rsidR="007C6A5F" w:rsidRPr="001F224E" w:rsidTr="000D6D12">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hideMark/>
          </w:tcPr>
          <w:p w:rsidR="007C6A5F" w:rsidRPr="001F224E" w:rsidRDefault="007C6A5F" w:rsidP="00C36DA4">
            <w:pPr>
              <w:pStyle w:val="TableDataEntries"/>
              <w:jc w:val="left"/>
              <w:rPr>
                <w:rFonts w:ascii="Franklin Gothic Demi" w:hAnsi="Franklin Gothic Demi"/>
              </w:rPr>
            </w:pPr>
            <w:r w:rsidRPr="001F224E">
              <w:rPr>
                <w:rFonts w:ascii="Franklin Gothic Demi" w:hAnsi="Franklin Gothic Demi"/>
              </w:rPr>
              <w:t>Old age/too old</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1F224E" w:rsidRDefault="007C6A5F" w:rsidP="000F1718">
            <w:pPr>
              <w:pStyle w:val="TableDataEntries"/>
              <w:rPr>
                <w:rFonts w:ascii="Franklin Gothic Demi" w:hAnsi="Franklin Gothic Demi"/>
              </w:rPr>
            </w:pPr>
            <w:r w:rsidRPr="001F224E">
              <w:rPr>
                <w:rFonts w:ascii="Franklin Gothic Demi" w:hAnsi="Franklin Gothic Demi"/>
              </w:rPr>
              <w:t>5.1</w:t>
            </w:r>
          </w:p>
        </w:tc>
        <w:tc>
          <w:tcPr>
            <w:tcW w:w="850" w:type="dxa"/>
            <w:tcBorders>
              <w:top w:val="single" w:sz="8" w:space="0" w:color="FFFFFF" w:themeColor="background1"/>
              <w:bottom w:val="single" w:sz="8" w:space="0" w:color="FFFFFF" w:themeColor="background1"/>
            </w:tcBorders>
            <w:shd w:val="clear" w:color="auto" w:fill="E9E8E5" w:themeFill="background2"/>
            <w:noWrap/>
            <w:hideMark/>
          </w:tcPr>
          <w:p w:rsidR="007C6A5F" w:rsidRPr="001F224E" w:rsidRDefault="007C6A5F" w:rsidP="00C36DA4">
            <w:pPr>
              <w:pStyle w:val="TableDataEntries"/>
              <w:rPr>
                <w:rFonts w:ascii="Franklin Gothic Demi" w:hAnsi="Franklin Gothic Demi"/>
              </w:rPr>
            </w:pPr>
            <w:r w:rsidRPr="001F224E">
              <w:rPr>
                <w:rFonts w:ascii="Franklin Gothic Demi" w:hAnsi="Franklin Gothic Demi"/>
              </w:rPr>
              <w:t>2.8</w:t>
            </w:r>
          </w:p>
        </w:tc>
        <w:tc>
          <w:tcPr>
            <w:tcW w:w="993" w:type="dxa"/>
            <w:tcBorders>
              <w:top w:val="single" w:sz="8" w:space="0" w:color="FFFFFF" w:themeColor="background1"/>
              <w:bottom w:val="single" w:sz="8" w:space="0" w:color="FFFFFF" w:themeColor="background1"/>
            </w:tcBorders>
            <w:shd w:val="clear" w:color="auto" w:fill="E9E8E5" w:themeFill="background2"/>
            <w:noWrap/>
            <w:hideMark/>
          </w:tcPr>
          <w:p w:rsidR="007C6A5F" w:rsidRPr="001F224E" w:rsidRDefault="007C6A5F" w:rsidP="00C36DA4">
            <w:pPr>
              <w:pStyle w:val="TableDataEntries"/>
              <w:rPr>
                <w:rFonts w:ascii="Franklin Gothic Demi" w:hAnsi="Franklin Gothic Demi"/>
              </w:rPr>
            </w:pPr>
            <w:r w:rsidRPr="001F224E">
              <w:rPr>
                <w:rFonts w:ascii="Franklin Gothic Demi" w:hAnsi="Franklin Gothic Demi"/>
              </w:rPr>
              <w:t>3.6</w:t>
            </w:r>
          </w:p>
        </w:tc>
        <w:tc>
          <w:tcPr>
            <w:tcW w:w="708" w:type="dxa"/>
            <w:tcBorders>
              <w:top w:val="single" w:sz="8" w:space="0" w:color="FFFFFF" w:themeColor="background1"/>
              <w:bottom w:val="single" w:sz="8" w:space="0" w:color="FFFFFF" w:themeColor="background1"/>
            </w:tcBorders>
            <w:shd w:val="clear" w:color="auto" w:fill="E9E8E5" w:themeFill="background2"/>
            <w:noWrap/>
            <w:hideMark/>
          </w:tcPr>
          <w:p w:rsidR="007C6A5F" w:rsidRPr="001F224E" w:rsidRDefault="007C6A5F" w:rsidP="00C36DA4">
            <w:pPr>
              <w:pStyle w:val="TableDataEntries"/>
              <w:rPr>
                <w:rFonts w:ascii="Franklin Gothic Demi" w:hAnsi="Franklin Gothic Demi"/>
              </w:rPr>
            </w:pPr>
            <w:r w:rsidRPr="001F224E">
              <w:rPr>
                <w:rFonts w:ascii="Franklin Gothic Demi" w:hAnsi="Franklin Gothic Demi"/>
              </w:rPr>
              <w:t>8.8</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F224E" w:rsidRDefault="007C6A5F" w:rsidP="00C36DA4">
            <w:pPr>
              <w:pStyle w:val="TableDataEntries"/>
              <w:rPr>
                <w:rFonts w:ascii="Franklin Gothic Demi" w:hAnsi="Franklin Gothic Demi"/>
              </w:rPr>
            </w:pPr>
            <w:r w:rsidRPr="001F224E">
              <w:rPr>
                <w:rFonts w:ascii="Franklin Gothic Demi" w:hAnsi="Franklin Gothic Demi"/>
              </w:rPr>
              <w:t>20.3</w:t>
            </w:r>
          </w:p>
        </w:tc>
        <w:tc>
          <w:tcPr>
            <w:tcW w:w="10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F224E" w:rsidRDefault="007C6A5F" w:rsidP="00C36DA4">
            <w:pPr>
              <w:pStyle w:val="TableDataEntries"/>
              <w:rPr>
                <w:rFonts w:ascii="Franklin Gothic Demi" w:hAnsi="Franklin Gothic Demi"/>
              </w:rPr>
            </w:pPr>
            <w:r w:rsidRPr="001F224E">
              <w:rPr>
                <w:rFonts w:ascii="Franklin Gothic Demi" w:hAnsi="Franklin Gothic Demi"/>
              </w:rPr>
              <w:t>0.7</w:t>
            </w:r>
          </w:p>
        </w:tc>
      </w:tr>
      <w:tr w:rsidR="007C6A5F" w:rsidRPr="001E0D72" w:rsidTr="000D6D12">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jc w:val="left"/>
            </w:pPr>
            <w:r w:rsidRPr="001E0D72">
              <w:t>Not enough time</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0F1718">
            <w:pPr>
              <w:pStyle w:val="TableDataEntries"/>
            </w:pPr>
            <w:r w:rsidRPr="001E0D72">
              <w:t>0</w:t>
            </w:r>
          </w:p>
        </w:tc>
        <w:tc>
          <w:tcPr>
            <w:tcW w:w="850"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0</w:t>
            </w:r>
          </w:p>
        </w:tc>
        <w:tc>
          <w:tcPr>
            <w:tcW w:w="993"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2</w:t>
            </w:r>
          </w:p>
        </w:tc>
        <w:tc>
          <w:tcPr>
            <w:tcW w:w="708"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9.4</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11.4</w:t>
            </w:r>
          </w:p>
        </w:tc>
        <w:tc>
          <w:tcPr>
            <w:tcW w:w="10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0.4</w:t>
            </w:r>
          </w:p>
        </w:tc>
      </w:tr>
      <w:tr w:rsidR="007C6A5F" w:rsidRPr="001E0D72" w:rsidTr="000D6D12">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jc w:val="left"/>
            </w:pPr>
            <w:r w:rsidRPr="001E0D72">
              <w:t>No carer to go with</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0F1718">
            <w:pPr>
              <w:pStyle w:val="TableDataEntries"/>
            </w:pPr>
            <w:r w:rsidRPr="001E0D72">
              <w:t>15.7</w:t>
            </w:r>
          </w:p>
        </w:tc>
        <w:tc>
          <w:tcPr>
            <w:tcW w:w="850"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4.3</w:t>
            </w:r>
          </w:p>
        </w:tc>
        <w:tc>
          <w:tcPr>
            <w:tcW w:w="993"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0</w:t>
            </w:r>
          </w:p>
        </w:tc>
        <w:tc>
          <w:tcPr>
            <w:tcW w:w="708"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2.2</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22.2</w:t>
            </w:r>
          </w:p>
        </w:tc>
        <w:tc>
          <w:tcPr>
            <w:tcW w:w="10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0.7</w:t>
            </w:r>
          </w:p>
        </w:tc>
      </w:tr>
      <w:tr w:rsidR="007C6A5F" w:rsidRPr="001E0D72" w:rsidTr="000D6D12">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jc w:val="left"/>
            </w:pPr>
            <w:r w:rsidRPr="001E0D72">
              <w:t>No one to go with as a companion</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0F1718">
            <w:pPr>
              <w:pStyle w:val="TableDataEntries"/>
            </w:pPr>
            <w:r w:rsidRPr="001E0D72">
              <w:t>6.2</w:t>
            </w:r>
          </w:p>
        </w:tc>
        <w:tc>
          <w:tcPr>
            <w:tcW w:w="850"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3.4</w:t>
            </w:r>
          </w:p>
        </w:tc>
        <w:tc>
          <w:tcPr>
            <w:tcW w:w="993"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1.3</w:t>
            </w:r>
          </w:p>
        </w:tc>
        <w:tc>
          <w:tcPr>
            <w:tcW w:w="708"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10.9</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21.8</w:t>
            </w:r>
          </w:p>
        </w:tc>
        <w:tc>
          <w:tcPr>
            <w:tcW w:w="10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0.7</w:t>
            </w:r>
          </w:p>
        </w:tc>
      </w:tr>
      <w:tr w:rsidR="007C6A5F" w:rsidRPr="001E0D72" w:rsidTr="000D6D12">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jc w:val="left"/>
            </w:pPr>
            <w:r w:rsidRPr="001E0D72">
              <w:t>Fear/anxiety</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0F1718">
            <w:pPr>
              <w:pStyle w:val="TableDataEntries"/>
            </w:pPr>
            <w:r w:rsidRPr="001E0D72">
              <w:t>16.9</w:t>
            </w:r>
          </w:p>
        </w:tc>
        <w:tc>
          <w:tcPr>
            <w:tcW w:w="850"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25.7</w:t>
            </w:r>
          </w:p>
        </w:tc>
        <w:tc>
          <w:tcPr>
            <w:tcW w:w="993"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11.2</w:t>
            </w:r>
          </w:p>
        </w:tc>
        <w:tc>
          <w:tcPr>
            <w:tcW w:w="708"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38.3</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92.1</w:t>
            </w:r>
          </w:p>
        </w:tc>
        <w:tc>
          <w:tcPr>
            <w:tcW w:w="10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3.1</w:t>
            </w:r>
          </w:p>
        </w:tc>
      </w:tr>
      <w:tr w:rsidR="007C6A5F" w:rsidRPr="001E0D72" w:rsidTr="000D6D12">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jc w:val="left"/>
            </w:pPr>
            <w:r w:rsidRPr="001E0D72">
              <w:t>Other</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0F1718">
            <w:pPr>
              <w:pStyle w:val="TableDataEntries"/>
            </w:pPr>
            <w:r w:rsidRPr="001E0D72">
              <w:t>7.4</w:t>
            </w:r>
          </w:p>
        </w:tc>
        <w:tc>
          <w:tcPr>
            <w:tcW w:w="850"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7.4</w:t>
            </w:r>
          </w:p>
        </w:tc>
        <w:tc>
          <w:tcPr>
            <w:tcW w:w="993"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6</w:t>
            </w:r>
          </w:p>
        </w:tc>
        <w:tc>
          <w:tcPr>
            <w:tcW w:w="708"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22.5</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43.3</w:t>
            </w:r>
          </w:p>
        </w:tc>
        <w:tc>
          <w:tcPr>
            <w:tcW w:w="1051" w:type="dxa"/>
            <w:tcBorders>
              <w:top w:val="single" w:sz="8" w:space="0" w:color="FFFFFF" w:themeColor="background1"/>
              <w:bottom w:val="single" w:sz="8" w:space="0" w:color="FFFFFF" w:themeColor="background1"/>
            </w:tcBorders>
            <w:shd w:val="clear" w:color="auto" w:fill="E9E8E5" w:themeFill="background2"/>
            <w:noWrap/>
            <w:hideMark/>
          </w:tcPr>
          <w:p w:rsidR="007C6A5F" w:rsidRPr="001E0D72" w:rsidRDefault="007C6A5F" w:rsidP="00C36DA4">
            <w:pPr>
              <w:pStyle w:val="TableDataEntries"/>
            </w:pPr>
            <w:r w:rsidRPr="001E0D72">
              <w:t>1.5</w:t>
            </w:r>
          </w:p>
        </w:tc>
      </w:tr>
      <w:tr w:rsidR="007C6A5F" w:rsidRPr="005901F6" w:rsidTr="000D6D12">
        <w:trPr>
          <w:trHeight w:val="252"/>
        </w:trPr>
        <w:tc>
          <w:tcPr>
            <w:tcW w:w="2694"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901F6" w:rsidRDefault="007C6A5F" w:rsidP="00C36DA4">
            <w:pPr>
              <w:pStyle w:val="TableDataEntries"/>
              <w:jc w:val="left"/>
              <w:rPr>
                <w:rFonts w:ascii="Franklin Gothic Demi" w:hAnsi="Franklin Gothic Demi"/>
              </w:rPr>
            </w:pPr>
            <w:r w:rsidRPr="005901F6">
              <w:rPr>
                <w:rFonts w:ascii="Franklin Gothic Demi" w:hAnsi="Franklin Gothic Demi"/>
              </w:rPr>
              <w:t>Total</w:t>
            </w:r>
          </w:p>
        </w:tc>
        <w:tc>
          <w:tcPr>
            <w:tcW w:w="992"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901F6" w:rsidRDefault="007C6A5F" w:rsidP="000F1718">
            <w:pPr>
              <w:pStyle w:val="TableDataEntries"/>
              <w:rPr>
                <w:rFonts w:ascii="Franklin Gothic Demi" w:hAnsi="Franklin Gothic Demi"/>
              </w:rPr>
            </w:pPr>
            <w:r w:rsidRPr="005901F6">
              <w:rPr>
                <w:rFonts w:ascii="Franklin Gothic Demi" w:hAnsi="Franklin Gothic Demi"/>
              </w:rPr>
              <w:t>240.5</w:t>
            </w:r>
          </w:p>
        </w:tc>
        <w:tc>
          <w:tcPr>
            <w:tcW w:w="850"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901F6" w:rsidRDefault="007C6A5F" w:rsidP="00C36DA4">
            <w:pPr>
              <w:pStyle w:val="TableDataEntries"/>
              <w:rPr>
                <w:rFonts w:ascii="Franklin Gothic Demi" w:hAnsi="Franklin Gothic Demi"/>
              </w:rPr>
            </w:pPr>
            <w:r w:rsidRPr="005901F6">
              <w:rPr>
                <w:rFonts w:ascii="Franklin Gothic Demi" w:hAnsi="Franklin Gothic Demi"/>
              </w:rPr>
              <w:t>241.1</w:t>
            </w:r>
          </w:p>
        </w:tc>
        <w:tc>
          <w:tcPr>
            <w:tcW w:w="993"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901F6" w:rsidRDefault="007C6A5F" w:rsidP="00C36DA4">
            <w:pPr>
              <w:pStyle w:val="TableDataEntries"/>
              <w:rPr>
                <w:rFonts w:ascii="Franklin Gothic Demi" w:hAnsi="Franklin Gothic Demi"/>
              </w:rPr>
            </w:pPr>
            <w:r w:rsidRPr="005901F6">
              <w:rPr>
                <w:rFonts w:ascii="Franklin Gothic Demi" w:hAnsi="Franklin Gothic Demi"/>
              </w:rPr>
              <w:t>158.7</w:t>
            </w:r>
          </w:p>
        </w:tc>
        <w:tc>
          <w:tcPr>
            <w:tcW w:w="708"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901F6" w:rsidRDefault="007C6A5F" w:rsidP="00C36DA4">
            <w:pPr>
              <w:pStyle w:val="TableDataEntries"/>
              <w:rPr>
                <w:rFonts w:ascii="Franklin Gothic Demi" w:hAnsi="Franklin Gothic Demi"/>
              </w:rPr>
            </w:pPr>
            <w:r w:rsidRPr="005901F6">
              <w:rPr>
                <w:rFonts w:ascii="Franklin Gothic Demi" w:hAnsi="Franklin Gothic Demi"/>
              </w:rPr>
              <w:t>321.3</w:t>
            </w:r>
          </w:p>
        </w:tc>
        <w:tc>
          <w:tcPr>
            <w:tcW w:w="851"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901F6" w:rsidRDefault="007C6A5F" w:rsidP="00C36DA4">
            <w:pPr>
              <w:pStyle w:val="TableDataEntries"/>
              <w:rPr>
                <w:rFonts w:ascii="Franklin Gothic Demi" w:hAnsi="Franklin Gothic Demi"/>
              </w:rPr>
            </w:pPr>
            <w:r w:rsidRPr="005901F6">
              <w:rPr>
                <w:rFonts w:ascii="Franklin Gothic Demi" w:hAnsi="Franklin Gothic Demi"/>
              </w:rPr>
              <w:t>961.6</w:t>
            </w:r>
          </w:p>
        </w:tc>
        <w:tc>
          <w:tcPr>
            <w:tcW w:w="1051"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901F6" w:rsidRDefault="007C6A5F" w:rsidP="00C36DA4">
            <w:pPr>
              <w:pStyle w:val="TableDataEntries"/>
              <w:rPr>
                <w:rFonts w:ascii="Franklin Gothic Demi" w:hAnsi="Franklin Gothic Demi"/>
              </w:rPr>
            </w:pPr>
            <w:r w:rsidRPr="005901F6">
              <w:rPr>
                <w:rFonts w:ascii="Franklin Gothic Demi" w:hAnsi="Franklin Gothic Demi"/>
              </w:rPr>
              <w:t>32.2</w:t>
            </w:r>
          </w:p>
        </w:tc>
      </w:tr>
    </w:tbl>
    <w:p w:rsidR="007C6A5F" w:rsidRDefault="007C6A5F" w:rsidP="007C6A5F">
      <w:pPr>
        <w:pStyle w:val="Source"/>
      </w:pPr>
      <w:r>
        <w:rPr>
          <w:i/>
        </w:rPr>
        <w:t>Source</w:t>
      </w:r>
      <w:r w:rsidRPr="00E4232C">
        <w:rPr>
          <w:i/>
        </w:rPr>
        <w:t>:</w:t>
      </w:r>
      <w:r>
        <w:t xml:space="preserve"> 2018 ABS Survey of Disability, Ageing and Carers. </w:t>
      </w:r>
    </w:p>
    <w:p w:rsidR="007C6A5F" w:rsidRDefault="007C6A5F" w:rsidP="007C6A5F">
      <w:pPr>
        <w:pStyle w:val="BodyText"/>
        <w:rPr>
          <w:lang w:bidi="fa-IR"/>
        </w:rPr>
      </w:pPr>
      <w:r>
        <w:rPr>
          <w:lang w:bidi="fa-IR"/>
        </w:rPr>
        <w:t>A relevant indicator of social isolation is the frequency of contact with family/friends outside the dwelling.</w:t>
      </w:r>
    </w:p>
    <w:p w:rsidR="007C6A5F" w:rsidRDefault="007C6A5F" w:rsidP="005A6F87">
      <w:pPr>
        <w:pStyle w:val="ListBullet"/>
        <w:numPr>
          <w:ilvl w:val="0"/>
          <w:numId w:val="17"/>
        </w:numPr>
        <w:rPr>
          <w:lang w:bidi="fa-IR"/>
        </w:rPr>
      </w:pPr>
      <w:r>
        <w:rPr>
          <w:lang w:bidi="fa-IR"/>
        </w:rPr>
        <w:lastRenderedPageBreak/>
        <w:t>According to 2018 SDAC data, around 60 per cent of people who do not leave the house as frequently as they would like due to their own disability or age, nevertheless had contact with family or friends not living in the same household in the last week.</w:t>
      </w:r>
    </w:p>
    <w:p w:rsidR="007C6A5F" w:rsidRDefault="007C6A5F" w:rsidP="005A6F87">
      <w:pPr>
        <w:pStyle w:val="ListBullet"/>
        <w:numPr>
          <w:ilvl w:val="0"/>
          <w:numId w:val="17"/>
        </w:numPr>
        <w:rPr>
          <w:lang w:bidi="fa-IR"/>
        </w:rPr>
      </w:pPr>
      <w:r>
        <w:rPr>
          <w:lang w:bidi="fa-IR"/>
        </w:rPr>
        <w:t>Around 80 per cent of these people had contact with family/friends not living in the same household in the last month.</w:t>
      </w:r>
    </w:p>
    <w:p w:rsidR="007C6A5F" w:rsidRDefault="007C6A5F" w:rsidP="005A6F87">
      <w:pPr>
        <w:pStyle w:val="ListBullet"/>
        <w:numPr>
          <w:ilvl w:val="0"/>
          <w:numId w:val="17"/>
        </w:numPr>
        <w:rPr>
          <w:lang w:bidi="fa-IR"/>
        </w:rPr>
      </w:pPr>
      <w:r>
        <w:rPr>
          <w:lang w:bidi="fa-IR"/>
        </w:rPr>
        <w:t>Around 78 400 had not had contact with family/friends not living in the same household in the last month (table </w:t>
      </w:r>
      <w:r>
        <w:rPr>
          <w:lang w:bidi="fa-IR"/>
        </w:rPr>
        <w:fldChar w:fldCharType="begin"/>
      </w:r>
      <w:r>
        <w:rPr>
          <w:lang w:bidi="fa-IR"/>
        </w:rPr>
        <w:instrText xml:space="preserve"> REF _Caption6814 </w:instrText>
      </w:r>
      <w:r>
        <w:rPr>
          <w:lang w:bidi="fa-IR"/>
        </w:rPr>
        <w:fldChar w:fldCharType="separate"/>
      </w:r>
      <w:r>
        <w:rPr>
          <w:noProof/>
        </w:rPr>
        <w:t>F</w:t>
      </w:r>
      <w:r w:rsidRPr="00695C93">
        <w:rPr>
          <w:noProof/>
        </w:rPr>
        <w:t>.</w:t>
      </w:r>
      <w:r>
        <w:rPr>
          <w:noProof/>
        </w:rPr>
        <w:t>3</w:t>
      </w:r>
      <w:r>
        <w:rPr>
          <w:lang w:bidi="fa-IR"/>
        </w:rPr>
        <w:fldChar w:fldCharType="end"/>
      </w:r>
      <w:r>
        <w:rPr>
          <w:lang w:bidi="fa-IR"/>
        </w:rPr>
        <w:t>).</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F</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F</w:instrText>
      </w:r>
      <w:r>
        <w:rPr>
          <w:noProof/>
        </w:rPr>
        <w:fldChar w:fldCharType="end"/>
      </w:r>
      <w:r w:rsidRPr="00695C93">
        <w:instrText xml:space="preserve">." </w:instrText>
      </w:r>
      <w:r w:rsidRPr="00695C93">
        <w:fldChar w:fldCharType="separate"/>
      </w:r>
      <w:r>
        <w:rPr>
          <w:noProof/>
        </w:rPr>
        <w:instrText>F</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F</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3</w:instrText>
      </w:r>
      <w:r w:rsidRPr="00695C93">
        <w:fldChar w:fldCharType="end"/>
      </w:r>
      <w:r w:rsidRPr="00695C93">
        <w:instrText xml:space="preserve">" "" </w:instrText>
      </w:r>
      <w:r w:rsidRPr="00695C93">
        <w:fldChar w:fldCharType="separate"/>
      </w:r>
      <w:bookmarkStart w:id="7258" w:name="_Caption7276"/>
      <w:bookmarkStart w:id="7259" w:name="_Caption2639"/>
      <w:bookmarkStart w:id="7260" w:name="_Caption1042"/>
      <w:bookmarkStart w:id="7261" w:name="_Caption3731"/>
      <w:bookmarkStart w:id="7262" w:name="_Caption5203"/>
      <w:bookmarkStart w:id="7263" w:name="_Caption0174"/>
      <w:bookmarkStart w:id="7264" w:name="_Caption7725"/>
      <w:bookmarkStart w:id="7265" w:name="_Caption7403"/>
      <w:bookmarkStart w:id="7266" w:name="_Caption9037"/>
      <w:bookmarkStart w:id="7267" w:name="_Caption7897"/>
      <w:bookmarkStart w:id="7268" w:name="_Caption0868"/>
      <w:bookmarkStart w:id="7269" w:name="_Caption9458"/>
      <w:bookmarkStart w:id="7270" w:name="_Caption6981"/>
      <w:bookmarkStart w:id="7271" w:name="_Caption5995"/>
      <w:bookmarkStart w:id="7272" w:name="_Caption2160"/>
      <w:bookmarkStart w:id="7273" w:name="_Caption0803"/>
      <w:bookmarkStart w:id="7274" w:name="_Caption8297"/>
      <w:bookmarkStart w:id="7275" w:name="_Caption1373"/>
      <w:bookmarkStart w:id="7276" w:name="_Caption1535"/>
      <w:bookmarkStart w:id="7277" w:name="_Caption2786"/>
      <w:bookmarkStart w:id="7278" w:name="_Caption9371"/>
      <w:bookmarkStart w:id="7279" w:name="_Caption2249"/>
      <w:bookmarkStart w:id="7280" w:name="_Caption8015"/>
      <w:bookmarkStart w:id="7281" w:name="_Caption4172"/>
      <w:bookmarkStart w:id="7282" w:name="_Caption0058"/>
      <w:bookmarkStart w:id="7283" w:name="_Caption9826"/>
      <w:bookmarkStart w:id="7284" w:name="_Caption5118"/>
      <w:bookmarkStart w:id="7285" w:name="_Caption8829"/>
      <w:bookmarkStart w:id="7286" w:name="_Caption6628"/>
      <w:bookmarkStart w:id="7287" w:name="_Caption6080"/>
      <w:bookmarkStart w:id="7288" w:name="_Caption7109"/>
      <w:bookmarkStart w:id="7289" w:name="_Caption5208"/>
      <w:bookmarkStart w:id="7290" w:name="_Caption2585"/>
      <w:bookmarkStart w:id="7291" w:name="_Caption6823"/>
      <w:bookmarkStart w:id="7292" w:name="_Caption9999"/>
      <w:bookmarkStart w:id="7293" w:name="_Caption9777"/>
      <w:bookmarkStart w:id="7294" w:name="_Caption7699"/>
      <w:bookmarkStart w:id="7295" w:name="_Caption6054"/>
      <w:bookmarkStart w:id="7296" w:name="_Caption0325"/>
      <w:bookmarkStart w:id="7297" w:name="_Caption1572"/>
      <w:bookmarkStart w:id="7298" w:name="_Caption5818"/>
      <w:bookmarkStart w:id="7299" w:name="_Caption9957"/>
      <w:bookmarkStart w:id="7300" w:name="_Caption7335"/>
      <w:bookmarkStart w:id="7301" w:name="_Caption6814"/>
      <w:bookmarkStart w:id="7302" w:name="_Caption1538"/>
      <w:bookmarkStart w:id="7303" w:name="_Caption7891"/>
      <w:bookmarkStart w:id="7304" w:name="_Caption4922"/>
      <w:bookmarkStart w:id="7305" w:name="_Caption2634"/>
      <w:bookmarkStart w:id="7306" w:name="_Caption0852"/>
      <w:bookmarkStart w:id="7307" w:name="_Caption6363"/>
      <w:bookmarkStart w:id="7308" w:name="_Caption7450"/>
      <w:bookmarkStart w:id="7309" w:name="_Caption9074"/>
      <w:bookmarkStart w:id="7310" w:name="_Caption8507"/>
      <w:bookmarkStart w:id="7311" w:name="_Caption8124"/>
      <w:bookmarkStart w:id="7312" w:name="_Caption1309"/>
      <w:bookmarkStart w:id="7313" w:name="_Caption2777"/>
      <w:bookmarkStart w:id="7314" w:name="_Caption7506"/>
      <w:bookmarkStart w:id="7315" w:name="_Caption6660"/>
      <w:bookmarkStart w:id="7316" w:name="_Caption0917"/>
      <w:bookmarkStart w:id="7317" w:name="_Caption2625"/>
      <w:bookmarkStart w:id="7318" w:name="_Caption4223"/>
      <w:bookmarkStart w:id="7319" w:name="_Caption3247"/>
      <w:bookmarkStart w:id="7320" w:name="_Caption9020"/>
      <w:bookmarkStart w:id="7321" w:name="_Caption5572"/>
      <w:bookmarkStart w:id="7322" w:name="_Caption1592"/>
      <w:bookmarkStart w:id="7323" w:name="_Caption6128"/>
      <w:bookmarkStart w:id="7324" w:name="_Caption4748"/>
      <w:bookmarkStart w:id="7325" w:name="_Caption8877"/>
      <w:bookmarkStart w:id="7326" w:name="_Caption8218"/>
      <w:bookmarkStart w:id="7327" w:name="_Caption8580"/>
      <w:bookmarkStart w:id="7328" w:name="_Caption0093"/>
      <w:bookmarkStart w:id="7329" w:name="_Caption0893"/>
      <w:bookmarkStart w:id="7330" w:name="_Caption6921"/>
      <w:bookmarkStart w:id="7331" w:name="_Caption6368"/>
      <w:bookmarkStart w:id="7332" w:name="_Caption2926"/>
      <w:bookmarkStart w:id="7333" w:name="_Caption9470"/>
      <w:bookmarkStart w:id="7334" w:name="_Caption6968"/>
      <w:bookmarkStart w:id="7335" w:name="_Caption5786"/>
      <w:bookmarkStart w:id="7336" w:name="_Caption8529"/>
      <w:bookmarkStart w:id="7337" w:name="_Caption7090"/>
      <w:bookmarkStart w:id="7338" w:name="_Toc32321881"/>
      <w:bookmarkStart w:id="7339" w:name="_Toc44598590"/>
      <w:bookmarkStart w:id="7340" w:name="_Toc45654221"/>
      <w:r w:rsidR="00272AF3">
        <w:rPr>
          <w:noProof/>
        </w:rPr>
        <w:t>F</w:t>
      </w:r>
      <w:r w:rsidR="00272AF3" w:rsidRPr="00695C93">
        <w:rPr>
          <w:noProof/>
        </w:rPr>
        <w:t>.</w:t>
      </w:r>
      <w:r w:rsidR="00272AF3">
        <w:rPr>
          <w:noProof/>
        </w:rPr>
        <w:t>3</w:t>
      </w:r>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r w:rsidRPr="00695C93">
        <w:fldChar w:fldCharType="end"/>
      </w:r>
      <w:r w:rsidRPr="00695C93">
        <w:tab/>
      </w:r>
      <w:r>
        <w:t>Frequency of contact with family/friends not living in same household</w:t>
      </w:r>
      <w:bookmarkEnd w:id="7338"/>
      <w:bookmarkEnd w:id="7339"/>
      <w:bookmarkEnd w:id="7340"/>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F.3"/>
        <w:tblDescription w:val="Frequency of contact with family/friends not living in same household"/>
      </w:tblPr>
      <w:tblGrid>
        <w:gridCol w:w="4935"/>
        <w:gridCol w:w="1502"/>
        <w:gridCol w:w="1501"/>
      </w:tblGrid>
      <w:tr w:rsidR="007C6A5F" w:rsidTr="00B70DD7">
        <w:trPr>
          <w:trHeight w:val="230"/>
          <w:tblHeader/>
        </w:trPr>
        <w:tc>
          <w:tcPr>
            <w:tcW w:w="4935" w:type="dxa"/>
            <w:shd w:val="clear" w:color="auto" w:fill="6F6652" w:themeFill="accent5"/>
          </w:tcPr>
          <w:p w:rsidR="007C6A5F" w:rsidRDefault="00722469" w:rsidP="00C36DA4">
            <w:pPr>
              <w:pStyle w:val="TableDataColumnHeading"/>
              <w:jc w:val="left"/>
              <w:rPr>
                <w:lang w:val="en-GB"/>
              </w:rPr>
            </w:pPr>
            <w:r>
              <w:rPr>
                <w:lang w:val="en-GB"/>
              </w:rPr>
              <w:t>Contact frequency</w:t>
            </w:r>
          </w:p>
        </w:tc>
        <w:tc>
          <w:tcPr>
            <w:tcW w:w="1502" w:type="dxa"/>
            <w:shd w:val="clear" w:color="auto" w:fill="6F6652" w:themeFill="accent5"/>
          </w:tcPr>
          <w:p w:rsidR="007C6A5F" w:rsidRDefault="007C6A5F" w:rsidP="00C36DA4">
            <w:pPr>
              <w:pStyle w:val="TableDataColumnHeading"/>
              <w:rPr>
                <w:lang w:val="en-GB"/>
              </w:rPr>
            </w:pPr>
            <w:r>
              <w:rPr>
                <w:lang w:val="en-GB"/>
              </w:rPr>
              <w:t>Number of people</w:t>
            </w:r>
          </w:p>
          <w:p w:rsidR="000D6D12" w:rsidRDefault="000D6D12" w:rsidP="00C36DA4">
            <w:pPr>
              <w:pStyle w:val="TableDataColumnHeading"/>
              <w:rPr>
                <w:lang w:val="en-GB"/>
              </w:rPr>
            </w:pPr>
            <w:r>
              <w:rPr>
                <w:lang w:val="en-GB"/>
              </w:rPr>
              <w:t>(‘000)</w:t>
            </w:r>
          </w:p>
        </w:tc>
        <w:tc>
          <w:tcPr>
            <w:tcW w:w="1501" w:type="dxa"/>
            <w:shd w:val="clear" w:color="auto" w:fill="6F6652" w:themeFill="accent5"/>
          </w:tcPr>
          <w:p w:rsidR="007C6A5F" w:rsidRDefault="007C6A5F" w:rsidP="00C36DA4">
            <w:pPr>
              <w:pStyle w:val="TableDataColumnHeading"/>
              <w:rPr>
                <w:lang w:val="en-GB"/>
              </w:rPr>
            </w:pPr>
            <w:r>
              <w:rPr>
                <w:lang w:val="en-GB"/>
              </w:rPr>
              <w:t>Share</w:t>
            </w:r>
          </w:p>
          <w:p w:rsidR="000D6D12" w:rsidRDefault="000D6D12" w:rsidP="00C36DA4">
            <w:pPr>
              <w:pStyle w:val="TableDataColumnHeading"/>
              <w:rPr>
                <w:lang w:val="en-GB"/>
              </w:rPr>
            </w:pPr>
            <w:r>
              <w:rPr>
                <w:lang w:val="en-GB"/>
              </w:rPr>
              <w:t>(Per cent)</w:t>
            </w:r>
          </w:p>
        </w:tc>
      </w:tr>
      <w:tr w:rsidR="007C6A5F" w:rsidTr="000F1718">
        <w:trPr>
          <w:trHeight w:val="230"/>
        </w:trPr>
        <w:tc>
          <w:tcPr>
            <w:tcW w:w="49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Every day</w:t>
            </w:r>
          </w:p>
        </w:tc>
        <w:tc>
          <w:tcPr>
            <w:tcW w:w="150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54.5</w:t>
            </w:r>
          </w:p>
        </w:tc>
        <w:tc>
          <w:tcPr>
            <w:tcW w:w="15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9.6</w:t>
            </w:r>
          </w:p>
        </w:tc>
      </w:tr>
      <w:tr w:rsidR="007C6A5F" w:rsidTr="000F1718">
        <w:trPr>
          <w:trHeight w:val="230"/>
        </w:trPr>
        <w:tc>
          <w:tcPr>
            <w:tcW w:w="49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In the last week</w:t>
            </w:r>
          </w:p>
        </w:tc>
        <w:tc>
          <w:tcPr>
            <w:tcW w:w="150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285.8</w:t>
            </w:r>
          </w:p>
        </w:tc>
        <w:tc>
          <w:tcPr>
            <w:tcW w:w="15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50.5</w:t>
            </w:r>
          </w:p>
        </w:tc>
      </w:tr>
      <w:tr w:rsidR="007C6A5F" w:rsidTr="000F1718">
        <w:trPr>
          <w:trHeight w:val="230"/>
        </w:trPr>
        <w:tc>
          <w:tcPr>
            <w:tcW w:w="49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In the last month</w:t>
            </w:r>
          </w:p>
        </w:tc>
        <w:tc>
          <w:tcPr>
            <w:tcW w:w="150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113.4</w:t>
            </w:r>
          </w:p>
        </w:tc>
        <w:tc>
          <w:tcPr>
            <w:tcW w:w="15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20.0</w:t>
            </w:r>
          </w:p>
        </w:tc>
      </w:tr>
      <w:tr w:rsidR="007C6A5F" w:rsidTr="000F1718">
        <w:trPr>
          <w:trHeight w:val="230"/>
        </w:trPr>
        <w:tc>
          <w:tcPr>
            <w:tcW w:w="49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In the last quarter</w:t>
            </w:r>
          </w:p>
        </w:tc>
        <w:tc>
          <w:tcPr>
            <w:tcW w:w="150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56.2</w:t>
            </w:r>
          </w:p>
        </w:tc>
        <w:tc>
          <w:tcPr>
            <w:tcW w:w="15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9.9</w:t>
            </w:r>
          </w:p>
        </w:tc>
      </w:tr>
      <w:tr w:rsidR="007C6A5F" w:rsidTr="000F1718">
        <w:trPr>
          <w:trHeight w:val="461"/>
        </w:trPr>
        <w:tc>
          <w:tcPr>
            <w:tcW w:w="49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Has not seen family or friends not living in same household in the last 3 months</w:t>
            </w:r>
          </w:p>
        </w:tc>
        <w:tc>
          <w:tcPr>
            <w:tcW w:w="150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22.2</w:t>
            </w:r>
          </w:p>
        </w:tc>
        <w:tc>
          <w:tcPr>
            <w:tcW w:w="15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3.9</w:t>
            </w:r>
          </w:p>
        </w:tc>
      </w:tr>
      <w:tr w:rsidR="007C6A5F" w:rsidTr="000F1718">
        <w:trPr>
          <w:trHeight w:val="230"/>
        </w:trPr>
        <w:tc>
          <w:tcPr>
            <w:tcW w:w="49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Has no family or friends</w:t>
            </w:r>
          </w:p>
        </w:tc>
        <w:tc>
          <w:tcPr>
            <w:tcW w:w="150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0.0</w:t>
            </w:r>
          </w:p>
        </w:tc>
        <w:tc>
          <w:tcPr>
            <w:tcW w:w="15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0.0</w:t>
            </w:r>
          </w:p>
        </w:tc>
      </w:tr>
      <w:tr w:rsidR="007C6A5F" w:rsidTr="00B5160B">
        <w:trPr>
          <w:trHeight w:val="230"/>
        </w:trPr>
        <w:tc>
          <w:tcPr>
            <w:tcW w:w="49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Not applicable</w:t>
            </w:r>
          </w:p>
        </w:tc>
        <w:tc>
          <w:tcPr>
            <w:tcW w:w="150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34.7</w:t>
            </w:r>
          </w:p>
        </w:tc>
        <w:tc>
          <w:tcPr>
            <w:tcW w:w="15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6.1</w:t>
            </w:r>
          </w:p>
        </w:tc>
      </w:tr>
      <w:tr w:rsidR="007C6A5F" w:rsidRPr="00C0714C" w:rsidTr="00B5160B">
        <w:trPr>
          <w:trHeight w:val="230"/>
        </w:trPr>
        <w:tc>
          <w:tcPr>
            <w:tcW w:w="4935" w:type="dxa"/>
            <w:tcBorders>
              <w:top w:val="single" w:sz="8" w:space="0" w:color="FFFFFF" w:themeColor="background1"/>
              <w:bottom w:val="single" w:sz="4" w:space="0" w:color="6F6652" w:themeColor="accent5"/>
            </w:tcBorders>
            <w:shd w:val="clear" w:color="auto" w:fill="C2DADB" w:themeFill="accent6" w:themeFillTint="99"/>
          </w:tcPr>
          <w:p w:rsidR="007C6A5F" w:rsidRPr="00C0714C" w:rsidRDefault="007C6A5F" w:rsidP="00C36DA4">
            <w:pPr>
              <w:pStyle w:val="TableDataEntries"/>
              <w:jc w:val="left"/>
              <w:rPr>
                <w:rFonts w:ascii="Franklin Gothic Demi" w:hAnsi="Franklin Gothic Demi"/>
                <w:lang w:val="en-GB"/>
              </w:rPr>
            </w:pPr>
            <w:r w:rsidRPr="00C0714C">
              <w:rPr>
                <w:rFonts w:ascii="Franklin Gothic Demi" w:hAnsi="Franklin Gothic Demi"/>
                <w:lang w:val="en-GB"/>
              </w:rPr>
              <w:t>Total</w:t>
            </w:r>
          </w:p>
        </w:tc>
        <w:tc>
          <w:tcPr>
            <w:tcW w:w="1502" w:type="dxa"/>
            <w:tcBorders>
              <w:top w:val="single" w:sz="8" w:space="0" w:color="FFFFFF" w:themeColor="background1"/>
              <w:bottom w:val="single" w:sz="4" w:space="0" w:color="6F6652" w:themeColor="accent5"/>
            </w:tcBorders>
            <w:shd w:val="clear" w:color="auto" w:fill="C2DADB" w:themeFill="accent6" w:themeFillTint="99"/>
          </w:tcPr>
          <w:p w:rsidR="007C6A5F" w:rsidRPr="00C0714C" w:rsidRDefault="007C6A5F" w:rsidP="00C36DA4">
            <w:pPr>
              <w:pStyle w:val="TableDataEntries"/>
              <w:rPr>
                <w:rFonts w:ascii="Franklin Gothic Demi" w:hAnsi="Franklin Gothic Demi"/>
                <w:lang w:val="en-GB"/>
              </w:rPr>
            </w:pPr>
            <w:r w:rsidRPr="00C0714C">
              <w:rPr>
                <w:rFonts w:ascii="Franklin Gothic Demi" w:hAnsi="Franklin Gothic Demi"/>
                <w:lang w:val="en-GB"/>
              </w:rPr>
              <w:t xml:space="preserve"> 566.0</w:t>
            </w:r>
          </w:p>
        </w:tc>
        <w:tc>
          <w:tcPr>
            <w:tcW w:w="1501" w:type="dxa"/>
            <w:tcBorders>
              <w:top w:val="single" w:sz="8" w:space="0" w:color="FFFFFF" w:themeColor="background1"/>
              <w:bottom w:val="single" w:sz="4" w:space="0" w:color="6F6652" w:themeColor="accent5"/>
            </w:tcBorders>
            <w:shd w:val="clear" w:color="auto" w:fill="C2DADB" w:themeFill="accent6" w:themeFillTint="99"/>
          </w:tcPr>
          <w:p w:rsidR="007C6A5F" w:rsidRPr="00C0714C" w:rsidRDefault="007C6A5F" w:rsidP="00C36DA4">
            <w:pPr>
              <w:pStyle w:val="TableDataEntries"/>
              <w:rPr>
                <w:rFonts w:ascii="Franklin Gothic Demi" w:hAnsi="Franklin Gothic Demi"/>
                <w:lang w:val="en-GB"/>
              </w:rPr>
            </w:pPr>
            <w:r w:rsidRPr="00C0714C">
              <w:rPr>
                <w:rFonts w:ascii="Franklin Gothic Demi" w:hAnsi="Franklin Gothic Demi"/>
                <w:lang w:val="en-GB"/>
              </w:rPr>
              <w:t xml:space="preserve"> 100.0</w:t>
            </w:r>
          </w:p>
        </w:tc>
      </w:tr>
    </w:tbl>
    <w:p w:rsidR="007C6A5F" w:rsidRDefault="007C6A5F" w:rsidP="007C6A5F">
      <w:pPr>
        <w:pStyle w:val="Source"/>
        <w:rPr>
          <w:lang w:bidi="fa-IR"/>
        </w:rPr>
      </w:pPr>
      <w:r w:rsidRPr="000A3264">
        <w:rPr>
          <w:i/>
          <w:lang w:bidi="fa-IR"/>
        </w:rPr>
        <w:t>Source:</w:t>
      </w:r>
      <w:r>
        <w:rPr>
          <w:lang w:bidi="fa-IR"/>
        </w:rPr>
        <w:t xml:space="preserve"> </w:t>
      </w:r>
      <w:r>
        <w:t>ABS, Survey of Disabilities, Ageing and Carers, 2018, TableBuilder.</w:t>
      </w:r>
    </w:p>
    <w:p w:rsidR="007C6A5F" w:rsidRDefault="007C6A5F" w:rsidP="007C6A5F">
      <w:pPr>
        <w:pStyle w:val="BodyText"/>
        <w:rPr>
          <w:lang w:bidi="fa-IR"/>
        </w:rPr>
      </w:pPr>
      <w:r>
        <w:rPr>
          <w:lang w:bidi="fa-IR"/>
        </w:rPr>
        <w:t xml:space="preserve">As noted above, feelings of loneliness are not necessarily directly related to the frequency with which people see their social networks. Feelings of loneliness are subjective and some people can feel lonely even if they see their family and friends frequently. Perhaps a better (albeit still imperfect) measure of loneliness is whether people </w:t>
      </w:r>
      <w:r w:rsidRPr="00475933">
        <w:rPr>
          <w:b/>
          <w:bCs/>
          <w:lang w:bidi="fa-IR"/>
        </w:rPr>
        <w:t>want</w:t>
      </w:r>
      <w:r>
        <w:rPr>
          <w:lang w:bidi="fa-IR"/>
        </w:rPr>
        <w:t xml:space="preserve"> more contact with their family and friends.</w:t>
      </w:r>
    </w:p>
    <w:p w:rsidR="007C6A5F" w:rsidRDefault="007C6A5F" w:rsidP="007C6A5F">
      <w:pPr>
        <w:pStyle w:val="BodyText"/>
        <w:rPr>
          <w:lang w:bidi="fa-IR"/>
        </w:rPr>
      </w:pPr>
      <w:r>
        <w:rPr>
          <w:lang w:bidi="fa-IR"/>
        </w:rPr>
        <w:t>According to 2018 SDAC data, there were around 257 400 people (or around 45 per cent of the total) who do not leave the house as often as they would like due to their own age or disability and also want more contact with their family or friends (table </w:t>
      </w:r>
      <w:r>
        <w:rPr>
          <w:lang w:bidi="fa-IR"/>
        </w:rPr>
        <w:fldChar w:fldCharType="begin"/>
      </w:r>
      <w:r>
        <w:rPr>
          <w:lang w:bidi="fa-IR"/>
        </w:rPr>
        <w:instrText xml:space="preserve"> REF _Caption1486 </w:instrText>
      </w:r>
      <w:r>
        <w:rPr>
          <w:lang w:bidi="fa-IR"/>
        </w:rPr>
        <w:fldChar w:fldCharType="separate"/>
      </w:r>
      <w:r>
        <w:rPr>
          <w:noProof/>
        </w:rPr>
        <w:t>F</w:t>
      </w:r>
      <w:r w:rsidRPr="00695C93">
        <w:rPr>
          <w:noProof/>
        </w:rPr>
        <w:t>.</w:t>
      </w:r>
      <w:r>
        <w:rPr>
          <w:noProof/>
        </w:rPr>
        <w:t>4</w:t>
      </w:r>
      <w:r>
        <w:rPr>
          <w:lang w:bidi="fa-IR"/>
        </w:rPr>
        <w:fldChar w:fldCharType="end"/>
      </w:r>
      <w:r>
        <w:rPr>
          <w:lang w:bidi="fa-IR"/>
        </w:rPr>
        <w:t>).</w:t>
      </w:r>
    </w:p>
    <w:p w:rsidR="007C6A5F" w:rsidRDefault="007C6A5F" w:rsidP="007C6A5F">
      <w:pPr>
        <w:pStyle w:val="Caption"/>
      </w:pPr>
      <w:r w:rsidRPr="00B70DD7">
        <w:fldChar w:fldCharType="begin"/>
      </w:r>
      <w:r w:rsidRPr="00B70DD7">
        <w:instrText xml:space="preserve"> IF 1 = 1 "</w:instrText>
      </w:r>
      <w:r w:rsidRPr="00B70DD7">
        <w:fldChar w:fldCharType="begin"/>
      </w:r>
      <w:r w:rsidRPr="00B70DD7">
        <w:instrText xml:space="preserve"> IF </w:instrText>
      </w:r>
      <w:r w:rsidRPr="00B70DD7">
        <w:rPr>
          <w:noProof/>
        </w:rPr>
        <w:fldChar w:fldCharType="begin"/>
      </w:r>
      <w:r w:rsidRPr="00B70DD7">
        <w:rPr>
          <w:noProof/>
        </w:rPr>
        <w:instrText xml:space="preserve"> STYLEREF "Heading 6" \l \n </w:instrText>
      </w:r>
      <w:r w:rsidRPr="00B70DD7">
        <w:rPr>
          <w:noProof/>
        </w:rPr>
        <w:fldChar w:fldCharType="separate"/>
      </w:r>
      <w:r w:rsidRPr="00B70DD7">
        <w:rPr>
          <w:noProof/>
        </w:rPr>
        <w:instrText>F</w:instrText>
      </w:r>
      <w:r w:rsidRPr="00B70DD7">
        <w:rPr>
          <w:noProof/>
        </w:rPr>
        <w:fldChar w:fldCharType="end"/>
      </w:r>
      <w:r w:rsidRPr="00B70DD7">
        <w:instrText xml:space="preserve"> = 0 "</w:instrText>
      </w:r>
      <w:r w:rsidRPr="00B70DD7">
        <w:fldChar w:fldCharType="begin"/>
      </w:r>
      <w:r w:rsidRPr="00B70DD7">
        <w:instrText xml:space="preserve"> IF </w:instrText>
      </w:r>
      <w:r w:rsidRPr="00B70DD7">
        <w:rPr>
          <w:noProof/>
        </w:rPr>
        <w:fldChar w:fldCharType="begin"/>
      </w:r>
      <w:r w:rsidRPr="00B70DD7">
        <w:rPr>
          <w:noProof/>
        </w:rPr>
        <w:instrText xml:space="preserve"> STYLEREF "Heading 1" \l \n </w:instrText>
      </w:r>
      <w:r w:rsidRPr="00B70DD7">
        <w:rPr>
          <w:noProof/>
        </w:rPr>
        <w:fldChar w:fldCharType="separate"/>
      </w:r>
      <w:r w:rsidRPr="00B70DD7">
        <w:rPr>
          <w:noProof/>
        </w:rPr>
        <w:instrText>2</w:instrText>
      </w:r>
      <w:r w:rsidRPr="00B70DD7">
        <w:rPr>
          <w:noProof/>
        </w:rPr>
        <w:fldChar w:fldCharType="end"/>
      </w:r>
      <w:r w:rsidRPr="00B70DD7">
        <w:instrText xml:space="preserve"> = 0 "" "</w:instrText>
      </w:r>
      <w:r w:rsidRPr="00B70DD7">
        <w:rPr>
          <w:noProof/>
        </w:rPr>
        <w:fldChar w:fldCharType="begin"/>
      </w:r>
      <w:r w:rsidRPr="00B70DD7">
        <w:rPr>
          <w:noProof/>
        </w:rPr>
        <w:instrText xml:space="preserve"> STYLEREF "Heading 1" \l \n </w:instrText>
      </w:r>
      <w:r w:rsidRPr="00B70DD7">
        <w:rPr>
          <w:noProof/>
        </w:rPr>
        <w:fldChar w:fldCharType="separate"/>
      </w:r>
      <w:r w:rsidRPr="00B70DD7">
        <w:rPr>
          <w:noProof/>
        </w:rPr>
        <w:instrText>2</w:instrText>
      </w:r>
      <w:r w:rsidRPr="00B70DD7">
        <w:rPr>
          <w:noProof/>
        </w:rPr>
        <w:fldChar w:fldCharType="end"/>
      </w:r>
      <w:r w:rsidRPr="00B70DD7">
        <w:instrText xml:space="preserve">." </w:instrText>
      </w:r>
      <w:r w:rsidRPr="00B70DD7">
        <w:fldChar w:fldCharType="separate"/>
      </w:r>
      <w:r w:rsidRPr="00B70DD7">
        <w:rPr>
          <w:noProof/>
        </w:rPr>
        <w:instrText>2.</w:instrText>
      </w:r>
      <w:r w:rsidRPr="00B70DD7">
        <w:fldChar w:fldCharType="end"/>
      </w:r>
      <w:r w:rsidRPr="00B70DD7">
        <w:instrText>" "</w:instrText>
      </w:r>
      <w:r w:rsidRPr="00B70DD7">
        <w:rPr>
          <w:noProof/>
        </w:rPr>
        <w:fldChar w:fldCharType="begin"/>
      </w:r>
      <w:r w:rsidRPr="00B70DD7">
        <w:rPr>
          <w:noProof/>
        </w:rPr>
        <w:instrText xml:space="preserve"> STYLEREF "Heading 6" \l \n </w:instrText>
      </w:r>
      <w:r w:rsidRPr="00B70DD7">
        <w:rPr>
          <w:noProof/>
        </w:rPr>
        <w:fldChar w:fldCharType="separate"/>
      </w:r>
      <w:r w:rsidRPr="00B70DD7">
        <w:rPr>
          <w:noProof/>
        </w:rPr>
        <w:instrText>F</w:instrText>
      </w:r>
      <w:r w:rsidRPr="00B70DD7">
        <w:rPr>
          <w:noProof/>
        </w:rPr>
        <w:fldChar w:fldCharType="end"/>
      </w:r>
      <w:r w:rsidRPr="00B70DD7">
        <w:instrText xml:space="preserve">." </w:instrText>
      </w:r>
      <w:r w:rsidRPr="00B70DD7">
        <w:fldChar w:fldCharType="separate"/>
      </w:r>
      <w:r w:rsidRPr="00B70DD7">
        <w:rPr>
          <w:noProof/>
        </w:rPr>
        <w:instrText>F.</w:instrText>
      </w:r>
      <w:r w:rsidRPr="00B70DD7">
        <w:fldChar w:fldCharType="end"/>
      </w:r>
      <w:r w:rsidRPr="00B70DD7">
        <w:fldChar w:fldCharType="begin"/>
      </w:r>
      <w:r w:rsidRPr="00B70DD7">
        <w:instrText xml:space="preserve"> SEQ Item \* ARABIC \s </w:instrText>
      </w:r>
      <w:r w:rsidRPr="00B70DD7">
        <w:fldChar w:fldCharType="begin"/>
      </w:r>
      <w:r w:rsidRPr="00B70DD7">
        <w:instrText xml:space="preserve"> IF </w:instrText>
      </w:r>
      <w:r w:rsidRPr="00B70DD7">
        <w:rPr>
          <w:noProof/>
        </w:rPr>
        <w:fldChar w:fldCharType="begin"/>
      </w:r>
      <w:r w:rsidRPr="00B70DD7">
        <w:rPr>
          <w:noProof/>
        </w:rPr>
        <w:instrText xml:space="preserve"> STYLEREF "Heading 6" \l \n </w:instrText>
      </w:r>
      <w:r w:rsidRPr="00B70DD7">
        <w:rPr>
          <w:noProof/>
        </w:rPr>
        <w:fldChar w:fldCharType="separate"/>
      </w:r>
      <w:r w:rsidRPr="00B70DD7">
        <w:rPr>
          <w:noProof/>
        </w:rPr>
        <w:instrText>F</w:instrText>
      </w:r>
      <w:r w:rsidRPr="00B70DD7">
        <w:rPr>
          <w:noProof/>
        </w:rPr>
        <w:fldChar w:fldCharType="end"/>
      </w:r>
      <w:r w:rsidRPr="00B70DD7">
        <w:instrText xml:space="preserve"> = 0 "</w:instrText>
      </w:r>
      <w:r w:rsidRPr="00B70DD7">
        <w:fldChar w:fldCharType="begin"/>
      </w:r>
      <w:r w:rsidRPr="00B70DD7">
        <w:instrText xml:space="preserve"> IF </w:instrText>
      </w:r>
      <w:r w:rsidRPr="00B70DD7">
        <w:rPr>
          <w:noProof/>
        </w:rPr>
        <w:fldChar w:fldCharType="begin"/>
      </w:r>
      <w:r w:rsidRPr="00B70DD7">
        <w:rPr>
          <w:noProof/>
        </w:rPr>
        <w:instrText xml:space="preserve"> STYLEREF "Heading 1" \l \n </w:instrText>
      </w:r>
      <w:r w:rsidRPr="00B70DD7">
        <w:rPr>
          <w:noProof/>
        </w:rPr>
        <w:fldChar w:fldCharType="separate"/>
      </w:r>
      <w:r w:rsidRPr="00B70DD7">
        <w:rPr>
          <w:noProof/>
        </w:rPr>
        <w:instrText>2</w:instrText>
      </w:r>
      <w:r w:rsidRPr="00B70DD7">
        <w:rPr>
          <w:noProof/>
        </w:rPr>
        <w:fldChar w:fldCharType="end"/>
      </w:r>
      <w:r w:rsidRPr="00B70DD7">
        <w:instrText xml:space="preserve"> = 0 "" "1" </w:instrText>
      </w:r>
      <w:r w:rsidRPr="00B70DD7">
        <w:fldChar w:fldCharType="separate"/>
      </w:r>
      <w:r w:rsidRPr="00B70DD7">
        <w:rPr>
          <w:noProof/>
        </w:rPr>
        <w:instrText>1</w:instrText>
      </w:r>
      <w:r w:rsidRPr="00B70DD7">
        <w:fldChar w:fldCharType="end"/>
      </w:r>
      <w:r w:rsidRPr="00B70DD7">
        <w:instrText xml:space="preserve">" "6" </w:instrText>
      </w:r>
      <w:r w:rsidRPr="00B70DD7">
        <w:fldChar w:fldCharType="separate"/>
      </w:r>
      <w:r w:rsidRPr="00B70DD7">
        <w:rPr>
          <w:noProof/>
        </w:rPr>
        <w:instrText>6</w:instrText>
      </w:r>
      <w:r w:rsidRPr="00B70DD7">
        <w:fldChar w:fldCharType="end"/>
      </w:r>
      <w:r w:rsidRPr="00B70DD7">
        <w:instrText xml:space="preserve"> </w:instrText>
      </w:r>
      <w:r w:rsidRPr="00B70DD7">
        <w:fldChar w:fldCharType="separate"/>
      </w:r>
      <w:r w:rsidRPr="00B70DD7">
        <w:rPr>
          <w:noProof/>
        </w:rPr>
        <w:instrText>4</w:instrText>
      </w:r>
      <w:r w:rsidRPr="00B70DD7">
        <w:fldChar w:fldCharType="end"/>
      </w:r>
      <w:r w:rsidRPr="00B70DD7">
        <w:instrText xml:space="preserve">" "" </w:instrText>
      </w:r>
      <w:r w:rsidRPr="00B70DD7">
        <w:fldChar w:fldCharType="separate"/>
      </w:r>
      <w:bookmarkStart w:id="7341" w:name="_Caption1003"/>
      <w:bookmarkStart w:id="7342" w:name="_Caption1343"/>
      <w:bookmarkStart w:id="7343" w:name="_Caption8566"/>
      <w:bookmarkStart w:id="7344" w:name="_Caption0219"/>
      <w:bookmarkStart w:id="7345" w:name="_Caption5277"/>
      <w:bookmarkStart w:id="7346" w:name="_Caption0439"/>
      <w:bookmarkStart w:id="7347" w:name="_Caption3985"/>
      <w:bookmarkStart w:id="7348" w:name="_Caption7872"/>
      <w:bookmarkStart w:id="7349" w:name="_Caption0119"/>
      <w:bookmarkStart w:id="7350" w:name="_Caption8077"/>
      <w:bookmarkStart w:id="7351" w:name="_Caption0187"/>
      <w:bookmarkStart w:id="7352" w:name="_Caption0416"/>
      <w:bookmarkStart w:id="7353" w:name="_Caption8468"/>
      <w:bookmarkStart w:id="7354" w:name="_Caption6315"/>
      <w:bookmarkStart w:id="7355" w:name="_Caption5110"/>
      <w:bookmarkStart w:id="7356" w:name="_Caption9841"/>
      <w:bookmarkStart w:id="7357" w:name="_Caption0860"/>
      <w:bookmarkStart w:id="7358" w:name="_Caption8547"/>
      <w:bookmarkStart w:id="7359" w:name="_Caption4272"/>
      <w:bookmarkStart w:id="7360" w:name="_Caption7601"/>
      <w:bookmarkStart w:id="7361" w:name="_Caption7729"/>
      <w:bookmarkStart w:id="7362" w:name="_Caption9781"/>
      <w:bookmarkStart w:id="7363" w:name="_Caption2582"/>
      <w:bookmarkStart w:id="7364" w:name="_Caption2849"/>
      <w:bookmarkStart w:id="7365" w:name="_Caption4691"/>
      <w:bookmarkStart w:id="7366" w:name="_Caption7649"/>
      <w:bookmarkStart w:id="7367" w:name="_Caption3424"/>
      <w:bookmarkStart w:id="7368" w:name="_Caption5264"/>
      <w:bookmarkStart w:id="7369" w:name="_Caption1619"/>
      <w:bookmarkStart w:id="7370" w:name="_Caption5840"/>
      <w:bookmarkStart w:id="7371" w:name="_Caption3544"/>
      <w:bookmarkStart w:id="7372" w:name="_Caption3524"/>
      <w:bookmarkStart w:id="7373" w:name="_Caption1306"/>
      <w:bookmarkStart w:id="7374" w:name="_Caption4900"/>
      <w:bookmarkStart w:id="7375" w:name="_Caption3443"/>
      <w:bookmarkStart w:id="7376" w:name="_Caption4428"/>
      <w:bookmarkStart w:id="7377" w:name="_Caption2038"/>
      <w:bookmarkStart w:id="7378" w:name="_Caption5633"/>
      <w:bookmarkStart w:id="7379" w:name="_Caption4872"/>
      <w:bookmarkStart w:id="7380" w:name="_Caption2853"/>
      <w:bookmarkStart w:id="7381" w:name="_Caption3873"/>
      <w:bookmarkStart w:id="7382" w:name="_Caption1080"/>
      <w:bookmarkStart w:id="7383" w:name="_Caption2927"/>
      <w:bookmarkStart w:id="7384" w:name="_Caption2984"/>
      <w:bookmarkStart w:id="7385" w:name="_Caption1486"/>
      <w:bookmarkStart w:id="7386" w:name="_Caption1479"/>
      <w:bookmarkStart w:id="7387" w:name="_Caption1265"/>
      <w:bookmarkStart w:id="7388" w:name="_Caption1300"/>
      <w:bookmarkStart w:id="7389" w:name="_Caption3430"/>
      <w:bookmarkStart w:id="7390" w:name="_Caption1576"/>
      <w:bookmarkStart w:id="7391" w:name="_Caption4647"/>
      <w:bookmarkStart w:id="7392" w:name="_Caption1586"/>
      <w:bookmarkStart w:id="7393" w:name="_Caption5530"/>
      <w:bookmarkStart w:id="7394" w:name="_Caption4584"/>
      <w:bookmarkStart w:id="7395" w:name="_Caption0189"/>
      <w:bookmarkStart w:id="7396" w:name="_Caption5889"/>
      <w:bookmarkStart w:id="7397" w:name="_Caption6239"/>
      <w:bookmarkStart w:id="7398" w:name="_Caption6594"/>
      <w:bookmarkStart w:id="7399" w:name="_Caption3278"/>
      <w:bookmarkStart w:id="7400" w:name="_Caption2689"/>
      <w:bookmarkStart w:id="7401" w:name="_Caption7321"/>
      <w:bookmarkStart w:id="7402" w:name="_Caption2326"/>
      <w:bookmarkStart w:id="7403" w:name="_Caption6990"/>
      <w:bookmarkStart w:id="7404" w:name="_Caption2284"/>
      <w:bookmarkStart w:id="7405" w:name="_Caption1030"/>
      <w:bookmarkStart w:id="7406" w:name="_Caption8313"/>
      <w:bookmarkStart w:id="7407" w:name="_Caption4214"/>
      <w:bookmarkStart w:id="7408" w:name="_Caption5476"/>
      <w:bookmarkStart w:id="7409" w:name="_Caption2713"/>
      <w:bookmarkStart w:id="7410" w:name="_Caption2893"/>
      <w:bookmarkStart w:id="7411" w:name="_Caption4819"/>
      <w:bookmarkStart w:id="7412" w:name="_Caption0027"/>
      <w:bookmarkStart w:id="7413" w:name="_Caption9678"/>
      <w:bookmarkStart w:id="7414" w:name="_Caption3291"/>
      <w:bookmarkStart w:id="7415" w:name="_Caption4046"/>
      <w:bookmarkStart w:id="7416" w:name="_Caption5304"/>
      <w:bookmarkStart w:id="7417" w:name="_Caption4739"/>
      <w:bookmarkStart w:id="7418" w:name="_Caption4902"/>
      <w:bookmarkStart w:id="7419" w:name="_Caption6459"/>
      <w:bookmarkStart w:id="7420" w:name="_Caption7759"/>
      <w:bookmarkStart w:id="7421" w:name="_Toc32321882"/>
      <w:bookmarkStart w:id="7422" w:name="_Toc44598591"/>
      <w:bookmarkStart w:id="7423" w:name="_Toc45654222"/>
      <w:r w:rsidR="00272AF3" w:rsidRPr="00B70DD7">
        <w:rPr>
          <w:noProof/>
        </w:rPr>
        <w:t>F.4</w:t>
      </w:r>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r w:rsidRPr="00B70DD7">
        <w:fldChar w:fldCharType="end"/>
      </w:r>
      <w:r w:rsidRPr="00B70DD7">
        <w:tab/>
        <w:t>Share of identified population who want more contact with family and friends</w:t>
      </w:r>
      <w:bookmarkEnd w:id="7421"/>
      <w:bookmarkEnd w:id="7422"/>
      <w:bookmarkEnd w:id="7423"/>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F.4"/>
        <w:tblDescription w:val="Share of identified population who want more contact with family and friends"/>
      </w:tblPr>
      <w:tblGrid>
        <w:gridCol w:w="3119"/>
        <w:gridCol w:w="2126"/>
        <w:gridCol w:w="1134"/>
        <w:gridCol w:w="1558"/>
      </w:tblGrid>
      <w:tr w:rsidR="007C6A5F" w:rsidTr="00B70DD7">
        <w:trPr>
          <w:trHeight w:val="461"/>
          <w:tblHeader/>
        </w:trPr>
        <w:tc>
          <w:tcPr>
            <w:tcW w:w="3119" w:type="dxa"/>
            <w:shd w:val="clear" w:color="auto" w:fill="6F6652" w:themeFill="accent5"/>
          </w:tcPr>
          <w:p w:rsidR="007C6A5F" w:rsidRDefault="00B70DD7" w:rsidP="00C36DA4">
            <w:pPr>
              <w:pStyle w:val="TableDataColumnHeading"/>
              <w:jc w:val="left"/>
              <w:rPr>
                <w:lang w:val="en-GB"/>
              </w:rPr>
            </w:pPr>
            <w:r>
              <w:rPr>
                <w:lang w:val="en-GB"/>
              </w:rPr>
              <w:t>Degree of need</w:t>
            </w:r>
          </w:p>
        </w:tc>
        <w:tc>
          <w:tcPr>
            <w:tcW w:w="2126" w:type="dxa"/>
            <w:shd w:val="clear" w:color="auto" w:fill="6F6652" w:themeFill="accent5"/>
          </w:tcPr>
          <w:p w:rsidR="007C6A5F" w:rsidRDefault="007C6A5F" w:rsidP="00C36DA4">
            <w:pPr>
              <w:pStyle w:val="TableDataColumnHeading"/>
              <w:rPr>
                <w:lang w:val="en-GB"/>
              </w:rPr>
            </w:pPr>
            <w:r>
              <w:rPr>
                <w:lang w:val="en-GB"/>
              </w:rPr>
              <w:t>Want more contact with family/friends</w:t>
            </w:r>
          </w:p>
          <w:p w:rsidR="000D6D12" w:rsidRDefault="000D6D12" w:rsidP="00C36DA4">
            <w:pPr>
              <w:pStyle w:val="TableDataColumnHeading"/>
              <w:rPr>
                <w:lang w:val="en-GB"/>
              </w:rPr>
            </w:pPr>
            <w:r>
              <w:rPr>
                <w:lang w:val="en-GB"/>
              </w:rPr>
              <w:t>(‘000)</w:t>
            </w:r>
          </w:p>
        </w:tc>
        <w:tc>
          <w:tcPr>
            <w:tcW w:w="1134" w:type="dxa"/>
            <w:shd w:val="clear" w:color="auto" w:fill="6F6652" w:themeFill="accent5"/>
          </w:tcPr>
          <w:p w:rsidR="007C6A5F" w:rsidRDefault="007C6A5F" w:rsidP="00C36DA4">
            <w:pPr>
              <w:pStyle w:val="TableDataColumnHeading"/>
              <w:rPr>
                <w:lang w:val="en-GB"/>
              </w:rPr>
            </w:pPr>
            <w:r>
              <w:rPr>
                <w:lang w:val="en-GB"/>
              </w:rPr>
              <w:t>Total</w:t>
            </w:r>
          </w:p>
          <w:p w:rsidR="000D6D12" w:rsidRDefault="000D6D12" w:rsidP="00C36DA4">
            <w:pPr>
              <w:pStyle w:val="TableDataColumnHeading"/>
              <w:rPr>
                <w:lang w:val="en-GB"/>
              </w:rPr>
            </w:pPr>
            <w:r>
              <w:rPr>
                <w:lang w:val="en-GB"/>
              </w:rPr>
              <w:t>(‘000)</w:t>
            </w:r>
          </w:p>
        </w:tc>
        <w:tc>
          <w:tcPr>
            <w:tcW w:w="1558" w:type="dxa"/>
            <w:shd w:val="clear" w:color="auto" w:fill="6F6652" w:themeFill="accent5"/>
          </w:tcPr>
          <w:p w:rsidR="007C6A5F" w:rsidRDefault="007C6A5F" w:rsidP="00C36DA4">
            <w:pPr>
              <w:pStyle w:val="TableDataColumnHeading"/>
              <w:rPr>
                <w:lang w:val="en-GB"/>
              </w:rPr>
            </w:pPr>
            <w:r>
              <w:rPr>
                <w:lang w:val="en-GB"/>
              </w:rPr>
              <w:t>Share of total</w:t>
            </w:r>
          </w:p>
          <w:p w:rsidR="000D6D12" w:rsidRDefault="000D6D12" w:rsidP="00C36DA4">
            <w:pPr>
              <w:pStyle w:val="TableDataColumnHeading"/>
              <w:rPr>
                <w:lang w:val="en-GB"/>
              </w:rPr>
            </w:pPr>
            <w:r>
              <w:rPr>
                <w:lang w:val="en-GB"/>
              </w:rPr>
              <w:t>(Per cent)</w:t>
            </w:r>
          </w:p>
        </w:tc>
      </w:tr>
      <w:tr w:rsidR="007C6A5F" w:rsidTr="00722469">
        <w:trPr>
          <w:trHeight w:val="230"/>
        </w:trPr>
        <w:tc>
          <w:tcPr>
            <w:tcW w:w="3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Profound</w:t>
            </w:r>
          </w:p>
        </w:tc>
        <w:tc>
          <w:tcPr>
            <w:tcW w:w="212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68.6</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161</w:t>
            </w:r>
          </w:p>
        </w:tc>
        <w:tc>
          <w:tcPr>
            <w:tcW w:w="155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42.6</w:t>
            </w:r>
          </w:p>
        </w:tc>
      </w:tr>
      <w:tr w:rsidR="007C6A5F" w:rsidTr="00722469">
        <w:trPr>
          <w:trHeight w:val="230"/>
        </w:trPr>
        <w:tc>
          <w:tcPr>
            <w:tcW w:w="3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Severe</w:t>
            </w:r>
          </w:p>
        </w:tc>
        <w:tc>
          <w:tcPr>
            <w:tcW w:w="212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74.9</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165.5</w:t>
            </w:r>
          </w:p>
        </w:tc>
        <w:tc>
          <w:tcPr>
            <w:tcW w:w="155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45.3</w:t>
            </w:r>
          </w:p>
        </w:tc>
      </w:tr>
      <w:tr w:rsidR="007C6A5F" w:rsidTr="00722469">
        <w:trPr>
          <w:trHeight w:val="230"/>
        </w:trPr>
        <w:tc>
          <w:tcPr>
            <w:tcW w:w="3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Moderate</w:t>
            </w:r>
          </w:p>
        </w:tc>
        <w:tc>
          <w:tcPr>
            <w:tcW w:w="212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52</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99.4</w:t>
            </w:r>
          </w:p>
        </w:tc>
        <w:tc>
          <w:tcPr>
            <w:tcW w:w="155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52.3</w:t>
            </w:r>
          </w:p>
        </w:tc>
      </w:tr>
      <w:tr w:rsidR="007C6A5F" w:rsidTr="00722469">
        <w:trPr>
          <w:trHeight w:val="230"/>
        </w:trPr>
        <w:tc>
          <w:tcPr>
            <w:tcW w:w="311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Mild</w:t>
            </w:r>
          </w:p>
        </w:tc>
        <w:tc>
          <w:tcPr>
            <w:tcW w:w="212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60.5</w:t>
            </w:r>
          </w:p>
        </w:tc>
        <w:tc>
          <w:tcPr>
            <w:tcW w:w="113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138.9</w:t>
            </w:r>
          </w:p>
        </w:tc>
        <w:tc>
          <w:tcPr>
            <w:tcW w:w="155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43.6</w:t>
            </w:r>
          </w:p>
        </w:tc>
      </w:tr>
      <w:tr w:rsidR="007C6A5F" w:rsidRPr="00C0714C" w:rsidTr="00722469">
        <w:trPr>
          <w:trHeight w:val="230"/>
        </w:trPr>
        <w:tc>
          <w:tcPr>
            <w:tcW w:w="3119" w:type="dxa"/>
            <w:tcBorders>
              <w:top w:val="single" w:sz="8" w:space="0" w:color="FFFFFF" w:themeColor="background1"/>
              <w:bottom w:val="single" w:sz="4" w:space="0" w:color="6F6652" w:themeColor="accent5"/>
            </w:tcBorders>
            <w:shd w:val="clear" w:color="auto" w:fill="C2DADB" w:themeFill="accent6" w:themeFillTint="99"/>
          </w:tcPr>
          <w:p w:rsidR="007C6A5F" w:rsidRPr="00C0714C" w:rsidRDefault="007C6A5F" w:rsidP="00C36DA4">
            <w:pPr>
              <w:pStyle w:val="TableDataEntries"/>
              <w:jc w:val="left"/>
              <w:rPr>
                <w:rFonts w:ascii="Franklin Gothic Demi" w:hAnsi="Franklin Gothic Demi"/>
                <w:lang w:val="en-GB"/>
              </w:rPr>
            </w:pPr>
            <w:r w:rsidRPr="00C0714C">
              <w:rPr>
                <w:rFonts w:ascii="Franklin Gothic Demi" w:hAnsi="Franklin Gothic Demi"/>
                <w:lang w:val="en-GB"/>
              </w:rPr>
              <w:t>Total</w:t>
            </w:r>
          </w:p>
        </w:tc>
        <w:tc>
          <w:tcPr>
            <w:tcW w:w="2126" w:type="dxa"/>
            <w:tcBorders>
              <w:top w:val="single" w:sz="8" w:space="0" w:color="FFFFFF" w:themeColor="background1"/>
              <w:bottom w:val="single" w:sz="4" w:space="0" w:color="6F6652" w:themeColor="accent5"/>
            </w:tcBorders>
            <w:shd w:val="clear" w:color="auto" w:fill="C2DADB" w:themeFill="accent6" w:themeFillTint="99"/>
          </w:tcPr>
          <w:p w:rsidR="007C6A5F" w:rsidRPr="00C0714C" w:rsidRDefault="007C6A5F" w:rsidP="00C36DA4">
            <w:pPr>
              <w:pStyle w:val="TableDataEntries"/>
              <w:rPr>
                <w:rFonts w:ascii="Franklin Gothic Demi" w:hAnsi="Franklin Gothic Demi"/>
                <w:lang w:val="en-GB"/>
              </w:rPr>
            </w:pPr>
            <w:r w:rsidRPr="00C0714C">
              <w:rPr>
                <w:rFonts w:ascii="Franklin Gothic Demi" w:hAnsi="Franklin Gothic Demi"/>
                <w:lang w:val="en-GB"/>
              </w:rPr>
              <w:t>257.4</w:t>
            </w:r>
          </w:p>
        </w:tc>
        <w:tc>
          <w:tcPr>
            <w:tcW w:w="1134" w:type="dxa"/>
            <w:tcBorders>
              <w:top w:val="single" w:sz="8" w:space="0" w:color="FFFFFF" w:themeColor="background1"/>
              <w:bottom w:val="single" w:sz="4" w:space="0" w:color="6F6652" w:themeColor="accent5"/>
            </w:tcBorders>
            <w:shd w:val="clear" w:color="auto" w:fill="C2DADB" w:themeFill="accent6" w:themeFillTint="99"/>
          </w:tcPr>
          <w:p w:rsidR="007C6A5F" w:rsidRPr="00C0714C" w:rsidRDefault="007C6A5F" w:rsidP="00C36DA4">
            <w:pPr>
              <w:pStyle w:val="TableDataEntries"/>
              <w:rPr>
                <w:rFonts w:ascii="Franklin Gothic Demi" w:hAnsi="Franklin Gothic Demi"/>
                <w:lang w:val="en-GB"/>
              </w:rPr>
            </w:pPr>
            <w:r w:rsidRPr="00C0714C">
              <w:rPr>
                <w:rFonts w:ascii="Franklin Gothic Demi" w:hAnsi="Franklin Gothic Demi"/>
                <w:lang w:val="en-GB"/>
              </w:rPr>
              <w:t>566</w:t>
            </w:r>
          </w:p>
        </w:tc>
        <w:tc>
          <w:tcPr>
            <w:tcW w:w="1558" w:type="dxa"/>
            <w:tcBorders>
              <w:top w:val="single" w:sz="8" w:space="0" w:color="FFFFFF" w:themeColor="background1"/>
              <w:bottom w:val="single" w:sz="4" w:space="0" w:color="6F6652" w:themeColor="accent5"/>
            </w:tcBorders>
            <w:shd w:val="clear" w:color="auto" w:fill="C2DADB" w:themeFill="accent6" w:themeFillTint="99"/>
          </w:tcPr>
          <w:p w:rsidR="007C6A5F" w:rsidRPr="00C0714C" w:rsidRDefault="007C6A5F" w:rsidP="00C36DA4">
            <w:pPr>
              <w:pStyle w:val="TableDataEntries"/>
              <w:rPr>
                <w:rFonts w:ascii="Franklin Gothic Demi" w:hAnsi="Franklin Gothic Demi"/>
                <w:lang w:val="en-GB"/>
              </w:rPr>
            </w:pPr>
            <w:r w:rsidRPr="00C0714C">
              <w:rPr>
                <w:rFonts w:ascii="Franklin Gothic Demi" w:hAnsi="Franklin Gothic Demi"/>
                <w:lang w:val="en-GB"/>
              </w:rPr>
              <w:t>45.5</w:t>
            </w:r>
          </w:p>
        </w:tc>
      </w:tr>
    </w:tbl>
    <w:p w:rsidR="007C6A5F" w:rsidRDefault="007C6A5F" w:rsidP="007C6A5F">
      <w:pPr>
        <w:pStyle w:val="Source"/>
        <w:rPr>
          <w:lang w:bidi="fa-IR"/>
        </w:rPr>
      </w:pPr>
      <w:r w:rsidRPr="006D141F">
        <w:rPr>
          <w:i/>
          <w:lang w:bidi="fa-IR"/>
        </w:rPr>
        <w:t>Source:</w:t>
      </w:r>
      <w:r>
        <w:rPr>
          <w:lang w:bidi="fa-IR"/>
        </w:rPr>
        <w:t xml:space="preserve"> </w:t>
      </w:r>
      <w:r>
        <w:t>ABS, Survey of Disabilities, Ageing and Carers, 2018, TableBuilder.</w:t>
      </w:r>
    </w:p>
    <w:p w:rsidR="007C6A5F" w:rsidRDefault="007C6A5F" w:rsidP="007C6A5F">
      <w:pPr>
        <w:pStyle w:val="Heading8"/>
        <w:numPr>
          <w:ilvl w:val="7"/>
          <w:numId w:val="5"/>
        </w:numPr>
        <w:rPr>
          <w:lang w:bidi="fa-IR"/>
        </w:rPr>
      </w:pPr>
      <w:r>
        <w:rPr>
          <w:lang w:bidi="fa-IR"/>
        </w:rPr>
        <w:lastRenderedPageBreak/>
        <w:t>Residence of family and friends not accessible</w:t>
      </w:r>
    </w:p>
    <w:p w:rsidR="007C6A5F" w:rsidRDefault="007C6A5F" w:rsidP="007C6A5F">
      <w:pPr>
        <w:pStyle w:val="BodyText"/>
        <w:rPr>
          <w:lang w:bidi="fa-IR"/>
        </w:rPr>
      </w:pPr>
      <w:r>
        <w:rPr>
          <w:lang w:bidi="fa-IR"/>
        </w:rPr>
        <w:t>A lack of accessible housing could also contribute to social isolation and loneliness where people with a mobility limitation are unable to visit friends and family because the dwellings occupied by the family and friends are inaccessible. The SDAC data also provides some insights into the number of people affected by an inability to access the houses of family and friends.</w:t>
      </w:r>
    </w:p>
    <w:p w:rsidR="007C6A5F" w:rsidRDefault="007C6A5F" w:rsidP="005A6F87">
      <w:pPr>
        <w:pStyle w:val="ListBullet"/>
        <w:numPr>
          <w:ilvl w:val="0"/>
          <w:numId w:val="17"/>
        </w:numPr>
        <w:rPr>
          <w:lang w:bidi="fa-IR"/>
        </w:rPr>
      </w:pPr>
      <w:r>
        <w:rPr>
          <w:lang w:bidi="fa-IR"/>
        </w:rPr>
        <w:t>In 2018, there were around 113 700 people who reported having difficulty accessing another person’s house over the past year. This is the most direct measure of the number people affected by a lack of accessible housing. However, this measure would understate the true impact, as many people with mobility limitations would avoid visiting friends and relatives if they know (or suspect) they will be able unable to access the house.</w:t>
      </w:r>
    </w:p>
    <w:p w:rsidR="007C6A5F" w:rsidRDefault="007C6A5F" w:rsidP="005A6F87">
      <w:pPr>
        <w:pStyle w:val="ListBullet"/>
        <w:numPr>
          <w:ilvl w:val="0"/>
          <w:numId w:val="17"/>
        </w:numPr>
        <w:rPr>
          <w:lang w:bidi="fa-IR"/>
        </w:rPr>
      </w:pPr>
      <w:r>
        <w:rPr>
          <w:lang w:bidi="fa-IR"/>
        </w:rPr>
        <w:t>There were a further 309 000 people who reported avoiding visiting family and friends due to their disability (this excludes the overlap between those that also had difficulty accessing another person’s house). However, it is not clear that they avoided visiting family and friends because their housing was inaccessible or for some other reason related to their disability.</w:t>
      </w:r>
    </w:p>
    <w:p w:rsidR="007C6A5F" w:rsidRDefault="007C6A5F" w:rsidP="005A6F87">
      <w:pPr>
        <w:pStyle w:val="ListBullet"/>
        <w:numPr>
          <w:ilvl w:val="0"/>
          <w:numId w:val="17"/>
        </w:numPr>
        <w:rPr>
          <w:lang w:bidi="fa-IR"/>
        </w:rPr>
      </w:pPr>
      <w:r>
        <w:rPr>
          <w:lang w:bidi="fa-IR"/>
        </w:rPr>
        <w:t>In total up to 422 400 people were not able to access the home of a friend or relative. As noted above, this is likely to be an upper bound estimate because some people may have avoided visiting family or friends for reasons related to their disability, but unrelated to the accessibility of the house.</w:t>
      </w:r>
    </w:p>
    <w:p w:rsidR="007C6A5F" w:rsidRDefault="007C6A5F" w:rsidP="007C6A5F">
      <w:pPr>
        <w:pStyle w:val="BodyText"/>
        <w:spacing w:before="240"/>
        <w:rPr>
          <w:lang w:bidi="fa-IR"/>
        </w:rPr>
      </w:pPr>
      <w:r>
        <w:rPr>
          <w:lang w:bidi="fa-IR"/>
        </w:rPr>
        <w:t>As above, most people within this group nevertheless see family and friends that live outside the household relatively frequently.</w:t>
      </w:r>
    </w:p>
    <w:p w:rsidR="007C6A5F" w:rsidRDefault="007C6A5F" w:rsidP="005A6F87">
      <w:pPr>
        <w:pStyle w:val="ListBullet"/>
        <w:numPr>
          <w:ilvl w:val="0"/>
          <w:numId w:val="17"/>
        </w:numPr>
        <w:rPr>
          <w:lang w:bidi="fa-IR"/>
        </w:rPr>
      </w:pPr>
      <w:r>
        <w:rPr>
          <w:lang w:bidi="fa-IR"/>
        </w:rPr>
        <w:t>More than 60 per cent of people who had difficulty accessing another person’s house or avoided visiting another people because of their disability still saw a family member or friend who lived outside the house in the last week.</w:t>
      </w:r>
    </w:p>
    <w:p w:rsidR="007C6A5F" w:rsidRDefault="007C6A5F" w:rsidP="005A6F87">
      <w:pPr>
        <w:pStyle w:val="ListBullet"/>
        <w:numPr>
          <w:ilvl w:val="0"/>
          <w:numId w:val="17"/>
        </w:numPr>
        <w:rPr>
          <w:lang w:bidi="fa-IR"/>
        </w:rPr>
      </w:pPr>
      <w:r>
        <w:rPr>
          <w:lang w:bidi="fa-IR"/>
        </w:rPr>
        <w:t>More than 80 per cent of these people had contact with family and friends in the last month.</w:t>
      </w:r>
    </w:p>
    <w:p w:rsidR="007C6A5F" w:rsidRDefault="007C6A5F" w:rsidP="005A6F87">
      <w:pPr>
        <w:pStyle w:val="ListBullet"/>
        <w:numPr>
          <w:ilvl w:val="0"/>
          <w:numId w:val="17"/>
        </w:numPr>
        <w:rPr>
          <w:lang w:bidi="fa-IR"/>
        </w:rPr>
      </w:pPr>
      <w:r>
        <w:rPr>
          <w:lang w:bidi="fa-IR"/>
        </w:rPr>
        <w:t>Around 60 400 people had not had contact with family/friends not living in the same household in the last month (table </w:t>
      </w:r>
      <w:r>
        <w:rPr>
          <w:lang w:bidi="fa-IR"/>
        </w:rPr>
        <w:fldChar w:fldCharType="begin"/>
      </w:r>
      <w:r>
        <w:rPr>
          <w:lang w:bidi="fa-IR"/>
        </w:rPr>
        <w:instrText xml:space="preserve"> REF _Caption8525 </w:instrText>
      </w:r>
      <w:r>
        <w:rPr>
          <w:lang w:bidi="fa-IR"/>
        </w:rPr>
        <w:fldChar w:fldCharType="separate"/>
      </w:r>
      <w:r>
        <w:rPr>
          <w:noProof/>
        </w:rPr>
        <w:t>F</w:t>
      </w:r>
      <w:r w:rsidRPr="00695C93">
        <w:rPr>
          <w:noProof/>
        </w:rPr>
        <w:t>.</w:t>
      </w:r>
      <w:r>
        <w:rPr>
          <w:noProof/>
        </w:rPr>
        <w:t>5</w:t>
      </w:r>
      <w:r>
        <w:rPr>
          <w:lang w:bidi="fa-IR"/>
        </w:rPr>
        <w:fldChar w:fldCharType="end"/>
      </w:r>
      <w:r>
        <w:rPr>
          <w:lang w:bidi="fa-IR"/>
        </w:rPr>
        <w:t>).</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F</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F</w:instrText>
      </w:r>
      <w:r>
        <w:rPr>
          <w:noProof/>
        </w:rPr>
        <w:fldChar w:fldCharType="end"/>
      </w:r>
      <w:r w:rsidRPr="00695C93">
        <w:instrText xml:space="preserve">." </w:instrText>
      </w:r>
      <w:r w:rsidRPr="00695C93">
        <w:fldChar w:fldCharType="separate"/>
      </w:r>
      <w:r>
        <w:rPr>
          <w:noProof/>
        </w:rPr>
        <w:instrText>F</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F</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5</w:instrText>
      </w:r>
      <w:r w:rsidRPr="00695C93">
        <w:fldChar w:fldCharType="end"/>
      </w:r>
      <w:r w:rsidRPr="00695C93">
        <w:instrText xml:space="preserve">" "" </w:instrText>
      </w:r>
      <w:r w:rsidRPr="00695C93">
        <w:fldChar w:fldCharType="separate"/>
      </w:r>
      <w:bookmarkStart w:id="7424" w:name="_Caption2452"/>
      <w:bookmarkStart w:id="7425" w:name="_Caption4868"/>
      <w:bookmarkStart w:id="7426" w:name="_Caption8283"/>
      <w:bookmarkStart w:id="7427" w:name="_Caption5880"/>
      <w:bookmarkStart w:id="7428" w:name="_Caption9521"/>
      <w:bookmarkStart w:id="7429" w:name="_Caption2896"/>
      <w:bookmarkStart w:id="7430" w:name="_Caption1491"/>
      <w:bookmarkStart w:id="7431" w:name="_Caption9552"/>
      <w:bookmarkStart w:id="7432" w:name="_Caption8728"/>
      <w:bookmarkStart w:id="7433" w:name="_Caption7487"/>
      <w:bookmarkStart w:id="7434" w:name="_Caption4353"/>
      <w:bookmarkStart w:id="7435" w:name="_Caption6718"/>
      <w:bookmarkStart w:id="7436" w:name="_Caption7533"/>
      <w:bookmarkStart w:id="7437" w:name="_Caption1419"/>
      <w:bookmarkStart w:id="7438" w:name="_Caption1043"/>
      <w:bookmarkStart w:id="7439" w:name="_Caption6744"/>
      <w:bookmarkStart w:id="7440" w:name="_Caption6481"/>
      <w:bookmarkStart w:id="7441" w:name="_Caption2499"/>
      <w:bookmarkStart w:id="7442" w:name="_Caption8570"/>
      <w:bookmarkStart w:id="7443" w:name="_Caption0805"/>
      <w:bookmarkStart w:id="7444" w:name="_Caption4510"/>
      <w:bookmarkStart w:id="7445" w:name="_Caption1251"/>
      <w:bookmarkStart w:id="7446" w:name="_Caption7735"/>
      <w:bookmarkStart w:id="7447" w:name="_Caption1369"/>
      <w:bookmarkStart w:id="7448" w:name="_Caption5479"/>
      <w:bookmarkStart w:id="7449" w:name="_Caption4780"/>
      <w:bookmarkStart w:id="7450" w:name="_Caption7884"/>
      <w:bookmarkStart w:id="7451" w:name="_Caption8616"/>
      <w:bookmarkStart w:id="7452" w:name="_Caption2580"/>
      <w:bookmarkStart w:id="7453" w:name="_Caption8591"/>
      <w:bookmarkStart w:id="7454" w:name="_Caption7519"/>
      <w:bookmarkStart w:id="7455" w:name="_Caption1836"/>
      <w:bookmarkStart w:id="7456" w:name="_Caption6551"/>
      <w:bookmarkStart w:id="7457" w:name="_Caption2536"/>
      <w:bookmarkStart w:id="7458" w:name="_Caption7800"/>
      <w:bookmarkStart w:id="7459" w:name="_Caption8723"/>
      <w:bookmarkStart w:id="7460" w:name="_Caption5865"/>
      <w:bookmarkStart w:id="7461" w:name="_Caption8330"/>
      <w:bookmarkStart w:id="7462" w:name="_Caption8467"/>
      <w:bookmarkStart w:id="7463" w:name="_Caption8342"/>
      <w:bookmarkStart w:id="7464" w:name="_Caption5712"/>
      <w:bookmarkStart w:id="7465" w:name="_Caption2399"/>
      <w:bookmarkStart w:id="7466" w:name="_Caption2087"/>
      <w:bookmarkStart w:id="7467" w:name="_Caption4476"/>
      <w:bookmarkStart w:id="7468" w:name="_Caption5247"/>
      <w:bookmarkStart w:id="7469" w:name="_Caption8525"/>
      <w:bookmarkStart w:id="7470" w:name="_Caption5254"/>
      <w:bookmarkStart w:id="7471" w:name="_Caption5287"/>
      <w:bookmarkStart w:id="7472" w:name="_Caption2417"/>
      <w:bookmarkStart w:id="7473" w:name="_Caption1178"/>
      <w:bookmarkStart w:id="7474" w:name="_Caption3706"/>
      <w:bookmarkStart w:id="7475" w:name="_Caption8716"/>
      <w:bookmarkStart w:id="7476" w:name="_Caption1180"/>
      <w:bookmarkStart w:id="7477" w:name="_Caption0355"/>
      <w:bookmarkStart w:id="7478" w:name="_Caption7066"/>
      <w:bookmarkStart w:id="7479" w:name="_Caption2806"/>
      <w:bookmarkStart w:id="7480" w:name="_Caption1767"/>
      <w:bookmarkStart w:id="7481" w:name="_Caption1507"/>
      <w:bookmarkStart w:id="7482" w:name="_Caption1194"/>
      <w:bookmarkStart w:id="7483" w:name="_Caption0928"/>
      <w:bookmarkStart w:id="7484" w:name="_Caption7947"/>
      <w:bookmarkStart w:id="7485" w:name="_Caption4466"/>
      <w:bookmarkStart w:id="7486" w:name="_Caption3079"/>
      <w:bookmarkStart w:id="7487" w:name="_Caption4766"/>
      <w:bookmarkStart w:id="7488" w:name="_Caption9601"/>
      <w:bookmarkStart w:id="7489" w:name="_Caption9315"/>
      <w:bookmarkStart w:id="7490" w:name="_Caption9061"/>
      <w:bookmarkStart w:id="7491" w:name="_Caption7252"/>
      <w:bookmarkStart w:id="7492" w:name="_Caption3755"/>
      <w:bookmarkStart w:id="7493" w:name="_Caption6507"/>
      <w:bookmarkStart w:id="7494" w:name="_Caption0612"/>
      <w:bookmarkStart w:id="7495" w:name="_Caption9489"/>
      <w:bookmarkStart w:id="7496" w:name="_Caption9837"/>
      <w:bookmarkStart w:id="7497" w:name="_Caption5012"/>
      <w:bookmarkStart w:id="7498" w:name="_Caption0034"/>
      <w:bookmarkStart w:id="7499" w:name="_Caption4686"/>
      <w:bookmarkStart w:id="7500" w:name="_Caption4144"/>
      <w:bookmarkStart w:id="7501" w:name="_Caption4666"/>
      <w:bookmarkStart w:id="7502" w:name="_Caption7008"/>
      <w:bookmarkStart w:id="7503" w:name="_Caption4702"/>
      <w:bookmarkStart w:id="7504" w:name="_Toc32321883"/>
      <w:bookmarkStart w:id="7505" w:name="_Toc44598592"/>
      <w:bookmarkStart w:id="7506" w:name="_Toc45654223"/>
      <w:r w:rsidR="00272AF3">
        <w:rPr>
          <w:noProof/>
        </w:rPr>
        <w:t>F</w:t>
      </w:r>
      <w:r w:rsidR="00272AF3" w:rsidRPr="00695C93">
        <w:rPr>
          <w:noProof/>
        </w:rPr>
        <w:t>.</w:t>
      </w:r>
      <w:r w:rsidR="00272AF3">
        <w:rPr>
          <w:noProof/>
        </w:rPr>
        <w:t>5</w:t>
      </w:r>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r w:rsidRPr="00695C93">
        <w:fldChar w:fldCharType="end"/>
      </w:r>
      <w:r w:rsidRPr="00695C93">
        <w:tab/>
      </w:r>
      <w:r>
        <w:t>Frequency of contact with family or friends</w:t>
      </w:r>
      <w:bookmarkEnd w:id="7504"/>
      <w:bookmarkEnd w:id="7505"/>
      <w:bookmarkEnd w:id="7506"/>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F.5"/>
        <w:tblDescription w:val="Frequency of contact with family or friends"/>
      </w:tblPr>
      <w:tblGrid>
        <w:gridCol w:w="1843"/>
        <w:gridCol w:w="2693"/>
        <w:gridCol w:w="1701"/>
        <w:gridCol w:w="776"/>
        <w:gridCol w:w="924"/>
      </w:tblGrid>
      <w:tr w:rsidR="007C6A5F" w:rsidRPr="00E8116F" w:rsidTr="008C121C">
        <w:trPr>
          <w:trHeight w:val="922"/>
          <w:tblHeader/>
        </w:trPr>
        <w:tc>
          <w:tcPr>
            <w:tcW w:w="1843" w:type="dxa"/>
            <w:shd w:val="clear" w:color="auto" w:fill="6F6652" w:themeFill="accent5"/>
          </w:tcPr>
          <w:p w:rsidR="007C6A5F" w:rsidRPr="00E8116F" w:rsidRDefault="00030249" w:rsidP="00C36DA4">
            <w:pPr>
              <w:pStyle w:val="TableDataColumnHeading"/>
              <w:jc w:val="left"/>
              <w:rPr>
                <w:lang w:val="en-GB"/>
              </w:rPr>
            </w:pPr>
            <w:r>
              <w:rPr>
                <w:lang w:val="en-GB"/>
              </w:rPr>
              <w:t>Contact frequency</w:t>
            </w:r>
          </w:p>
        </w:tc>
        <w:tc>
          <w:tcPr>
            <w:tcW w:w="2693" w:type="dxa"/>
            <w:shd w:val="clear" w:color="auto" w:fill="6F6652" w:themeFill="accent5"/>
          </w:tcPr>
          <w:p w:rsidR="007C6A5F" w:rsidRDefault="007C6A5F" w:rsidP="00C36DA4">
            <w:pPr>
              <w:pStyle w:val="TableDataColumnHeading"/>
              <w:rPr>
                <w:lang w:val="en-GB"/>
              </w:rPr>
            </w:pPr>
            <w:r w:rsidRPr="00E8116F">
              <w:rPr>
                <w:lang w:val="en-GB"/>
              </w:rPr>
              <w:t>People who had difficulty accessing another person's house</w:t>
            </w:r>
          </w:p>
          <w:p w:rsidR="000D6D12" w:rsidRPr="00E8116F" w:rsidRDefault="000D6D12" w:rsidP="00C36DA4">
            <w:pPr>
              <w:pStyle w:val="TableDataColumnHeading"/>
              <w:rPr>
                <w:lang w:val="en-GB"/>
              </w:rPr>
            </w:pPr>
            <w:r>
              <w:rPr>
                <w:lang w:val="en-GB"/>
              </w:rPr>
              <w:t>(‘000)</w:t>
            </w:r>
          </w:p>
        </w:tc>
        <w:tc>
          <w:tcPr>
            <w:tcW w:w="1701" w:type="dxa"/>
            <w:shd w:val="clear" w:color="auto" w:fill="6F6652" w:themeFill="accent5"/>
          </w:tcPr>
          <w:p w:rsidR="007C6A5F" w:rsidRDefault="007C6A5F" w:rsidP="00C36DA4">
            <w:pPr>
              <w:pStyle w:val="TableDataColumnHeading"/>
              <w:rPr>
                <w:lang w:val="en-GB"/>
              </w:rPr>
            </w:pPr>
            <w:r w:rsidRPr="00E8116F">
              <w:rPr>
                <w:lang w:val="en-GB"/>
              </w:rPr>
              <w:t>People who avoided visiting other people</w:t>
            </w:r>
          </w:p>
          <w:p w:rsidR="008C121C" w:rsidRPr="00E8116F" w:rsidRDefault="008C121C" w:rsidP="00C36DA4">
            <w:pPr>
              <w:pStyle w:val="TableDataColumnHeading"/>
              <w:rPr>
                <w:lang w:val="en-GB"/>
              </w:rPr>
            </w:pPr>
            <w:r>
              <w:rPr>
                <w:lang w:val="en-GB"/>
              </w:rPr>
              <w:t>(‘000)</w:t>
            </w:r>
          </w:p>
        </w:tc>
        <w:tc>
          <w:tcPr>
            <w:tcW w:w="776" w:type="dxa"/>
            <w:shd w:val="clear" w:color="auto" w:fill="6F6652" w:themeFill="accent5"/>
          </w:tcPr>
          <w:p w:rsidR="007C6A5F" w:rsidRDefault="007C6A5F" w:rsidP="00C36DA4">
            <w:pPr>
              <w:pStyle w:val="TableDataColumnHeading"/>
              <w:rPr>
                <w:lang w:val="en-GB"/>
              </w:rPr>
            </w:pPr>
            <w:r w:rsidRPr="00E8116F">
              <w:rPr>
                <w:lang w:val="en-GB"/>
              </w:rPr>
              <w:t>Total</w:t>
            </w:r>
          </w:p>
          <w:p w:rsidR="008C121C" w:rsidRPr="00E8116F" w:rsidRDefault="008C121C" w:rsidP="00C36DA4">
            <w:pPr>
              <w:pStyle w:val="TableDataColumnHeading"/>
              <w:rPr>
                <w:lang w:val="en-GB"/>
              </w:rPr>
            </w:pPr>
            <w:r>
              <w:rPr>
                <w:lang w:val="en-GB"/>
              </w:rPr>
              <w:t>(‘000)</w:t>
            </w:r>
          </w:p>
        </w:tc>
        <w:tc>
          <w:tcPr>
            <w:tcW w:w="924" w:type="dxa"/>
            <w:shd w:val="clear" w:color="auto" w:fill="6F6652" w:themeFill="accent5"/>
          </w:tcPr>
          <w:p w:rsidR="007C6A5F" w:rsidRDefault="007C6A5F" w:rsidP="00C36DA4">
            <w:pPr>
              <w:pStyle w:val="TableDataColumnHeading"/>
              <w:rPr>
                <w:lang w:val="en-GB"/>
              </w:rPr>
            </w:pPr>
            <w:r w:rsidRPr="00E8116F">
              <w:rPr>
                <w:lang w:val="en-GB"/>
              </w:rPr>
              <w:t>Share</w:t>
            </w:r>
          </w:p>
          <w:p w:rsidR="008C121C" w:rsidRPr="00E8116F" w:rsidRDefault="008C121C" w:rsidP="00C36DA4">
            <w:pPr>
              <w:pStyle w:val="TableDataColumnHeading"/>
              <w:rPr>
                <w:lang w:val="en-GB"/>
              </w:rPr>
            </w:pPr>
            <w:r>
              <w:rPr>
                <w:lang w:val="en-GB"/>
              </w:rPr>
              <w:t>(Per cent)</w:t>
            </w:r>
          </w:p>
        </w:tc>
      </w:tr>
      <w:tr w:rsidR="007C6A5F" w:rsidTr="008C121C">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Every day</w:t>
            </w:r>
          </w:p>
        </w:tc>
        <w:tc>
          <w:tcPr>
            <w:tcW w:w="26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14.7</w:t>
            </w:r>
          </w:p>
        </w:tc>
        <w:tc>
          <w:tcPr>
            <w:tcW w:w="17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27.3</w:t>
            </w:r>
          </w:p>
        </w:tc>
        <w:tc>
          <w:tcPr>
            <w:tcW w:w="77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40.3</w:t>
            </w:r>
          </w:p>
        </w:tc>
        <w:tc>
          <w:tcPr>
            <w:tcW w:w="92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9.5</w:t>
            </w:r>
          </w:p>
        </w:tc>
      </w:tr>
      <w:tr w:rsidR="007C6A5F" w:rsidTr="008C121C">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In the last week</w:t>
            </w:r>
          </w:p>
        </w:tc>
        <w:tc>
          <w:tcPr>
            <w:tcW w:w="26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58.8</w:t>
            </w:r>
          </w:p>
        </w:tc>
        <w:tc>
          <w:tcPr>
            <w:tcW w:w="17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177.2</w:t>
            </w:r>
          </w:p>
        </w:tc>
        <w:tc>
          <w:tcPr>
            <w:tcW w:w="77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219.0</w:t>
            </w:r>
          </w:p>
        </w:tc>
        <w:tc>
          <w:tcPr>
            <w:tcW w:w="92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51.8</w:t>
            </w:r>
          </w:p>
        </w:tc>
      </w:tr>
      <w:tr w:rsidR="007C6A5F" w:rsidTr="008C121C">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In the last month</w:t>
            </w:r>
          </w:p>
        </w:tc>
        <w:tc>
          <w:tcPr>
            <w:tcW w:w="26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19.1</w:t>
            </w:r>
          </w:p>
        </w:tc>
        <w:tc>
          <w:tcPr>
            <w:tcW w:w="17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84.0</w:t>
            </w:r>
          </w:p>
        </w:tc>
        <w:tc>
          <w:tcPr>
            <w:tcW w:w="77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95.3</w:t>
            </w:r>
          </w:p>
        </w:tc>
        <w:tc>
          <w:tcPr>
            <w:tcW w:w="92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22.6</w:t>
            </w:r>
          </w:p>
        </w:tc>
      </w:tr>
      <w:tr w:rsidR="007C6A5F" w:rsidTr="008C121C">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In the last quarter</w:t>
            </w:r>
          </w:p>
        </w:tc>
        <w:tc>
          <w:tcPr>
            <w:tcW w:w="26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8.8</w:t>
            </w:r>
          </w:p>
        </w:tc>
        <w:tc>
          <w:tcPr>
            <w:tcW w:w="17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36.6</w:t>
            </w:r>
          </w:p>
        </w:tc>
        <w:tc>
          <w:tcPr>
            <w:tcW w:w="77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42.4</w:t>
            </w:r>
          </w:p>
        </w:tc>
        <w:tc>
          <w:tcPr>
            <w:tcW w:w="92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10.0</w:t>
            </w:r>
          </w:p>
        </w:tc>
      </w:tr>
      <w:tr w:rsidR="007C6A5F" w:rsidTr="008C121C">
        <w:trPr>
          <w:trHeight w:val="691"/>
        </w:trPr>
        <w:tc>
          <w:tcPr>
            <w:tcW w:w="184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Has not seen family or friends not living in same household in the last 3 months</w:t>
            </w:r>
          </w:p>
        </w:tc>
        <w:tc>
          <w:tcPr>
            <w:tcW w:w="26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3.2</w:t>
            </w:r>
          </w:p>
        </w:tc>
        <w:tc>
          <w:tcPr>
            <w:tcW w:w="17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12.7</w:t>
            </w:r>
          </w:p>
        </w:tc>
        <w:tc>
          <w:tcPr>
            <w:tcW w:w="77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15.9</w:t>
            </w:r>
          </w:p>
        </w:tc>
        <w:tc>
          <w:tcPr>
            <w:tcW w:w="92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3.8</w:t>
            </w:r>
          </w:p>
        </w:tc>
      </w:tr>
      <w:tr w:rsidR="007C6A5F" w:rsidTr="008C121C">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lastRenderedPageBreak/>
              <w:t>Has no family or friends</w:t>
            </w:r>
          </w:p>
        </w:tc>
        <w:tc>
          <w:tcPr>
            <w:tcW w:w="26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0.0</w:t>
            </w:r>
          </w:p>
        </w:tc>
        <w:tc>
          <w:tcPr>
            <w:tcW w:w="17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2.1</w:t>
            </w:r>
          </w:p>
        </w:tc>
        <w:tc>
          <w:tcPr>
            <w:tcW w:w="77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2.1</w:t>
            </w:r>
          </w:p>
        </w:tc>
        <w:tc>
          <w:tcPr>
            <w:tcW w:w="92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0.5</w:t>
            </w:r>
          </w:p>
        </w:tc>
      </w:tr>
      <w:tr w:rsidR="007C6A5F" w:rsidTr="008C121C">
        <w:trPr>
          <w:trHeight w:val="230"/>
        </w:trPr>
        <w:tc>
          <w:tcPr>
            <w:tcW w:w="184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Not applicable</w:t>
            </w:r>
          </w:p>
        </w:tc>
        <w:tc>
          <w:tcPr>
            <w:tcW w:w="26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7.4</w:t>
            </w:r>
          </w:p>
        </w:tc>
        <w:tc>
          <w:tcPr>
            <w:tcW w:w="170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0.0</w:t>
            </w:r>
          </w:p>
        </w:tc>
        <w:tc>
          <w:tcPr>
            <w:tcW w:w="77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7.4</w:t>
            </w:r>
          </w:p>
        </w:tc>
        <w:tc>
          <w:tcPr>
            <w:tcW w:w="92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1.8</w:t>
            </w:r>
          </w:p>
        </w:tc>
      </w:tr>
      <w:tr w:rsidR="007C6A5F" w:rsidRPr="00CD2EEC" w:rsidTr="008C121C">
        <w:trPr>
          <w:trHeight w:val="230"/>
        </w:trPr>
        <w:tc>
          <w:tcPr>
            <w:tcW w:w="1843" w:type="dxa"/>
            <w:tcBorders>
              <w:top w:val="single" w:sz="8" w:space="0" w:color="FFFFFF" w:themeColor="background1"/>
              <w:bottom w:val="single" w:sz="4" w:space="0" w:color="6F6652" w:themeColor="accent5"/>
            </w:tcBorders>
            <w:shd w:val="clear" w:color="auto" w:fill="C2DADB" w:themeFill="accent6" w:themeFillTint="99"/>
          </w:tcPr>
          <w:p w:rsidR="007C6A5F" w:rsidRPr="00CD2EEC" w:rsidRDefault="007C6A5F" w:rsidP="00C36DA4">
            <w:pPr>
              <w:pStyle w:val="TableDataEntries"/>
              <w:jc w:val="left"/>
              <w:rPr>
                <w:rFonts w:ascii="Franklin Gothic Demi" w:hAnsi="Franklin Gothic Demi"/>
                <w:lang w:val="en-GB"/>
              </w:rPr>
            </w:pPr>
            <w:r w:rsidRPr="00CD2EEC">
              <w:rPr>
                <w:rFonts w:ascii="Franklin Gothic Demi" w:hAnsi="Franklin Gothic Demi"/>
                <w:lang w:val="en-GB"/>
              </w:rPr>
              <w:t>Total</w:t>
            </w:r>
          </w:p>
        </w:tc>
        <w:tc>
          <w:tcPr>
            <w:tcW w:w="2693" w:type="dxa"/>
            <w:tcBorders>
              <w:top w:val="single" w:sz="8" w:space="0" w:color="FFFFFF" w:themeColor="background1"/>
              <w:bottom w:val="single" w:sz="4" w:space="0" w:color="6F6652" w:themeColor="accent5"/>
            </w:tcBorders>
            <w:shd w:val="clear" w:color="auto" w:fill="C2DADB" w:themeFill="accent6" w:themeFillTint="99"/>
          </w:tcPr>
          <w:p w:rsidR="007C6A5F" w:rsidRPr="00CD2EEC" w:rsidRDefault="007C6A5F" w:rsidP="00C36DA4">
            <w:pPr>
              <w:pStyle w:val="TableDataEntries"/>
              <w:rPr>
                <w:rFonts w:ascii="Franklin Gothic Demi" w:hAnsi="Franklin Gothic Demi"/>
                <w:lang w:val="en-GB"/>
              </w:rPr>
            </w:pPr>
            <w:r w:rsidRPr="00CD2EEC">
              <w:rPr>
                <w:rFonts w:ascii="Franklin Gothic Demi" w:hAnsi="Franklin Gothic Demi"/>
                <w:lang w:val="en-GB"/>
              </w:rPr>
              <w:t xml:space="preserve"> 113.7</w:t>
            </w:r>
          </w:p>
        </w:tc>
        <w:tc>
          <w:tcPr>
            <w:tcW w:w="1701" w:type="dxa"/>
            <w:tcBorders>
              <w:top w:val="single" w:sz="8" w:space="0" w:color="FFFFFF" w:themeColor="background1"/>
              <w:bottom w:val="single" w:sz="4" w:space="0" w:color="6F6652" w:themeColor="accent5"/>
            </w:tcBorders>
            <w:shd w:val="clear" w:color="auto" w:fill="C2DADB" w:themeFill="accent6" w:themeFillTint="99"/>
          </w:tcPr>
          <w:p w:rsidR="007C6A5F" w:rsidRPr="00CD2EEC" w:rsidRDefault="007C6A5F" w:rsidP="00C36DA4">
            <w:pPr>
              <w:pStyle w:val="TableDataEntries"/>
              <w:rPr>
                <w:rFonts w:ascii="Franklin Gothic Demi" w:hAnsi="Franklin Gothic Demi"/>
                <w:lang w:val="en-GB"/>
              </w:rPr>
            </w:pPr>
            <w:r w:rsidRPr="00CD2EEC">
              <w:rPr>
                <w:rFonts w:ascii="Franklin Gothic Demi" w:hAnsi="Franklin Gothic Demi"/>
                <w:lang w:val="en-GB"/>
              </w:rPr>
              <w:t xml:space="preserve"> 339.9</w:t>
            </w:r>
          </w:p>
        </w:tc>
        <w:tc>
          <w:tcPr>
            <w:tcW w:w="776" w:type="dxa"/>
            <w:tcBorders>
              <w:top w:val="single" w:sz="8" w:space="0" w:color="FFFFFF" w:themeColor="background1"/>
              <w:bottom w:val="single" w:sz="4" w:space="0" w:color="6F6652" w:themeColor="accent5"/>
            </w:tcBorders>
            <w:shd w:val="clear" w:color="auto" w:fill="C2DADB" w:themeFill="accent6" w:themeFillTint="99"/>
          </w:tcPr>
          <w:p w:rsidR="007C6A5F" w:rsidRPr="00CD2EEC" w:rsidRDefault="007C6A5F" w:rsidP="00C36DA4">
            <w:pPr>
              <w:pStyle w:val="TableDataEntries"/>
              <w:rPr>
                <w:rFonts w:ascii="Franklin Gothic Demi" w:hAnsi="Franklin Gothic Demi"/>
                <w:lang w:val="en-GB"/>
              </w:rPr>
            </w:pPr>
            <w:r w:rsidRPr="00CD2EEC">
              <w:rPr>
                <w:rFonts w:ascii="Franklin Gothic Demi" w:hAnsi="Franklin Gothic Demi"/>
                <w:lang w:val="en-GB"/>
              </w:rPr>
              <w:t xml:space="preserve"> 422.4</w:t>
            </w:r>
          </w:p>
        </w:tc>
        <w:tc>
          <w:tcPr>
            <w:tcW w:w="924" w:type="dxa"/>
            <w:tcBorders>
              <w:top w:val="single" w:sz="8" w:space="0" w:color="FFFFFF" w:themeColor="background1"/>
              <w:bottom w:val="single" w:sz="4" w:space="0" w:color="6F6652" w:themeColor="accent5"/>
            </w:tcBorders>
            <w:shd w:val="clear" w:color="auto" w:fill="C2DADB" w:themeFill="accent6" w:themeFillTint="99"/>
          </w:tcPr>
          <w:p w:rsidR="007C6A5F" w:rsidRPr="00CD2EEC" w:rsidRDefault="007C6A5F" w:rsidP="00C36DA4">
            <w:pPr>
              <w:pStyle w:val="TableDataEntries"/>
              <w:rPr>
                <w:rFonts w:ascii="Franklin Gothic Demi" w:hAnsi="Franklin Gothic Demi"/>
                <w:lang w:val="en-GB"/>
              </w:rPr>
            </w:pPr>
            <w:r w:rsidRPr="00CD2EEC">
              <w:rPr>
                <w:rFonts w:ascii="Franklin Gothic Demi" w:hAnsi="Franklin Gothic Demi"/>
                <w:lang w:val="en-GB"/>
              </w:rPr>
              <w:t>100.0</w:t>
            </w:r>
          </w:p>
        </w:tc>
      </w:tr>
    </w:tbl>
    <w:p w:rsidR="007C6A5F" w:rsidRDefault="007C6A5F" w:rsidP="007C6A5F">
      <w:pPr>
        <w:pStyle w:val="Source"/>
        <w:rPr>
          <w:lang w:bidi="fa-IR"/>
        </w:rPr>
      </w:pPr>
      <w:r w:rsidRPr="00717123">
        <w:rPr>
          <w:i/>
          <w:lang w:bidi="fa-IR"/>
        </w:rPr>
        <w:t>Source:</w:t>
      </w:r>
      <w:r>
        <w:rPr>
          <w:lang w:bidi="fa-IR"/>
        </w:rPr>
        <w:t xml:space="preserve"> </w:t>
      </w:r>
      <w:r>
        <w:t>ABS, Survey of Disabilities, Ageing and Carers, 2018, TableBuilder.</w:t>
      </w:r>
    </w:p>
    <w:p w:rsidR="007C6A5F" w:rsidRDefault="007C6A5F" w:rsidP="007C6A5F">
      <w:pPr>
        <w:pStyle w:val="BodyText"/>
        <w:rPr>
          <w:lang w:eastAsia="en-US" w:bidi="fa-IR"/>
        </w:rPr>
      </w:pPr>
      <w:r>
        <w:rPr>
          <w:lang w:eastAsia="en-US" w:bidi="fa-IR"/>
        </w:rPr>
        <w:t>Of these people, around 191 500 (or around 45 per cent) wanted more contact with their family and friends (table </w:t>
      </w:r>
      <w:r>
        <w:rPr>
          <w:lang w:eastAsia="en-US" w:bidi="fa-IR"/>
        </w:rPr>
        <w:fldChar w:fldCharType="begin"/>
      </w:r>
      <w:r>
        <w:rPr>
          <w:lang w:eastAsia="en-US" w:bidi="fa-IR"/>
        </w:rPr>
        <w:instrText xml:space="preserve"> REF _Caption0699 </w:instrText>
      </w:r>
      <w:r>
        <w:rPr>
          <w:lang w:eastAsia="en-US" w:bidi="fa-IR"/>
        </w:rPr>
        <w:fldChar w:fldCharType="separate"/>
      </w:r>
      <w:r>
        <w:rPr>
          <w:noProof/>
        </w:rPr>
        <w:t>F</w:t>
      </w:r>
      <w:r w:rsidRPr="00695C93">
        <w:rPr>
          <w:noProof/>
        </w:rPr>
        <w:t>.</w:t>
      </w:r>
      <w:r>
        <w:rPr>
          <w:noProof/>
        </w:rPr>
        <w:t>6</w:t>
      </w:r>
      <w:r>
        <w:rPr>
          <w:lang w:eastAsia="en-US" w:bidi="fa-IR"/>
        </w:rPr>
        <w:fldChar w:fldCharType="end"/>
      </w:r>
      <w:r>
        <w:rPr>
          <w:lang w:eastAsia="en-US" w:bidi="fa-IR"/>
        </w:rPr>
        <w:t>).</w:t>
      </w:r>
    </w:p>
    <w:p w:rsidR="007C6A5F" w:rsidRDefault="007C6A5F" w:rsidP="007C6A5F">
      <w:pPr>
        <w:pStyle w:val="Caption"/>
        <w:ind w:left="568" w:hanging="568"/>
      </w:pPr>
      <w:r w:rsidRPr="006A7274">
        <w:fldChar w:fldCharType="begin"/>
      </w:r>
      <w:r w:rsidRPr="006A7274">
        <w:instrText xml:space="preserve"> IF 1 = 1 "</w:instrText>
      </w:r>
      <w:r w:rsidRPr="006A7274">
        <w:fldChar w:fldCharType="begin"/>
      </w:r>
      <w:r w:rsidRPr="006A7274">
        <w:instrText xml:space="preserve"> IF </w:instrText>
      </w:r>
      <w:r w:rsidRPr="006A7274">
        <w:rPr>
          <w:noProof/>
        </w:rPr>
        <w:fldChar w:fldCharType="begin"/>
      </w:r>
      <w:r w:rsidRPr="006A7274">
        <w:rPr>
          <w:noProof/>
        </w:rPr>
        <w:instrText xml:space="preserve"> STYLEREF "Heading 6" \l \n </w:instrText>
      </w:r>
      <w:r w:rsidRPr="006A7274">
        <w:rPr>
          <w:noProof/>
        </w:rPr>
        <w:fldChar w:fldCharType="separate"/>
      </w:r>
      <w:r w:rsidRPr="006A7274">
        <w:rPr>
          <w:noProof/>
        </w:rPr>
        <w:instrText>F</w:instrText>
      </w:r>
      <w:r w:rsidRPr="006A7274">
        <w:rPr>
          <w:noProof/>
        </w:rPr>
        <w:fldChar w:fldCharType="end"/>
      </w:r>
      <w:r w:rsidRPr="006A7274">
        <w:instrText xml:space="preserve"> = 0 "</w:instrText>
      </w:r>
      <w:r w:rsidRPr="006A7274">
        <w:fldChar w:fldCharType="begin"/>
      </w:r>
      <w:r w:rsidRPr="006A7274">
        <w:instrText xml:space="preserve"> IF </w:instrText>
      </w:r>
      <w:r w:rsidRPr="006A7274">
        <w:rPr>
          <w:noProof/>
        </w:rPr>
        <w:fldChar w:fldCharType="begin"/>
      </w:r>
      <w:r w:rsidRPr="006A7274">
        <w:rPr>
          <w:noProof/>
        </w:rPr>
        <w:instrText xml:space="preserve"> STYLEREF "Heading 1" \l \n </w:instrText>
      </w:r>
      <w:r w:rsidRPr="006A7274">
        <w:rPr>
          <w:noProof/>
        </w:rPr>
        <w:fldChar w:fldCharType="separate"/>
      </w:r>
      <w:r w:rsidRPr="006A7274">
        <w:rPr>
          <w:noProof/>
        </w:rPr>
        <w:instrText>2</w:instrText>
      </w:r>
      <w:r w:rsidRPr="006A7274">
        <w:rPr>
          <w:noProof/>
        </w:rPr>
        <w:fldChar w:fldCharType="end"/>
      </w:r>
      <w:r w:rsidRPr="006A7274">
        <w:instrText xml:space="preserve"> = 0 "" "</w:instrText>
      </w:r>
      <w:r w:rsidRPr="006A7274">
        <w:rPr>
          <w:noProof/>
        </w:rPr>
        <w:fldChar w:fldCharType="begin"/>
      </w:r>
      <w:r w:rsidRPr="006A7274">
        <w:rPr>
          <w:noProof/>
        </w:rPr>
        <w:instrText xml:space="preserve"> STYLEREF "Heading 1" \l \n </w:instrText>
      </w:r>
      <w:r w:rsidRPr="006A7274">
        <w:rPr>
          <w:noProof/>
        </w:rPr>
        <w:fldChar w:fldCharType="separate"/>
      </w:r>
      <w:r w:rsidRPr="006A7274">
        <w:rPr>
          <w:noProof/>
        </w:rPr>
        <w:instrText>2</w:instrText>
      </w:r>
      <w:r w:rsidRPr="006A7274">
        <w:rPr>
          <w:noProof/>
        </w:rPr>
        <w:fldChar w:fldCharType="end"/>
      </w:r>
      <w:r w:rsidRPr="006A7274">
        <w:instrText xml:space="preserve">." </w:instrText>
      </w:r>
      <w:r w:rsidRPr="006A7274">
        <w:fldChar w:fldCharType="separate"/>
      </w:r>
      <w:r w:rsidRPr="006A7274">
        <w:rPr>
          <w:noProof/>
        </w:rPr>
        <w:instrText>2.</w:instrText>
      </w:r>
      <w:r w:rsidRPr="006A7274">
        <w:fldChar w:fldCharType="end"/>
      </w:r>
      <w:r w:rsidRPr="006A7274">
        <w:instrText>" "</w:instrText>
      </w:r>
      <w:r w:rsidRPr="006A7274">
        <w:rPr>
          <w:noProof/>
        </w:rPr>
        <w:fldChar w:fldCharType="begin"/>
      </w:r>
      <w:r w:rsidRPr="006A7274">
        <w:rPr>
          <w:noProof/>
        </w:rPr>
        <w:instrText xml:space="preserve"> STYLEREF "Heading 6" \l \n </w:instrText>
      </w:r>
      <w:r w:rsidRPr="006A7274">
        <w:rPr>
          <w:noProof/>
        </w:rPr>
        <w:fldChar w:fldCharType="separate"/>
      </w:r>
      <w:r w:rsidRPr="006A7274">
        <w:rPr>
          <w:noProof/>
        </w:rPr>
        <w:instrText>F</w:instrText>
      </w:r>
      <w:r w:rsidRPr="006A7274">
        <w:rPr>
          <w:noProof/>
        </w:rPr>
        <w:fldChar w:fldCharType="end"/>
      </w:r>
      <w:r w:rsidRPr="006A7274">
        <w:instrText xml:space="preserve">." </w:instrText>
      </w:r>
      <w:r w:rsidRPr="006A7274">
        <w:fldChar w:fldCharType="separate"/>
      </w:r>
      <w:r w:rsidRPr="006A7274">
        <w:rPr>
          <w:noProof/>
        </w:rPr>
        <w:instrText>F.</w:instrText>
      </w:r>
      <w:r w:rsidRPr="006A7274">
        <w:fldChar w:fldCharType="end"/>
      </w:r>
      <w:r w:rsidRPr="006A7274">
        <w:fldChar w:fldCharType="begin"/>
      </w:r>
      <w:r w:rsidRPr="006A7274">
        <w:instrText xml:space="preserve"> SEQ Item \* ARABIC \s </w:instrText>
      </w:r>
      <w:r w:rsidRPr="006A7274">
        <w:fldChar w:fldCharType="begin"/>
      </w:r>
      <w:r w:rsidRPr="006A7274">
        <w:instrText xml:space="preserve"> IF </w:instrText>
      </w:r>
      <w:r w:rsidRPr="006A7274">
        <w:rPr>
          <w:noProof/>
        </w:rPr>
        <w:fldChar w:fldCharType="begin"/>
      </w:r>
      <w:r w:rsidRPr="006A7274">
        <w:rPr>
          <w:noProof/>
        </w:rPr>
        <w:instrText xml:space="preserve"> STYLEREF "Heading 6" \l \n </w:instrText>
      </w:r>
      <w:r w:rsidRPr="006A7274">
        <w:rPr>
          <w:noProof/>
        </w:rPr>
        <w:fldChar w:fldCharType="separate"/>
      </w:r>
      <w:r w:rsidRPr="006A7274">
        <w:rPr>
          <w:noProof/>
        </w:rPr>
        <w:instrText>F</w:instrText>
      </w:r>
      <w:r w:rsidRPr="006A7274">
        <w:rPr>
          <w:noProof/>
        </w:rPr>
        <w:fldChar w:fldCharType="end"/>
      </w:r>
      <w:r w:rsidRPr="006A7274">
        <w:instrText xml:space="preserve"> = 0 "</w:instrText>
      </w:r>
      <w:r w:rsidRPr="006A7274">
        <w:fldChar w:fldCharType="begin"/>
      </w:r>
      <w:r w:rsidRPr="006A7274">
        <w:instrText xml:space="preserve"> IF </w:instrText>
      </w:r>
      <w:r w:rsidRPr="006A7274">
        <w:rPr>
          <w:noProof/>
        </w:rPr>
        <w:fldChar w:fldCharType="begin"/>
      </w:r>
      <w:r w:rsidRPr="006A7274">
        <w:rPr>
          <w:noProof/>
        </w:rPr>
        <w:instrText xml:space="preserve"> STYLEREF "Heading 1" \l \n </w:instrText>
      </w:r>
      <w:r w:rsidRPr="006A7274">
        <w:rPr>
          <w:noProof/>
        </w:rPr>
        <w:fldChar w:fldCharType="separate"/>
      </w:r>
      <w:r w:rsidRPr="006A7274">
        <w:rPr>
          <w:noProof/>
        </w:rPr>
        <w:instrText>2</w:instrText>
      </w:r>
      <w:r w:rsidRPr="006A7274">
        <w:rPr>
          <w:noProof/>
        </w:rPr>
        <w:fldChar w:fldCharType="end"/>
      </w:r>
      <w:r w:rsidRPr="006A7274">
        <w:instrText xml:space="preserve"> = 0 "" "1" </w:instrText>
      </w:r>
      <w:r w:rsidRPr="006A7274">
        <w:fldChar w:fldCharType="separate"/>
      </w:r>
      <w:r w:rsidRPr="006A7274">
        <w:rPr>
          <w:noProof/>
        </w:rPr>
        <w:instrText>1</w:instrText>
      </w:r>
      <w:r w:rsidRPr="006A7274">
        <w:fldChar w:fldCharType="end"/>
      </w:r>
      <w:r w:rsidRPr="006A7274">
        <w:instrText xml:space="preserve">" "6" </w:instrText>
      </w:r>
      <w:r w:rsidRPr="006A7274">
        <w:fldChar w:fldCharType="separate"/>
      </w:r>
      <w:r w:rsidRPr="006A7274">
        <w:rPr>
          <w:noProof/>
        </w:rPr>
        <w:instrText>6</w:instrText>
      </w:r>
      <w:r w:rsidRPr="006A7274">
        <w:fldChar w:fldCharType="end"/>
      </w:r>
      <w:r w:rsidRPr="006A7274">
        <w:instrText xml:space="preserve"> </w:instrText>
      </w:r>
      <w:r w:rsidRPr="006A7274">
        <w:fldChar w:fldCharType="separate"/>
      </w:r>
      <w:r w:rsidRPr="006A7274">
        <w:rPr>
          <w:noProof/>
        </w:rPr>
        <w:instrText>6</w:instrText>
      </w:r>
      <w:r w:rsidRPr="006A7274">
        <w:fldChar w:fldCharType="end"/>
      </w:r>
      <w:r w:rsidRPr="006A7274">
        <w:instrText xml:space="preserve">" "" </w:instrText>
      </w:r>
      <w:r w:rsidRPr="006A7274">
        <w:fldChar w:fldCharType="separate"/>
      </w:r>
      <w:bookmarkStart w:id="7507" w:name="_Caption0584"/>
      <w:bookmarkStart w:id="7508" w:name="_Caption3843"/>
      <w:bookmarkStart w:id="7509" w:name="_Caption7409"/>
      <w:bookmarkStart w:id="7510" w:name="_Caption6516"/>
      <w:bookmarkStart w:id="7511" w:name="_Caption0243"/>
      <w:bookmarkStart w:id="7512" w:name="_Caption4322"/>
      <w:bookmarkStart w:id="7513" w:name="_Caption8052"/>
      <w:bookmarkStart w:id="7514" w:name="_Caption0322"/>
      <w:bookmarkStart w:id="7515" w:name="_Caption0794"/>
      <w:bookmarkStart w:id="7516" w:name="_Caption2762"/>
      <w:bookmarkStart w:id="7517" w:name="_Caption0571"/>
      <w:bookmarkStart w:id="7518" w:name="_Caption5751"/>
      <w:bookmarkStart w:id="7519" w:name="_Caption4089"/>
      <w:bookmarkStart w:id="7520" w:name="_Caption6373"/>
      <w:bookmarkStart w:id="7521" w:name="_Caption0107"/>
      <w:bookmarkStart w:id="7522" w:name="_Caption5454"/>
      <w:bookmarkStart w:id="7523" w:name="_Caption8533"/>
      <w:bookmarkStart w:id="7524" w:name="_Caption7718"/>
      <w:bookmarkStart w:id="7525" w:name="_Caption4361"/>
      <w:bookmarkStart w:id="7526" w:name="_Caption3729"/>
      <w:bookmarkStart w:id="7527" w:name="_Caption7227"/>
      <w:bookmarkStart w:id="7528" w:name="_Caption1531"/>
      <w:bookmarkStart w:id="7529" w:name="_Caption2277"/>
      <w:bookmarkStart w:id="7530" w:name="_Caption7619"/>
      <w:bookmarkStart w:id="7531" w:name="_Caption8427"/>
      <w:bookmarkStart w:id="7532" w:name="_Caption7381"/>
      <w:bookmarkStart w:id="7533" w:name="_Caption6536"/>
      <w:bookmarkStart w:id="7534" w:name="_Caption1216"/>
      <w:bookmarkStart w:id="7535" w:name="_Caption7041"/>
      <w:bookmarkStart w:id="7536" w:name="_Caption7059"/>
      <w:bookmarkStart w:id="7537" w:name="_Caption0576"/>
      <w:bookmarkStart w:id="7538" w:name="_Caption0753"/>
      <w:bookmarkStart w:id="7539" w:name="_Caption7373"/>
      <w:bookmarkStart w:id="7540" w:name="_Caption7596"/>
      <w:bookmarkStart w:id="7541" w:name="_Caption8172"/>
      <w:bookmarkStart w:id="7542" w:name="_Caption7175"/>
      <w:bookmarkStart w:id="7543" w:name="_Caption8790"/>
      <w:bookmarkStart w:id="7544" w:name="_Caption6820"/>
      <w:bookmarkStart w:id="7545" w:name="_Caption8333"/>
      <w:bookmarkStart w:id="7546" w:name="_Caption2248"/>
      <w:bookmarkStart w:id="7547" w:name="_Caption2852"/>
      <w:bookmarkStart w:id="7548" w:name="_Caption5000"/>
      <w:bookmarkStart w:id="7549" w:name="_Caption1951"/>
      <w:bookmarkStart w:id="7550" w:name="_Caption5625"/>
      <w:bookmarkStart w:id="7551" w:name="_Caption2698"/>
      <w:bookmarkStart w:id="7552" w:name="_Caption5976"/>
      <w:bookmarkStart w:id="7553" w:name="_Caption0699"/>
      <w:bookmarkStart w:id="7554" w:name="_Caption8667"/>
      <w:bookmarkStart w:id="7555" w:name="_Caption8275"/>
      <w:bookmarkStart w:id="7556" w:name="_Caption0084"/>
      <w:bookmarkStart w:id="7557" w:name="_Caption3908"/>
      <w:bookmarkStart w:id="7558" w:name="_Caption1380"/>
      <w:bookmarkStart w:id="7559" w:name="_Caption2737"/>
      <w:bookmarkStart w:id="7560" w:name="_Caption9998"/>
      <w:bookmarkStart w:id="7561" w:name="_Caption7842"/>
      <w:bookmarkStart w:id="7562" w:name="_Caption5535"/>
      <w:bookmarkStart w:id="7563" w:name="_Caption9553"/>
      <w:bookmarkStart w:id="7564" w:name="_Caption1663"/>
      <w:bookmarkStart w:id="7565" w:name="_Caption5492"/>
      <w:bookmarkStart w:id="7566" w:name="_Caption1900"/>
      <w:bookmarkStart w:id="7567" w:name="_Caption1054"/>
      <w:bookmarkStart w:id="7568" w:name="_Caption4145"/>
      <w:bookmarkStart w:id="7569" w:name="_Caption4608"/>
      <w:bookmarkStart w:id="7570" w:name="_Caption1883"/>
      <w:bookmarkStart w:id="7571" w:name="_Caption2953"/>
      <w:bookmarkStart w:id="7572" w:name="_Caption7967"/>
      <w:bookmarkStart w:id="7573" w:name="_Caption1009"/>
      <w:bookmarkStart w:id="7574" w:name="_Caption6651"/>
      <w:bookmarkStart w:id="7575" w:name="_Caption1110"/>
      <w:bookmarkStart w:id="7576" w:name="_Caption2662"/>
      <w:bookmarkStart w:id="7577" w:name="_Caption4604"/>
      <w:bookmarkStart w:id="7578" w:name="_Caption0915"/>
      <w:bookmarkStart w:id="7579" w:name="_Caption9848"/>
      <w:bookmarkStart w:id="7580" w:name="_Caption4596"/>
      <w:bookmarkStart w:id="7581" w:name="_Caption8524"/>
      <w:bookmarkStart w:id="7582" w:name="_Caption3577"/>
      <w:bookmarkStart w:id="7583" w:name="_Caption1609"/>
      <w:bookmarkStart w:id="7584" w:name="_Caption0160"/>
      <w:bookmarkStart w:id="7585" w:name="_Caption6430"/>
      <w:bookmarkStart w:id="7586" w:name="_Caption6760"/>
      <w:bookmarkStart w:id="7587" w:name="_Toc32321884"/>
      <w:bookmarkStart w:id="7588" w:name="_Toc44598593"/>
      <w:bookmarkStart w:id="7589" w:name="_Toc45654224"/>
      <w:r w:rsidR="00272AF3" w:rsidRPr="006A7274">
        <w:rPr>
          <w:noProof/>
        </w:rPr>
        <w:t>F.6</w:t>
      </w:r>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r w:rsidRPr="006A7274">
        <w:fldChar w:fldCharType="end"/>
      </w:r>
      <w:r w:rsidRPr="006A7274">
        <w:tab/>
        <w:t>Share of identified population who would like to see family and friends more often</w:t>
      </w:r>
      <w:bookmarkEnd w:id="7587"/>
      <w:bookmarkEnd w:id="7588"/>
      <w:bookmarkEnd w:id="7589"/>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F.6"/>
        <w:tblDescription w:val="Share of identified population who would like to see family and friends more often"/>
      </w:tblPr>
      <w:tblGrid>
        <w:gridCol w:w="1938"/>
        <w:gridCol w:w="2000"/>
        <w:gridCol w:w="1591"/>
        <w:gridCol w:w="2409"/>
      </w:tblGrid>
      <w:tr w:rsidR="007C6A5F" w:rsidTr="006A7274">
        <w:trPr>
          <w:trHeight w:val="68"/>
          <w:tblHeader/>
        </w:trPr>
        <w:tc>
          <w:tcPr>
            <w:tcW w:w="1938" w:type="dxa"/>
            <w:shd w:val="clear" w:color="auto" w:fill="6F6652" w:themeFill="accent5"/>
          </w:tcPr>
          <w:p w:rsidR="007C6A5F" w:rsidRDefault="006A7274" w:rsidP="00C36DA4">
            <w:pPr>
              <w:pStyle w:val="TableDataColumnHeading"/>
              <w:jc w:val="left"/>
              <w:rPr>
                <w:lang w:val="en-GB"/>
              </w:rPr>
            </w:pPr>
            <w:r>
              <w:rPr>
                <w:lang w:val="en-GB"/>
              </w:rPr>
              <w:t>Degree of need</w:t>
            </w:r>
          </w:p>
        </w:tc>
        <w:tc>
          <w:tcPr>
            <w:tcW w:w="2000" w:type="dxa"/>
            <w:shd w:val="clear" w:color="auto" w:fill="6F6652" w:themeFill="accent5"/>
          </w:tcPr>
          <w:p w:rsidR="007C6A5F" w:rsidRDefault="007C6A5F" w:rsidP="00C36DA4">
            <w:pPr>
              <w:pStyle w:val="TableDataColumnHeading"/>
              <w:rPr>
                <w:lang w:val="en-GB"/>
              </w:rPr>
            </w:pPr>
            <w:r>
              <w:rPr>
                <w:lang w:val="en-GB"/>
              </w:rPr>
              <w:t>Want more contact with family/friends</w:t>
            </w:r>
          </w:p>
          <w:p w:rsidR="008C121C" w:rsidRDefault="008C121C" w:rsidP="00C36DA4">
            <w:pPr>
              <w:pStyle w:val="TableDataColumnHeading"/>
              <w:rPr>
                <w:lang w:val="en-GB"/>
              </w:rPr>
            </w:pPr>
            <w:r>
              <w:rPr>
                <w:lang w:val="en-GB"/>
              </w:rPr>
              <w:t>(‘000)</w:t>
            </w:r>
          </w:p>
        </w:tc>
        <w:tc>
          <w:tcPr>
            <w:tcW w:w="1591" w:type="dxa"/>
            <w:shd w:val="clear" w:color="auto" w:fill="6F6652" w:themeFill="accent5"/>
          </w:tcPr>
          <w:p w:rsidR="007C6A5F" w:rsidRDefault="007C6A5F" w:rsidP="00C36DA4">
            <w:pPr>
              <w:pStyle w:val="TableDataColumnHeading"/>
              <w:rPr>
                <w:lang w:val="en-GB"/>
              </w:rPr>
            </w:pPr>
            <w:r>
              <w:rPr>
                <w:lang w:val="en-GB"/>
              </w:rPr>
              <w:t>Total identified population</w:t>
            </w:r>
          </w:p>
          <w:p w:rsidR="008C121C" w:rsidRDefault="008C121C" w:rsidP="00C36DA4">
            <w:pPr>
              <w:pStyle w:val="TableDataColumnHeading"/>
              <w:rPr>
                <w:lang w:val="en-GB"/>
              </w:rPr>
            </w:pPr>
            <w:r>
              <w:rPr>
                <w:lang w:val="en-GB"/>
              </w:rPr>
              <w:t>(‘000)</w:t>
            </w:r>
          </w:p>
        </w:tc>
        <w:tc>
          <w:tcPr>
            <w:tcW w:w="2409" w:type="dxa"/>
            <w:shd w:val="clear" w:color="auto" w:fill="6F6652" w:themeFill="accent5"/>
          </w:tcPr>
          <w:p w:rsidR="007C6A5F" w:rsidRDefault="007C6A5F" w:rsidP="00C36DA4">
            <w:pPr>
              <w:pStyle w:val="TableDataColumnHeading"/>
              <w:rPr>
                <w:lang w:val="en-GB"/>
              </w:rPr>
            </w:pPr>
            <w:r>
              <w:rPr>
                <w:lang w:val="en-GB"/>
              </w:rPr>
              <w:t>Share wanting more contact with family/friends</w:t>
            </w:r>
          </w:p>
          <w:p w:rsidR="008C121C" w:rsidRDefault="008C121C" w:rsidP="00C36DA4">
            <w:pPr>
              <w:pStyle w:val="TableDataColumnHeading"/>
              <w:rPr>
                <w:lang w:val="en-GB"/>
              </w:rPr>
            </w:pPr>
            <w:r>
              <w:rPr>
                <w:lang w:val="en-GB"/>
              </w:rPr>
              <w:t>(Per cent)</w:t>
            </w:r>
          </w:p>
        </w:tc>
      </w:tr>
      <w:tr w:rsidR="007C6A5F" w:rsidTr="008C121C">
        <w:trPr>
          <w:trHeight w:val="230"/>
        </w:trPr>
        <w:tc>
          <w:tcPr>
            <w:tcW w:w="193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Profound</w:t>
            </w:r>
          </w:p>
        </w:tc>
        <w:tc>
          <w:tcPr>
            <w:tcW w:w="200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43.0</w:t>
            </w:r>
          </w:p>
        </w:tc>
        <w:tc>
          <w:tcPr>
            <w:tcW w:w="159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100.0</w:t>
            </w:r>
          </w:p>
        </w:tc>
        <w:tc>
          <w:tcPr>
            <w:tcW w:w="24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43.0</w:t>
            </w:r>
          </w:p>
        </w:tc>
      </w:tr>
      <w:tr w:rsidR="007C6A5F" w:rsidTr="008C121C">
        <w:trPr>
          <w:trHeight w:val="230"/>
        </w:trPr>
        <w:tc>
          <w:tcPr>
            <w:tcW w:w="193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Severe</w:t>
            </w:r>
          </w:p>
        </w:tc>
        <w:tc>
          <w:tcPr>
            <w:tcW w:w="200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50.1</w:t>
            </w:r>
          </w:p>
        </w:tc>
        <w:tc>
          <w:tcPr>
            <w:tcW w:w="159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114.6</w:t>
            </w:r>
          </w:p>
        </w:tc>
        <w:tc>
          <w:tcPr>
            <w:tcW w:w="24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43.7</w:t>
            </w:r>
          </w:p>
        </w:tc>
      </w:tr>
      <w:tr w:rsidR="007C6A5F" w:rsidTr="008C121C">
        <w:trPr>
          <w:trHeight w:val="230"/>
        </w:trPr>
        <w:tc>
          <w:tcPr>
            <w:tcW w:w="193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Moderate</w:t>
            </w:r>
          </w:p>
        </w:tc>
        <w:tc>
          <w:tcPr>
            <w:tcW w:w="200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43.8</w:t>
            </w:r>
          </w:p>
        </w:tc>
        <w:tc>
          <w:tcPr>
            <w:tcW w:w="159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82.5</w:t>
            </w:r>
          </w:p>
        </w:tc>
        <w:tc>
          <w:tcPr>
            <w:tcW w:w="24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53.1</w:t>
            </w:r>
          </w:p>
        </w:tc>
      </w:tr>
      <w:tr w:rsidR="007C6A5F" w:rsidTr="008C121C">
        <w:trPr>
          <w:trHeight w:val="230"/>
        </w:trPr>
        <w:tc>
          <w:tcPr>
            <w:tcW w:w="193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Mild</w:t>
            </w:r>
          </w:p>
        </w:tc>
        <w:tc>
          <w:tcPr>
            <w:tcW w:w="200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61.6</w:t>
            </w:r>
          </w:p>
        </w:tc>
        <w:tc>
          <w:tcPr>
            <w:tcW w:w="1591"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127.7</w:t>
            </w:r>
          </w:p>
        </w:tc>
        <w:tc>
          <w:tcPr>
            <w:tcW w:w="240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48.2</w:t>
            </w:r>
          </w:p>
        </w:tc>
      </w:tr>
      <w:tr w:rsidR="007C6A5F" w:rsidRPr="00CD2EEC" w:rsidTr="008C121C">
        <w:trPr>
          <w:trHeight w:val="230"/>
        </w:trPr>
        <w:tc>
          <w:tcPr>
            <w:tcW w:w="1938" w:type="dxa"/>
            <w:tcBorders>
              <w:top w:val="single" w:sz="8" w:space="0" w:color="FFFFFF" w:themeColor="background1"/>
              <w:bottom w:val="single" w:sz="4" w:space="0" w:color="6F6652" w:themeColor="accent5"/>
            </w:tcBorders>
            <w:shd w:val="clear" w:color="auto" w:fill="C2DADB" w:themeFill="accent6" w:themeFillTint="99"/>
          </w:tcPr>
          <w:p w:rsidR="007C6A5F" w:rsidRPr="00CD2EEC" w:rsidRDefault="007C6A5F" w:rsidP="00C36DA4">
            <w:pPr>
              <w:pStyle w:val="TableDataEntries"/>
              <w:jc w:val="left"/>
              <w:rPr>
                <w:rFonts w:ascii="Franklin Gothic Demi" w:hAnsi="Franklin Gothic Demi"/>
                <w:lang w:val="en-GB"/>
              </w:rPr>
            </w:pPr>
            <w:r w:rsidRPr="00CD2EEC">
              <w:rPr>
                <w:rFonts w:ascii="Franklin Gothic Demi" w:hAnsi="Franklin Gothic Demi"/>
                <w:lang w:val="en-GB"/>
              </w:rPr>
              <w:t>Total</w:t>
            </w:r>
          </w:p>
        </w:tc>
        <w:tc>
          <w:tcPr>
            <w:tcW w:w="2000" w:type="dxa"/>
            <w:tcBorders>
              <w:top w:val="single" w:sz="8" w:space="0" w:color="FFFFFF" w:themeColor="background1"/>
              <w:bottom w:val="single" w:sz="4" w:space="0" w:color="6F6652" w:themeColor="accent5"/>
            </w:tcBorders>
            <w:shd w:val="clear" w:color="auto" w:fill="C2DADB" w:themeFill="accent6" w:themeFillTint="99"/>
          </w:tcPr>
          <w:p w:rsidR="007C6A5F" w:rsidRPr="00CD2EEC" w:rsidRDefault="007C6A5F" w:rsidP="00C36DA4">
            <w:pPr>
              <w:pStyle w:val="TableDataEntries"/>
              <w:rPr>
                <w:rFonts w:ascii="Franklin Gothic Demi" w:hAnsi="Franklin Gothic Demi"/>
                <w:lang w:val="en-GB"/>
              </w:rPr>
            </w:pPr>
            <w:r w:rsidRPr="00CD2EEC">
              <w:rPr>
                <w:rFonts w:ascii="Franklin Gothic Demi" w:hAnsi="Franklin Gothic Demi"/>
                <w:lang w:val="en-GB"/>
              </w:rPr>
              <w:t xml:space="preserve"> 191.5</w:t>
            </w:r>
          </w:p>
        </w:tc>
        <w:tc>
          <w:tcPr>
            <w:tcW w:w="1591" w:type="dxa"/>
            <w:tcBorders>
              <w:top w:val="single" w:sz="8" w:space="0" w:color="FFFFFF" w:themeColor="background1"/>
              <w:bottom w:val="single" w:sz="4" w:space="0" w:color="6F6652" w:themeColor="accent5"/>
            </w:tcBorders>
            <w:shd w:val="clear" w:color="auto" w:fill="C2DADB" w:themeFill="accent6" w:themeFillTint="99"/>
          </w:tcPr>
          <w:p w:rsidR="007C6A5F" w:rsidRPr="00CD2EEC" w:rsidRDefault="007C6A5F" w:rsidP="00C36DA4">
            <w:pPr>
              <w:pStyle w:val="TableDataEntries"/>
              <w:rPr>
                <w:rFonts w:ascii="Franklin Gothic Demi" w:hAnsi="Franklin Gothic Demi"/>
                <w:lang w:val="en-GB"/>
              </w:rPr>
            </w:pPr>
            <w:r w:rsidRPr="00CD2EEC">
              <w:rPr>
                <w:rFonts w:ascii="Franklin Gothic Demi" w:hAnsi="Franklin Gothic Demi"/>
                <w:lang w:val="en-GB"/>
              </w:rPr>
              <w:t xml:space="preserve"> 423.0</w:t>
            </w:r>
          </w:p>
        </w:tc>
        <w:tc>
          <w:tcPr>
            <w:tcW w:w="2409" w:type="dxa"/>
            <w:tcBorders>
              <w:top w:val="single" w:sz="8" w:space="0" w:color="FFFFFF" w:themeColor="background1"/>
              <w:bottom w:val="single" w:sz="4" w:space="0" w:color="6F6652" w:themeColor="accent5"/>
            </w:tcBorders>
            <w:shd w:val="clear" w:color="auto" w:fill="C2DADB" w:themeFill="accent6" w:themeFillTint="99"/>
          </w:tcPr>
          <w:p w:rsidR="007C6A5F" w:rsidRPr="00CD2EEC" w:rsidRDefault="007C6A5F" w:rsidP="00C36DA4">
            <w:pPr>
              <w:pStyle w:val="TableDataEntries"/>
              <w:rPr>
                <w:rFonts w:ascii="Franklin Gothic Demi" w:hAnsi="Franklin Gothic Demi"/>
                <w:lang w:val="en-GB"/>
              </w:rPr>
            </w:pPr>
            <w:r w:rsidRPr="00CD2EEC">
              <w:rPr>
                <w:rFonts w:ascii="Franklin Gothic Demi" w:hAnsi="Franklin Gothic Demi"/>
                <w:lang w:val="en-GB"/>
              </w:rPr>
              <w:t xml:space="preserve"> 45.3</w:t>
            </w:r>
          </w:p>
        </w:tc>
      </w:tr>
    </w:tbl>
    <w:p w:rsidR="007C6A5F" w:rsidRDefault="007C6A5F" w:rsidP="007C6A5F">
      <w:pPr>
        <w:pStyle w:val="Source"/>
        <w:rPr>
          <w:lang w:bidi="fa-IR"/>
        </w:rPr>
      </w:pPr>
      <w:r w:rsidRPr="00BA4B73">
        <w:rPr>
          <w:i/>
          <w:lang w:bidi="fa-IR"/>
        </w:rPr>
        <w:t>Source:</w:t>
      </w:r>
      <w:r>
        <w:rPr>
          <w:lang w:bidi="fa-IR"/>
        </w:rPr>
        <w:t xml:space="preserve"> </w:t>
      </w:r>
      <w:r>
        <w:t>ABS, Survey of Disabilities, Ageing and Carers, 2018, TableBuilder.</w:t>
      </w:r>
    </w:p>
    <w:p w:rsidR="007C6A5F" w:rsidRDefault="007C6A5F" w:rsidP="007C6A5F">
      <w:pPr>
        <w:pStyle w:val="Heading8"/>
        <w:numPr>
          <w:ilvl w:val="7"/>
          <w:numId w:val="5"/>
        </w:numPr>
        <w:rPr>
          <w:lang w:eastAsia="en-US" w:bidi="fa-IR"/>
        </w:rPr>
      </w:pPr>
      <w:r>
        <w:rPr>
          <w:lang w:eastAsia="en-US" w:bidi="fa-IR"/>
        </w:rPr>
        <w:t>Total population that may be suffering from loneliness due to inaccessible housing</w:t>
      </w:r>
    </w:p>
    <w:p w:rsidR="007C6A5F" w:rsidRDefault="007C6A5F" w:rsidP="007C6A5F">
      <w:pPr>
        <w:pStyle w:val="BodyText"/>
        <w:rPr>
          <w:lang w:eastAsia="en-US" w:bidi="fa-IR"/>
        </w:rPr>
      </w:pPr>
      <w:r>
        <w:rPr>
          <w:lang w:eastAsia="en-US" w:bidi="fa-IR"/>
        </w:rPr>
        <w:t>Taking into account, the overlap between the groups of people identified above, we estimate that there are around 403 000 in the above groups who want more contact with their family/friends (table </w:t>
      </w:r>
      <w:r>
        <w:rPr>
          <w:lang w:eastAsia="en-US" w:bidi="fa-IR"/>
        </w:rPr>
        <w:fldChar w:fldCharType="begin"/>
      </w:r>
      <w:r>
        <w:rPr>
          <w:lang w:eastAsia="en-US" w:bidi="fa-IR"/>
        </w:rPr>
        <w:instrText xml:space="preserve"> REF _Caption1776 </w:instrText>
      </w:r>
      <w:r>
        <w:rPr>
          <w:lang w:eastAsia="en-US" w:bidi="fa-IR"/>
        </w:rPr>
        <w:fldChar w:fldCharType="separate"/>
      </w:r>
      <w:r>
        <w:rPr>
          <w:noProof/>
        </w:rPr>
        <w:t>F</w:t>
      </w:r>
      <w:r w:rsidRPr="00695C93">
        <w:rPr>
          <w:noProof/>
        </w:rPr>
        <w:t>.</w:t>
      </w:r>
      <w:r>
        <w:rPr>
          <w:noProof/>
        </w:rPr>
        <w:t>7</w:t>
      </w:r>
      <w:r>
        <w:rPr>
          <w:lang w:eastAsia="en-US" w:bidi="fa-IR"/>
        </w:rPr>
        <w:fldChar w:fldCharType="end"/>
      </w:r>
      <w:r>
        <w:rPr>
          <w:lang w:eastAsia="en-US" w:bidi="fa-IR"/>
        </w:rPr>
        <w:t>). This is around 51 per cent of the total.</w:t>
      </w:r>
    </w:p>
    <w:p w:rsidR="007C6A5F" w:rsidRDefault="007C6A5F" w:rsidP="007C6A5F">
      <w:pPr>
        <w:pStyle w:val="BodyText"/>
        <w:rPr>
          <w:lang w:eastAsia="en-US" w:bidi="fa-IR"/>
        </w:rPr>
      </w:pPr>
      <w:r>
        <w:rPr>
          <w:lang w:eastAsia="en-US" w:bidi="fa-IR"/>
        </w:rPr>
        <w:t>This compares to around 21 per cent for others with a mobility limitation (i.e. those that did not report that they had difficulty accessing the house of another person, did not report that they had avoided visiting a friend or relative or did not report that did not leave their house as often as they would like due to their age or condition), which is broadly consistent (or slightly lower) than the proportion of Australians that feel lonely, as reported above (around 25 per cent).</w:t>
      </w:r>
    </w:p>
    <w:p w:rsidR="007C6A5F" w:rsidRDefault="007C6A5F" w:rsidP="008C121C">
      <w:pPr>
        <w:pStyle w:val="Caption"/>
        <w:spacing w:before="240"/>
        <w:ind w:left="568" w:hanging="568"/>
      </w:pPr>
      <w:r w:rsidRPr="00DB293E">
        <w:fldChar w:fldCharType="begin"/>
      </w:r>
      <w:r w:rsidRPr="00DB293E">
        <w:instrText xml:space="preserve"> IF 1 = 1 "</w:instrText>
      </w:r>
      <w:r w:rsidRPr="00DB293E">
        <w:fldChar w:fldCharType="begin"/>
      </w:r>
      <w:r w:rsidRPr="00DB293E">
        <w:instrText xml:space="preserve"> IF </w:instrText>
      </w:r>
      <w:r w:rsidRPr="00DB293E">
        <w:rPr>
          <w:noProof/>
        </w:rPr>
        <w:fldChar w:fldCharType="begin"/>
      </w:r>
      <w:r w:rsidRPr="00DB293E">
        <w:rPr>
          <w:noProof/>
        </w:rPr>
        <w:instrText xml:space="preserve"> STYLEREF "Heading 6" \l \n </w:instrText>
      </w:r>
      <w:r w:rsidRPr="00DB293E">
        <w:rPr>
          <w:noProof/>
        </w:rPr>
        <w:fldChar w:fldCharType="separate"/>
      </w:r>
      <w:r w:rsidRPr="00DB293E">
        <w:rPr>
          <w:noProof/>
        </w:rPr>
        <w:instrText>F</w:instrText>
      </w:r>
      <w:r w:rsidRPr="00DB293E">
        <w:rPr>
          <w:noProof/>
        </w:rPr>
        <w:fldChar w:fldCharType="end"/>
      </w:r>
      <w:r w:rsidRPr="00DB293E">
        <w:instrText xml:space="preserve"> = 0 "</w:instrText>
      </w:r>
      <w:r w:rsidRPr="00DB293E">
        <w:fldChar w:fldCharType="begin"/>
      </w:r>
      <w:r w:rsidRPr="00DB293E">
        <w:instrText xml:space="preserve"> IF </w:instrText>
      </w:r>
      <w:r w:rsidRPr="00DB293E">
        <w:rPr>
          <w:noProof/>
        </w:rPr>
        <w:fldChar w:fldCharType="begin"/>
      </w:r>
      <w:r w:rsidRPr="00DB293E">
        <w:rPr>
          <w:noProof/>
        </w:rPr>
        <w:instrText xml:space="preserve"> STYLEREF "Heading 1" \l \n </w:instrText>
      </w:r>
      <w:r w:rsidRPr="00DB293E">
        <w:rPr>
          <w:noProof/>
        </w:rPr>
        <w:fldChar w:fldCharType="separate"/>
      </w:r>
      <w:r w:rsidRPr="00DB293E">
        <w:rPr>
          <w:noProof/>
        </w:rPr>
        <w:instrText>2</w:instrText>
      </w:r>
      <w:r w:rsidRPr="00DB293E">
        <w:rPr>
          <w:noProof/>
        </w:rPr>
        <w:fldChar w:fldCharType="end"/>
      </w:r>
      <w:r w:rsidRPr="00DB293E">
        <w:instrText xml:space="preserve"> = 0 "" "</w:instrText>
      </w:r>
      <w:r w:rsidRPr="00DB293E">
        <w:rPr>
          <w:noProof/>
        </w:rPr>
        <w:fldChar w:fldCharType="begin"/>
      </w:r>
      <w:r w:rsidRPr="00DB293E">
        <w:rPr>
          <w:noProof/>
        </w:rPr>
        <w:instrText xml:space="preserve"> STYLEREF "Heading 1" \l \n </w:instrText>
      </w:r>
      <w:r w:rsidRPr="00DB293E">
        <w:rPr>
          <w:noProof/>
        </w:rPr>
        <w:fldChar w:fldCharType="separate"/>
      </w:r>
      <w:r w:rsidRPr="00DB293E">
        <w:rPr>
          <w:noProof/>
        </w:rPr>
        <w:instrText>2</w:instrText>
      </w:r>
      <w:r w:rsidRPr="00DB293E">
        <w:rPr>
          <w:noProof/>
        </w:rPr>
        <w:fldChar w:fldCharType="end"/>
      </w:r>
      <w:r w:rsidRPr="00DB293E">
        <w:instrText xml:space="preserve">." </w:instrText>
      </w:r>
      <w:r w:rsidRPr="00DB293E">
        <w:fldChar w:fldCharType="separate"/>
      </w:r>
      <w:r w:rsidRPr="00DB293E">
        <w:rPr>
          <w:noProof/>
        </w:rPr>
        <w:instrText>2.</w:instrText>
      </w:r>
      <w:r w:rsidRPr="00DB293E">
        <w:fldChar w:fldCharType="end"/>
      </w:r>
      <w:r w:rsidRPr="00DB293E">
        <w:instrText>" "</w:instrText>
      </w:r>
      <w:r w:rsidRPr="00DB293E">
        <w:rPr>
          <w:noProof/>
        </w:rPr>
        <w:fldChar w:fldCharType="begin"/>
      </w:r>
      <w:r w:rsidRPr="00DB293E">
        <w:rPr>
          <w:noProof/>
        </w:rPr>
        <w:instrText xml:space="preserve"> STYLEREF "Heading 6" \l \n </w:instrText>
      </w:r>
      <w:r w:rsidRPr="00DB293E">
        <w:rPr>
          <w:noProof/>
        </w:rPr>
        <w:fldChar w:fldCharType="separate"/>
      </w:r>
      <w:r w:rsidRPr="00DB293E">
        <w:rPr>
          <w:noProof/>
        </w:rPr>
        <w:instrText>F</w:instrText>
      </w:r>
      <w:r w:rsidRPr="00DB293E">
        <w:rPr>
          <w:noProof/>
        </w:rPr>
        <w:fldChar w:fldCharType="end"/>
      </w:r>
      <w:r w:rsidRPr="00DB293E">
        <w:instrText xml:space="preserve">." </w:instrText>
      </w:r>
      <w:r w:rsidRPr="00DB293E">
        <w:fldChar w:fldCharType="separate"/>
      </w:r>
      <w:r w:rsidRPr="00DB293E">
        <w:rPr>
          <w:noProof/>
        </w:rPr>
        <w:instrText>F.</w:instrText>
      </w:r>
      <w:r w:rsidRPr="00DB293E">
        <w:fldChar w:fldCharType="end"/>
      </w:r>
      <w:r w:rsidRPr="00DB293E">
        <w:fldChar w:fldCharType="begin"/>
      </w:r>
      <w:r w:rsidRPr="00DB293E">
        <w:instrText xml:space="preserve"> SEQ Item \* ARABIC \s </w:instrText>
      </w:r>
      <w:r w:rsidRPr="00DB293E">
        <w:fldChar w:fldCharType="begin"/>
      </w:r>
      <w:r w:rsidRPr="00DB293E">
        <w:instrText xml:space="preserve"> IF </w:instrText>
      </w:r>
      <w:r w:rsidRPr="00DB293E">
        <w:rPr>
          <w:noProof/>
        </w:rPr>
        <w:fldChar w:fldCharType="begin"/>
      </w:r>
      <w:r w:rsidRPr="00DB293E">
        <w:rPr>
          <w:noProof/>
        </w:rPr>
        <w:instrText xml:space="preserve"> STYLEREF "Heading 6" \l \n </w:instrText>
      </w:r>
      <w:r w:rsidRPr="00DB293E">
        <w:rPr>
          <w:noProof/>
        </w:rPr>
        <w:fldChar w:fldCharType="separate"/>
      </w:r>
      <w:r w:rsidRPr="00DB293E">
        <w:rPr>
          <w:noProof/>
        </w:rPr>
        <w:instrText>F</w:instrText>
      </w:r>
      <w:r w:rsidRPr="00DB293E">
        <w:rPr>
          <w:noProof/>
        </w:rPr>
        <w:fldChar w:fldCharType="end"/>
      </w:r>
      <w:r w:rsidRPr="00DB293E">
        <w:instrText xml:space="preserve"> = 0 "</w:instrText>
      </w:r>
      <w:r w:rsidRPr="00DB293E">
        <w:fldChar w:fldCharType="begin"/>
      </w:r>
      <w:r w:rsidRPr="00DB293E">
        <w:instrText xml:space="preserve"> IF </w:instrText>
      </w:r>
      <w:r w:rsidRPr="00DB293E">
        <w:rPr>
          <w:noProof/>
        </w:rPr>
        <w:fldChar w:fldCharType="begin"/>
      </w:r>
      <w:r w:rsidRPr="00DB293E">
        <w:rPr>
          <w:noProof/>
        </w:rPr>
        <w:instrText xml:space="preserve"> STYLEREF "Heading 1" \l \n </w:instrText>
      </w:r>
      <w:r w:rsidRPr="00DB293E">
        <w:rPr>
          <w:noProof/>
        </w:rPr>
        <w:fldChar w:fldCharType="separate"/>
      </w:r>
      <w:r w:rsidRPr="00DB293E">
        <w:rPr>
          <w:noProof/>
        </w:rPr>
        <w:instrText>2</w:instrText>
      </w:r>
      <w:r w:rsidRPr="00DB293E">
        <w:rPr>
          <w:noProof/>
        </w:rPr>
        <w:fldChar w:fldCharType="end"/>
      </w:r>
      <w:r w:rsidRPr="00DB293E">
        <w:instrText xml:space="preserve"> = 0 "" "1" </w:instrText>
      </w:r>
      <w:r w:rsidRPr="00DB293E">
        <w:fldChar w:fldCharType="separate"/>
      </w:r>
      <w:r w:rsidRPr="00DB293E">
        <w:rPr>
          <w:noProof/>
        </w:rPr>
        <w:instrText>1</w:instrText>
      </w:r>
      <w:r w:rsidRPr="00DB293E">
        <w:fldChar w:fldCharType="end"/>
      </w:r>
      <w:r w:rsidRPr="00DB293E">
        <w:instrText xml:space="preserve">" "6" </w:instrText>
      </w:r>
      <w:r w:rsidRPr="00DB293E">
        <w:fldChar w:fldCharType="separate"/>
      </w:r>
      <w:r w:rsidRPr="00DB293E">
        <w:rPr>
          <w:noProof/>
        </w:rPr>
        <w:instrText>6</w:instrText>
      </w:r>
      <w:r w:rsidRPr="00DB293E">
        <w:fldChar w:fldCharType="end"/>
      </w:r>
      <w:r w:rsidRPr="00DB293E">
        <w:instrText xml:space="preserve"> </w:instrText>
      </w:r>
      <w:r w:rsidRPr="00DB293E">
        <w:fldChar w:fldCharType="separate"/>
      </w:r>
      <w:r w:rsidRPr="00DB293E">
        <w:rPr>
          <w:noProof/>
        </w:rPr>
        <w:instrText>7</w:instrText>
      </w:r>
      <w:r w:rsidRPr="00DB293E">
        <w:fldChar w:fldCharType="end"/>
      </w:r>
      <w:r w:rsidRPr="00DB293E">
        <w:instrText xml:space="preserve">" "" </w:instrText>
      </w:r>
      <w:r w:rsidRPr="00DB293E">
        <w:fldChar w:fldCharType="separate"/>
      </w:r>
      <w:bookmarkStart w:id="7590" w:name="_Caption0492"/>
      <w:bookmarkStart w:id="7591" w:name="_Caption1652"/>
      <w:bookmarkStart w:id="7592" w:name="_Caption1453"/>
      <w:bookmarkStart w:id="7593" w:name="_Caption4781"/>
      <w:bookmarkStart w:id="7594" w:name="_Caption6354"/>
      <w:bookmarkStart w:id="7595" w:name="_Caption7350"/>
      <w:bookmarkStart w:id="7596" w:name="_Caption0777"/>
      <w:bookmarkStart w:id="7597" w:name="_Caption3395"/>
      <w:bookmarkStart w:id="7598" w:name="_Caption1981"/>
      <w:bookmarkStart w:id="7599" w:name="_Caption0877"/>
      <w:bookmarkStart w:id="7600" w:name="_Caption9569"/>
      <w:bookmarkStart w:id="7601" w:name="_Caption5577"/>
      <w:bookmarkStart w:id="7602" w:name="_Caption8130"/>
      <w:bookmarkStart w:id="7603" w:name="_Caption0605"/>
      <w:bookmarkStart w:id="7604" w:name="_Caption7157"/>
      <w:bookmarkStart w:id="7605" w:name="_Caption4132"/>
      <w:bookmarkStart w:id="7606" w:name="_Caption1656"/>
      <w:bookmarkStart w:id="7607" w:name="_Caption2952"/>
      <w:bookmarkStart w:id="7608" w:name="_Caption3252"/>
      <w:bookmarkStart w:id="7609" w:name="_Caption6212"/>
      <w:bookmarkStart w:id="7610" w:name="_Caption2899"/>
      <w:bookmarkStart w:id="7611" w:name="_Caption0691"/>
      <w:bookmarkStart w:id="7612" w:name="_Caption5374"/>
      <w:bookmarkStart w:id="7613" w:name="_Caption1678"/>
      <w:bookmarkStart w:id="7614" w:name="_Caption0832"/>
      <w:bookmarkStart w:id="7615" w:name="_Caption5804"/>
      <w:bookmarkStart w:id="7616" w:name="_Caption6256"/>
      <w:bookmarkStart w:id="7617" w:name="_Caption2005"/>
      <w:bookmarkStart w:id="7618" w:name="_Caption2134"/>
      <w:bookmarkStart w:id="7619" w:name="_Caption0410"/>
      <w:bookmarkStart w:id="7620" w:name="_Caption5637"/>
      <w:bookmarkStart w:id="7621" w:name="_Caption0978"/>
      <w:bookmarkStart w:id="7622" w:name="_Caption6308"/>
      <w:bookmarkStart w:id="7623" w:name="_Caption0616"/>
      <w:bookmarkStart w:id="7624" w:name="_Caption7679"/>
      <w:bookmarkStart w:id="7625" w:name="_Caption8227"/>
      <w:bookmarkStart w:id="7626" w:name="_Caption7361"/>
      <w:bookmarkStart w:id="7627" w:name="_Caption9317"/>
      <w:bookmarkStart w:id="7628" w:name="_Caption9244"/>
      <w:bookmarkStart w:id="7629" w:name="_Caption4597"/>
      <w:bookmarkStart w:id="7630" w:name="_Caption2381"/>
      <w:bookmarkStart w:id="7631" w:name="_Caption5788"/>
      <w:bookmarkStart w:id="7632" w:name="_Caption8917"/>
      <w:bookmarkStart w:id="7633" w:name="_Caption5306"/>
      <w:bookmarkStart w:id="7634" w:name="_Caption0345"/>
      <w:bookmarkStart w:id="7635" w:name="_Caption1131"/>
      <w:bookmarkStart w:id="7636" w:name="_Caption9085"/>
      <w:bookmarkStart w:id="7637" w:name="_Caption1776"/>
      <w:bookmarkStart w:id="7638" w:name="_Caption3682"/>
      <w:bookmarkStart w:id="7639" w:name="_Caption4152"/>
      <w:bookmarkStart w:id="7640" w:name="_Caption7768"/>
      <w:bookmarkStart w:id="7641" w:name="_Caption0113"/>
      <w:bookmarkStart w:id="7642" w:name="_Caption7278"/>
      <w:bookmarkStart w:id="7643" w:name="_Caption3107"/>
      <w:bookmarkStart w:id="7644" w:name="_Caption4266"/>
      <w:bookmarkStart w:id="7645" w:name="_Caption7605"/>
      <w:bookmarkStart w:id="7646" w:name="_Caption8139"/>
      <w:bookmarkStart w:id="7647" w:name="_Caption4079"/>
      <w:bookmarkStart w:id="7648" w:name="_Caption8693"/>
      <w:bookmarkStart w:id="7649" w:name="_Caption4059"/>
      <w:bookmarkStart w:id="7650" w:name="_Caption2895"/>
      <w:bookmarkStart w:id="7651" w:name="_Caption7762"/>
      <w:bookmarkStart w:id="7652" w:name="_Caption7279"/>
      <w:bookmarkStart w:id="7653" w:name="_Caption3828"/>
      <w:bookmarkStart w:id="7654" w:name="_Caption5738"/>
      <w:bookmarkStart w:id="7655" w:name="_Caption3320"/>
      <w:bookmarkStart w:id="7656" w:name="_Caption5170"/>
      <w:bookmarkStart w:id="7657" w:name="_Caption3144"/>
      <w:bookmarkStart w:id="7658" w:name="_Caption1217"/>
      <w:bookmarkStart w:id="7659" w:name="_Caption7921"/>
      <w:bookmarkStart w:id="7660" w:name="_Caption9624"/>
      <w:bookmarkStart w:id="7661" w:name="_Caption2385"/>
      <w:bookmarkStart w:id="7662" w:name="_Caption2108"/>
      <w:bookmarkStart w:id="7663" w:name="_Caption8259"/>
      <w:bookmarkStart w:id="7664" w:name="_Caption4090"/>
      <w:bookmarkStart w:id="7665" w:name="_Caption4896"/>
      <w:bookmarkStart w:id="7666" w:name="_Caption5723"/>
      <w:bookmarkStart w:id="7667" w:name="_Caption4297"/>
      <w:bookmarkStart w:id="7668" w:name="_Caption8434"/>
      <w:bookmarkStart w:id="7669" w:name="_Caption1460"/>
      <w:bookmarkStart w:id="7670" w:name="_Toc32321885"/>
      <w:bookmarkStart w:id="7671" w:name="_Toc44598594"/>
      <w:bookmarkStart w:id="7672" w:name="_Toc45654225"/>
      <w:r w:rsidR="00272AF3" w:rsidRPr="00DB293E">
        <w:rPr>
          <w:noProof/>
        </w:rPr>
        <w:t>F.7</w:t>
      </w:r>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r w:rsidRPr="00DB293E">
        <w:fldChar w:fldCharType="end"/>
      </w:r>
      <w:r w:rsidRPr="00DB293E">
        <w:tab/>
        <w:t>Share of people with a mobility limitation that want more contact with family/friends</w:t>
      </w:r>
      <w:bookmarkEnd w:id="7670"/>
      <w:bookmarkEnd w:id="7671"/>
      <w:bookmarkEnd w:id="7672"/>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F.7"/>
        <w:tblDescription w:val="Share of people with a mobility limitation that want more contact with family/friends"/>
      </w:tblPr>
      <w:tblGrid>
        <w:gridCol w:w="2694"/>
        <w:gridCol w:w="3100"/>
        <w:gridCol w:w="1072"/>
        <w:gridCol w:w="1072"/>
      </w:tblGrid>
      <w:tr w:rsidR="007C6A5F" w:rsidTr="00DB293E">
        <w:trPr>
          <w:trHeight w:val="461"/>
          <w:tblHeader/>
        </w:trPr>
        <w:tc>
          <w:tcPr>
            <w:tcW w:w="2694" w:type="dxa"/>
            <w:shd w:val="clear" w:color="auto" w:fill="6F6652" w:themeFill="accent5"/>
          </w:tcPr>
          <w:p w:rsidR="007C6A5F" w:rsidRDefault="00DB293E" w:rsidP="00C36DA4">
            <w:pPr>
              <w:pStyle w:val="TableDataColumnHeading"/>
              <w:jc w:val="left"/>
              <w:rPr>
                <w:lang w:val="en-GB"/>
              </w:rPr>
            </w:pPr>
            <w:r>
              <w:rPr>
                <w:lang w:val="en-GB"/>
              </w:rPr>
              <w:t>Group of people</w:t>
            </w:r>
          </w:p>
        </w:tc>
        <w:tc>
          <w:tcPr>
            <w:tcW w:w="3100" w:type="dxa"/>
            <w:shd w:val="clear" w:color="auto" w:fill="6F6652" w:themeFill="accent5"/>
          </w:tcPr>
          <w:p w:rsidR="007C6A5F" w:rsidRDefault="007C6A5F" w:rsidP="00C36DA4">
            <w:pPr>
              <w:pStyle w:val="TableDataColumnHeading"/>
              <w:rPr>
                <w:lang w:val="en-GB"/>
              </w:rPr>
            </w:pPr>
            <w:r>
              <w:rPr>
                <w:lang w:val="en-GB"/>
              </w:rPr>
              <w:t>Want more contact with family/friends</w:t>
            </w:r>
          </w:p>
          <w:p w:rsidR="008C121C" w:rsidRDefault="008C121C" w:rsidP="00C36DA4">
            <w:pPr>
              <w:pStyle w:val="TableDataColumnHeading"/>
              <w:rPr>
                <w:lang w:val="en-GB"/>
              </w:rPr>
            </w:pPr>
            <w:r>
              <w:rPr>
                <w:lang w:val="en-GB"/>
              </w:rPr>
              <w:t>(‘000)</w:t>
            </w:r>
          </w:p>
        </w:tc>
        <w:tc>
          <w:tcPr>
            <w:tcW w:w="1072" w:type="dxa"/>
            <w:shd w:val="clear" w:color="auto" w:fill="6F6652" w:themeFill="accent5"/>
          </w:tcPr>
          <w:p w:rsidR="007C6A5F" w:rsidRDefault="007C6A5F" w:rsidP="00C36DA4">
            <w:pPr>
              <w:pStyle w:val="TableDataColumnHeading"/>
              <w:rPr>
                <w:lang w:val="en-GB"/>
              </w:rPr>
            </w:pPr>
            <w:r>
              <w:rPr>
                <w:lang w:val="en-GB"/>
              </w:rPr>
              <w:t>Total</w:t>
            </w:r>
          </w:p>
          <w:p w:rsidR="008C121C" w:rsidRDefault="008C121C" w:rsidP="00C36DA4">
            <w:pPr>
              <w:pStyle w:val="TableDataColumnHeading"/>
              <w:rPr>
                <w:lang w:val="en-GB"/>
              </w:rPr>
            </w:pPr>
            <w:r>
              <w:rPr>
                <w:lang w:val="en-GB"/>
              </w:rPr>
              <w:t>(‘000)</w:t>
            </w:r>
          </w:p>
        </w:tc>
        <w:tc>
          <w:tcPr>
            <w:tcW w:w="1072" w:type="dxa"/>
            <w:shd w:val="clear" w:color="auto" w:fill="6F6652" w:themeFill="accent5"/>
          </w:tcPr>
          <w:p w:rsidR="007C6A5F" w:rsidRDefault="007C6A5F" w:rsidP="00C36DA4">
            <w:pPr>
              <w:pStyle w:val="TableDataColumnHeading"/>
              <w:rPr>
                <w:lang w:val="en-GB"/>
              </w:rPr>
            </w:pPr>
            <w:r>
              <w:rPr>
                <w:lang w:val="en-GB"/>
              </w:rPr>
              <w:t>Share</w:t>
            </w:r>
          </w:p>
          <w:p w:rsidR="008C121C" w:rsidRDefault="008C121C" w:rsidP="00C36DA4">
            <w:pPr>
              <w:pStyle w:val="TableDataColumnHeading"/>
              <w:rPr>
                <w:lang w:val="en-GB"/>
              </w:rPr>
            </w:pPr>
            <w:r>
              <w:rPr>
                <w:lang w:val="en-GB"/>
              </w:rPr>
              <w:t>(Per cent)</w:t>
            </w:r>
          </w:p>
        </w:tc>
      </w:tr>
      <w:tr w:rsidR="007C6A5F" w:rsidTr="008C121C">
        <w:trPr>
          <w:trHeight w:val="230"/>
        </w:trPr>
        <w:tc>
          <w:tcPr>
            <w:tcW w:w="2694" w:type="dxa"/>
            <w:tcBorders>
              <w:bottom w:val="single" w:sz="8" w:space="0" w:color="FFFFFF" w:themeColor="background1"/>
            </w:tcBorders>
          </w:tcPr>
          <w:p w:rsidR="007C6A5F" w:rsidRDefault="007C6A5F" w:rsidP="00C36DA4">
            <w:pPr>
              <w:pStyle w:val="TableUnit"/>
              <w:jc w:val="left"/>
              <w:rPr>
                <w:lang w:val="en-GB"/>
              </w:rPr>
            </w:pPr>
          </w:p>
        </w:tc>
        <w:tc>
          <w:tcPr>
            <w:tcW w:w="3100" w:type="dxa"/>
            <w:tcBorders>
              <w:bottom w:val="single" w:sz="8" w:space="0" w:color="FFFFFF" w:themeColor="background1"/>
            </w:tcBorders>
          </w:tcPr>
          <w:p w:rsidR="007C6A5F" w:rsidRDefault="007C6A5F" w:rsidP="00C36DA4">
            <w:pPr>
              <w:pStyle w:val="TableUnit"/>
              <w:rPr>
                <w:lang w:val="en-GB"/>
              </w:rPr>
            </w:pPr>
            <w:r>
              <w:rPr>
                <w:lang w:val="en-GB"/>
              </w:rPr>
              <w:t>'000</w:t>
            </w:r>
          </w:p>
        </w:tc>
        <w:tc>
          <w:tcPr>
            <w:tcW w:w="1072" w:type="dxa"/>
            <w:tcBorders>
              <w:bottom w:val="single" w:sz="8" w:space="0" w:color="FFFFFF" w:themeColor="background1"/>
            </w:tcBorders>
          </w:tcPr>
          <w:p w:rsidR="007C6A5F" w:rsidRDefault="007C6A5F" w:rsidP="00C36DA4">
            <w:pPr>
              <w:pStyle w:val="TableUnit"/>
              <w:rPr>
                <w:lang w:val="en-GB"/>
              </w:rPr>
            </w:pPr>
            <w:r>
              <w:rPr>
                <w:lang w:val="en-GB"/>
              </w:rPr>
              <w:t>'000</w:t>
            </w:r>
          </w:p>
        </w:tc>
        <w:tc>
          <w:tcPr>
            <w:tcW w:w="1072" w:type="dxa"/>
            <w:tcBorders>
              <w:bottom w:val="single" w:sz="8" w:space="0" w:color="FFFFFF" w:themeColor="background1"/>
            </w:tcBorders>
          </w:tcPr>
          <w:p w:rsidR="007C6A5F" w:rsidRDefault="007C6A5F" w:rsidP="00C36DA4">
            <w:pPr>
              <w:pStyle w:val="TableUnit"/>
              <w:rPr>
                <w:lang w:val="en-GB"/>
              </w:rPr>
            </w:pPr>
            <w:r>
              <w:rPr>
                <w:lang w:val="en-GB"/>
              </w:rPr>
              <w:t>Per cent</w:t>
            </w:r>
          </w:p>
        </w:tc>
      </w:tr>
      <w:tr w:rsidR="007C6A5F" w:rsidTr="008C121C">
        <w:trPr>
          <w:trHeight w:val="230"/>
        </w:trPr>
        <w:tc>
          <w:tcPr>
            <w:tcW w:w="269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Relevant people</w:t>
            </w:r>
          </w:p>
        </w:tc>
        <w:tc>
          <w:tcPr>
            <w:tcW w:w="310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403.0</w:t>
            </w:r>
          </w:p>
        </w:tc>
        <w:tc>
          <w:tcPr>
            <w:tcW w:w="107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788.6</w:t>
            </w:r>
          </w:p>
        </w:tc>
        <w:tc>
          <w:tcPr>
            <w:tcW w:w="107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51.1</w:t>
            </w:r>
          </w:p>
        </w:tc>
      </w:tr>
      <w:tr w:rsidR="007C6A5F" w:rsidTr="008C121C">
        <w:trPr>
          <w:trHeight w:val="230"/>
        </w:trPr>
        <w:tc>
          <w:tcPr>
            <w:tcW w:w="269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Others with mobility limitation</w:t>
            </w:r>
          </w:p>
        </w:tc>
        <w:tc>
          <w:tcPr>
            <w:tcW w:w="310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466.3</w:t>
            </w:r>
          </w:p>
        </w:tc>
        <w:tc>
          <w:tcPr>
            <w:tcW w:w="107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2 193.7</w:t>
            </w:r>
          </w:p>
        </w:tc>
        <w:tc>
          <w:tcPr>
            <w:tcW w:w="107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21.3</w:t>
            </w:r>
          </w:p>
        </w:tc>
      </w:tr>
      <w:tr w:rsidR="007C6A5F" w:rsidRPr="00CD2EEC" w:rsidTr="008C121C">
        <w:trPr>
          <w:trHeight w:val="230"/>
        </w:trPr>
        <w:tc>
          <w:tcPr>
            <w:tcW w:w="2694" w:type="dxa"/>
            <w:tcBorders>
              <w:top w:val="single" w:sz="8" w:space="0" w:color="FFFFFF" w:themeColor="background1"/>
              <w:bottom w:val="single" w:sz="4" w:space="0" w:color="6F6652" w:themeColor="accent5"/>
            </w:tcBorders>
            <w:shd w:val="clear" w:color="auto" w:fill="C2DADB" w:themeFill="accent6" w:themeFillTint="99"/>
          </w:tcPr>
          <w:p w:rsidR="007C6A5F" w:rsidRPr="00CD2EEC" w:rsidRDefault="007C6A5F" w:rsidP="00C36DA4">
            <w:pPr>
              <w:pStyle w:val="TableDataEntries"/>
              <w:jc w:val="left"/>
              <w:rPr>
                <w:rFonts w:ascii="Franklin Gothic Demi" w:hAnsi="Franklin Gothic Demi"/>
                <w:lang w:val="en-GB"/>
              </w:rPr>
            </w:pPr>
            <w:r w:rsidRPr="00CD2EEC">
              <w:rPr>
                <w:rFonts w:ascii="Franklin Gothic Demi" w:hAnsi="Franklin Gothic Demi"/>
                <w:lang w:val="en-GB"/>
              </w:rPr>
              <w:t>All people with mobility limitation</w:t>
            </w:r>
          </w:p>
        </w:tc>
        <w:tc>
          <w:tcPr>
            <w:tcW w:w="3100" w:type="dxa"/>
            <w:tcBorders>
              <w:top w:val="single" w:sz="8" w:space="0" w:color="FFFFFF" w:themeColor="background1"/>
              <w:bottom w:val="single" w:sz="4" w:space="0" w:color="6F6652" w:themeColor="accent5"/>
            </w:tcBorders>
            <w:shd w:val="clear" w:color="auto" w:fill="C2DADB" w:themeFill="accent6" w:themeFillTint="99"/>
          </w:tcPr>
          <w:p w:rsidR="007C6A5F" w:rsidRPr="00CD2EEC" w:rsidRDefault="007C6A5F" w:rsidP="00C36DA4">
            <w:pPr>
              <w:pStyle w:val="TableDataEntries"/>
              <w:rPr>
                <w:rFonts w:ascii="Franklin Gothic Demi" w:hAnsi="Franklin Gothic Demi"/>
                <w:lang w:val="en-GB"/>
              </w:rPr>
            </w:pPr>
            <w:r w:rsidRPr="00CD2EEC">
              <w:rPr>
                <w:rFonts w:ascii="Franklin Gothic Demi" w:hAnsi="Franklin Gothic Demi"/>
                <w:lang w:val="en-GB"/>
              </w:rPr>
              <w:t xml:space="preserve"> 869.3</w:t>
            </w:r>
          </w:p>
        </w:tc>
        <w:tc>
          <w:tcPr>
            <w:tcW w:w="1072" w:type="dxa"/>
            <w:tcBorders>
              <w:top w:val="single" w:sz="8" w:space="0" w:color="FFFFFF" w:themeColor="background1"/>
              <w:bottom w:val="single" w:sz="4" w:space="0" w:color="6F6652" w:themeColor="accent5"/>
            </w:tcBorders>
            <w:shd w:val="clear" w:color="auto" w:fill="C2DADB" w:themeFill="accent6" w:themeFillTint="99"/>
          </w:tcPr>
          <w:p w:rsidR="007C6A5F" w:rsidRPr="00CD2EEC" w:rsidRDefault="007C6A5F" w:rsidP="00C36DA4">
            <w:pPr>
              <w:pStyle w:val="TableDataEntries"/>
              <w:rPr>
                <w:rFonts w:ascii="Franklin Gothic Demi" w:hAnsi="Franklin Gothic Demi"/>
                <w:lang w:val="en-GB"/>
              </w:rPr>
            </w:pPr>
            <w:r w:rsidRPr="00CD2EEC">
              <w:rPr>
                <w:rFonts w:ascii="Franklin Gothic Demi" w:hAnsi="Franklin Gothic Demi"/>
                <w:lang w:val="en-GB"/>
              </w:rPr>
              <w:t>2 982.3</w:t>
            </w:r>
          </w:p>
        </w:tc>
        <w:tc>
          <w:tcPr>
            <w:tcW w:w="1072" w:type="dxa"/>
            <w:tcBorders>
              <w:top w:val="single" w:sz="8" w:space="0" w:color="FFFFFF" w:themeColor="background1"/>
              <w:bottom w:val="single" w:sz="4" w:space="0" w:color="6F6652" w:themeColor="accent5"/>
            </w:tcBorders>
            <w:shd w:val="clear" w:color="auto" w:fill="C2DADB" w:themeFill="accent6" w:themeFillTint="99"/>
          </w:tcPr>
          <w:p w:rsidR="007C6A5F" w:rsidRPr="00CD2EEC" w:rsidRDefault="007C6A5F" w:rsidP="00C36DA4">
            <w:pPr>
              <w:pStyle w:val="TableDataEntries"/>
              <w:rPr>
                <w:rFonts w:ascii="Franklin Gothic Demi" w:hAnsi="Franklin Gothic Demi"/>
                <w:lang w:val="en-GB"/>
              </w:rPr>
            </w:pPr>
            <w:r w:rsidRPr="00CD2EEC">
              <w:rPr>
                <w:rFonts w:ascii="Franklin Gothic Demi" w:hAnsi="Franklin Gothic Demi"/>
                <w:lang w:val="en-GB"/>
              </w:rPr>
              <w:t xml:space="preserve"> 29.1</w:t>
            </w:r>
          </w:p>
        </w:tc>
      </w:tr>
    </w:tbl>
    <w:p w:rsidR="007C6A5F" w:rsidRDefault="007C6A5F" w:rsidP="007C6A5F">
      <w:pPr>
        <w:pStyle w:val="Source"/>
        <w:rPr>
          <w:lang w:bidi="fa-IR"/>
        </w:rPr>
      </w:pPr>
      <w:r w:rsidRPr="00E8154C">
        <w:rPr>
          <w:i/>
          <w:lang w:bidi="fa-IR"/>
        </w:rPr>
        <w:t>Source:</w:t>
      </w:r>
      <w:r>
        <w:rPr>
          <w:lang w:bidi="fa-IR"/>
        </w:rPr>
        <w:t xml:space="preserve"> </w:t>
      </w:r>
      <w:r>
        <w:t>ABS, Survey of Disabilities, Ageing and Carers, 2018, TableBuilder.</w:t>
      </w:r>
    </w:p>
    <w:p w:rsidR="007C6A5F" w:rsidRPr="00FF1159" w:rsidRDefault="007C6A5F" w:rsidP="007C6A5F">
      <w:pPr>
        <w:pStyle w:val="BodyText"/>
        <w:rPr>
          <w:lang w:eastAsia="en-US" w:bidi="fa-IR"/>
        </w:rPr>
      </w:pPr>
      <w:r w:rsidRPr="00FF1159">
        <w:rPr>
          <w:lang w:eastAsia="en-US" w:bidi="fa-IR"/>
        </w:rPr>
        <w:lastRenderedPageBreak/>
        <w:t>This data supports the proposition that a lack of accessible housing may be contributing to loneliness.</w:t>
      </w:r>
    </w:p>
    <w:p w:rsidR="007C6A5F" w:rsidRPr="00FF1159" w:rsidRDefault="007C6A5F" w:rsidP="005A6F87">
      <w:pPr>
        <w:pStyle w:val="ListBullet"/>
        <w:numPr>
          <w:ilvl w:val="0"/>
          <w:numId w:val="17"/>
        </w:numPr>
        <w:rPr>
          <w:lang w:eastAsia="en-US" w:bidi="fa-IR"/>
        </w:rPr>
      </w:pPr>
      <w:r w:rsidRPr="00FF1159">
        <w:rPr>
          <w:lang w:eastAsia="en-US" w:bidi="fa-IR"/>
        </w:rPr>
        <w:t>That said, some in this group may have been lonely even if their home (and the home of any friends or relatives) were accessible to them. Using the 25 per cent of the population (see above) as a benchmark implies that around 200 000 would have suffered from loneliness anyway.</w:t>
      </w:r>
    </w:p>
    <w:p w:rsidR="007C6A5F" w:rsidRPr="00FF1159" w:rsidRDefault="007C6A5F" w:rsidP="005A6F87">
      <w:pPr>
        <w:pStyle w:val="ListBullet"/>
        <w:numPr>
          <w:ilvl w:val="0"/>
          <w:numId w:val="17"/>
        </w:numPr>
        <w:rPr>
          <w:lang w:eastAsia="en-US" w:bidi="fa-IR"/>
        </w:rPr>
      </w:pPr>
      <w:r w:rsidRPr="00FF1159">
        <w:rPr>
          <w:lang w:eastAsia="en-US" w:bidi="fa-IR"/>
        </w:rPr>
        <w:t>This implies that approximately an additional 200 000 may suffer from loneliness as a result of a lack of accessible housing.</w:t>
      </w:r>
    </w:p>
    <w:p w:rsidR="007C6A5F" w:rsidRDefault="007C6A5F" w:rsidP="007C6A5F">
      <w:pPr>
        <w:pStyle w:val="Heading7"/>
        <w:numPr>
          <w:ilvl w:val="6"/>
          <w:numId w:val="5"/>
        </w:numPr>
      </w:pPr>
      <w:r>
        <w:t>The cost of loneliness</w:t>
      </w:r>
    </w:p>
    <w:p w:rsidR="007C6A5F" w:rsidRDefault="007C6A5F" w:rsidP="007C6A5F">
      <w:pPr>
        <w:pStyle w:val="BodyText"/>
      </w:pPr>
      <w:r>
        <w:t>Loneliness is associated with a range of health impacts, including:</w:t>
      </w:r>
    </w:p>
    <w:p w:rsidR="007C6A5F" w:rsidRDefault="007C6A5F" w:rsidP="005A6F87">
      <w:pPr>
        <w:pStyle w:val="ListBullet"/>
        <w:numPr>
          <w:ilvl w:val="0"/>
          <w:numId w:val="17"/>
        </w:numPr>
      </w:pPr>
      <w:r>
        <w:t>an increase in GP Consultations</w:t>
      </w:r>
    </w:p>
    <w:p w:rsidR="007C6A5F" w:rsidRDefault="007C6A5F" w:rsidP="005A6F87">
      <w:pPr>
        <w:pStyle w:val="ListBullet"/>
        <w:numPr>
          <w:ilvl w:val="0"/>
          <w:numId w:val="17"/>
        </w:numPr>
      </w:pPr>
      <w:r>
        <w:t>unplanned hospital admissions</w:t>
      </w:r>
    </w:p>
    <w:p w:rsidR="007C6A5F" w:rsidRDefault="007C6A5F" w:rsidP="005A6F87">
      <w:pPr>
        <w:pStyle w:val="ListBullet"/>
        <w:numPr>
          <w:ilvl w:val="0"/>
          <w:numId w:val="17"/>
        </w:numPr>
      </w:pPr>
      <w:r>
        <w:t>increased attendance at an Emergency Department</w:t>
      </w:r>
    </w:p>
    <w:p w:rsidR="007C6A5F" w:rsidRDefault="007C6A5F" w:rsidP="005A6F87">
      <w:pPr>
        <w:pStyle w:val="ListBullet"/>
        <w:numPr>
          <w:ilvl w:val="0"/>
          <w:numId w:val="17"/>
        </w:numPr>
      </w:pPr>
      <w:r>
        <w:t>an increase in self</w:t>
      </w:r>
      <w:r>
        <w:noBreakHyphen/>
        <w:t>harm</w:t>
      </w:r>
    </w:p>
    <w:p w:rsidR="007C6A5F" w:rsidRDefault="007C6A5F" w:rsidP="005A6F87">
      <w:pPr>
        <w:pStyle w:val="ListBullet"/>
        <w:numPr>
          <w:ilvl w:val="0"/>
          <w:numId w:val="17"/>
        </w:numPr>
      </w:pPr>
      <w:r>
        <w:t>an increase in depression</w:t>
      </w:r>
    </w:p>
    <w:p w:rsidR="007C6A5F" w:rsidRDefault="007C6A5F" w:rsidP="005A6F87">
      <w:pPr>
        <w:pStyle w:val="ListBullet"/>
        <w:numPr>
          <w:ilvl w:val="0"/>
          <w:numId w:val="17"/>
        </w:numPr>
      </w:pPr>
      <w:r>
        <w:t>an increase in coronary heart disease</w:t>
      </w:r>
    </w:p>
    <w:p w:rsidR="007C6A5F" w:rsidRDefault="007C6A5F" w:rsidP="005A6F87">
      <w:pPr>
        <w:pStyle w:val="ListBullet"/>
        <w:numPr>
          <w:ilvl w:val="0"/>
          <w:numId w:val="17"/>
        </w:numPr>
      </w:pPr>
      <w:r>
        <w:t>an increase in stroke</w:t>
      </w:r>
    </w:p>
    <w:p w:rsidR="007C6A5F" w:rsidRDefault="007C6A5F" w:rsidP="005A6F87">
      <w:pPr>
        <w:pStyle w:val="ListBullet"/>
        <w:numPr>
          <w:ilvl w:val="0"/>
          <w:numId w:val="17"/>
        </w:numPr>
      </w:pPr>
      <w:r>
        <w:t>an increase in dementia.</w:t>
      </w:r>
    </w:p>
    <w:p w:rsidR="007C6A5F" w:rsidRDefault="007C6A5F" w:rsidP="007C6A5F">
      <w:pPr>
        <w:pStyle w:val="BodyText"/>
      </w:pPr>
      <w:r>
        <w:t>One way the cost of loneliness to the community has been measured in the literature is through these health impacts. Although we did not identify any Australian studies estimating the economic costs of loneliness, there are several UK studies. In particular:</w:t>
      </w:r>
    </w:p>
    <w:p w:rsidR="007C6A5F" w:rsidRDefault="007C6A5F" w:rsidP="005A6F87">
      <w:pPr>
        <w:pStyle w:val="ListBullet"/>
        <w:numPr>
          <w:ilvl w:val="0"/>
          <w:numId w:val="17"/>
        </w:numPr>
      </w:pPr>
      <w:r>
        <w:t>McDaid et. al. estimated the avoidable costs of loneliness could be around £1700 (2015 values) per person in net present value terms over ten years.</w:t>
      </w:r>
      <w:r>
        <w:rPr>
          <w:rStyle w:val="FootnoteReference"/>
        </w:rPr>
        <w:footnoteReference w:id="96"/>
      </w:r>
    </w:p>
    <w:p w:rsidR="007C6A5F" w:rsidRDefault="007C6A5F" w:rsidP="005A6F87">
      <w:pPr>
        <w:pStyle w:val="ListBullet2"/>
        <w:numPr>
          <w:ilvl w:val="1"/>
          <w:numId w:val="17"/>
        </w:numPr>
        <w:ind w:left="568" w:hanging="284"/>
      </w:pPr>
      <w:r>
        <w:t>The discount rate used in the net present value calculation is not reported. However, using a 7 per cent discount rate, this equates to around £226 per year.</w:t>
      </w:r>
    </w:p>
    <w:p w:rsidR="007C6A5F" w:rsidRDefault="007C6A5F" w:rsidP="005A6F87">
      <w:pPr>
        <w:pStyle w:val="ListBullet2"/>
        <w:numPr>
          <w:ilvl w:val="1"/>
          <w:numId w:val="17"/>
        </w:numPr>
        <w:ind w:left="568" w:hanging="284"/>
      </w:pPr>
      <w:r>
        <w:t>Converted to 2019 Australian dollar terms, this is around $417 per year.</w:t>
      </w:r>
    </w:p>
    <w:p w:rsidR="007C6A5F" w:rsidRDefault="007C6A5F" w:rsidP="005A6F87">
      <w:pPr>
        <w:pStyle w:val="ListBullet"/>
        <w:numPr>
          <w:ilvl w:val="0"/>
          <w:numId w:val="17"/>
        </w:numPr>
      </w:pPr>
      <w:r>
        <w:t>For those who are lonely most of the time, these costs are estimated at around $6000 per person in net present value terms over ten years.</w:t>
      </w:r>
      <w:r w:rsidRPr="002D004B">
        <w:rPr>
          <w:rStyle w:val="FootnoteReference"/>
        </w:rPr>
        <w:t xml:space="preserve"> </w:t>
      </w:r>
      <w:r>
        <w:rPr>
          <w:rStyle w:val="FootnoteReference"/>
        </w:rPr>
        <w:footnoteReference w:id="97"/>
      </w:r>
    </w:p>
    <w:p w:rsidR="007C6A5F" w:rsidRDefault="007C6A5F" w:rsidP="005A6F87">
      <w:pPr>
        <w:pStyle w:val="ListBullet2"/>
        <w:numPr>
          <w:ilvl w:val="1"/>
          <w:numId w:val="17"/>
        </w:numPr>
        <w:ind w:left="568" w:hanging="284"/>
      </w:pPr>
      <w:r>
        <w:t>Assuming a 7 per cent discount rate, this equates to around 798 per year.</w:t>
      </w:r>
    </w:p>
    <w:p w:rsidR="007C6A5F" w:rsidRDefault="007C6A5F" w:rsidP="005A6F87">
      <w:pPr>
        <w:pStyle w:val="ListBullet2"/>
        <w:numPr>
          <w:ilvl w:val="1"/>
          <w:numId w:val="17"/>
        </w:numPr>
        <w:ind w:left="568" w:hanging="284"/>
      </w:pPr>
      <w:r>
        <w:t>Converting to 2019 Australian dollar terms, this is around $1471 per year.</w:t>
      </w:r>
    </w:p>
    <w:p w:rsidR="007C6A5F" w:rsidRDefault="007C6A5F" w:rsidP="007C6A5F">
      <w:pPr>
        <w:pStyle w:val="BodyText"/>
        <w:rPr>
          <w:lang w:bidi="fa-IR"/>
        </w:rPr>
      </w:pPr>
      <w:r>
        <w:rPr>
          <w:lang w:bidi="fa-IR"/>
        </w:rPr>
        <w:t>We use the above estimates as low and high estimates, with the midpoint used as the central case estimate.</w:t>
      </w:r>
    </w:p>
    <w:p w:rsidR="007C6A5F" w:rsidRDefault="007C6A5F" w:rsidP="007C6A5F">
      <w:pPr>
        <w:pStyle w:val="Heading6"/>
        <w:numPr>
          <w:ilvl w:val="5"/>
          <w:numId w:val="5"/>
        </w:numPr>
      </w:pPr>
      <w:bookmarkStart w:id="7673" w:name="_Ref31915182"/>
      <w:bookmarkStart w:id="7674" w:name="_Ref31915213"/>
      <w:bookmarkStart w:id="7675" w:name="_Toc32321780"/>
      <w:bookmarkStart w:id="7676" w:name="_Toc44598469"/>
      <w:bookmarkStart w:id="7677" w:name="_Toc45654100"/>
      <w:r>
        <w:lastRenderedPageBreak/>
        <w:t>Premature or inappropriate entry into residential aged care</w:t>
      </w:r>
      <w:bookmarkEnd w:id="7673"/>
      <w:bookmarkEnd w:id="7674"/>
      <w:bookmarkEnd w:id="7675"/>
      <w:bookmarkEnd w:id="7676"/>
      <w:bookmarkEnd w:id="7677"/>
    </w:p>
    <w:p w:rsidR="007C6A5F" w:rsidRDefault="007C6A5F" w:rsidP="007C6A5F">
      <w:pPr>
        <w:pStyle w:val="Heading7"/>
        <w:numPr>
          <w:ilvl w:val="6"/>
          <w:numId w:val="5"/>
        </w:numPr>
        <w:rPr>
          <w:lang w:bidi="fa-IR"/>
        </w:rPr>
      </w:pPr>
      <w:r>
        <w:rPr>
          <w:lang w:bidi="fa-IR"/>
        </w:rPr>
        <w:t>Incidence of people inappropriately or prematurely admitted to aged care</w:t>
      </w:r>
    </w:p>
    <w:p w:rsidR="007C6A5F" w:rsidRDefault="007C6A5F" w:rsidP="007C6A5F">
      <w:pPr>
        <w:pStyle w:val="BodyText"/>
        <w:rPr>
          <w:lang w:bidi="fa-IR"/>
        </w:rPr>
      </w:pPr>
      <w:r>
        <w:rPr>
          <w:lang w:bidi="fa-IR"/>
        </w:rPr>
        <w:t>There were:</w:t>
      </w:r>
    </w:p>
    <w:p w:rsidR="007C6A5F" w:rsidRDefault="007C6A5F" w:rsidP="005A6F87">
      <w:pPr>
        <w:pStyle w:val="ListBullet"/>
        <w:numPr>
          <w:ilvl w:val="0"/>
          <w:numId w:val="17"/>
        </w:numPr>
        <w:rPr>
          <w:lang w:bidi="fa-IR"/>
        </w:rPr>
      </w:pPr>
      <w:r>
        <w:rPr>
          <w:lang w:bidi="fa-IR"/>
        </w:rPr>
        <w:t>around 176 300 people with a mobility impairment in residential aged care in 2018 (including homes for the aged and cared retired/aged accommodation) according to SDAC data</w:t>
      </w:r>
    </w:p>
    <w:p w:rsidR="007C6A5F" w:rsidRDefault="007C6A5F" w:rsidP="005A6F87">
      <w:pPr>
        <w:pStyle w:val="ListBullet"/>
        <w:numPr>
          <w:ilvl w:val="0"/>
          <w:numId w:val="17"/>
        </w:numPr>
        <w:rPr>
          <w:lang w:bidi="fa-IR"/>
        </w:rPr>
      </w:pPr>
      <w:r>
        <w:rPr>
          <w:lang w:bidi="fa-IR"/>
        </w:rPr>
        <w:t>182 705 permanent aged care placed funded by the Australian Government as at June 2019, according to AIHW data.</w:t>
      </w:r>
      <w:r>
        <w:rPr>
          <w:rStyle w:val="FootnoteReference"/>
          <w:lang w:bidi="fa-IR"/>
        </w:rPr>
        <w:footnoteReference w:id="98"/>
      </w:r>
    </w:p>
    <w:p w:rsidR="007C6A5F" w:rsidRDefault="007C6A5F" w:rsidP="007C6A5F">
      <w:pPr>
        <w:pStyle w:val="BodyText"/>
        <w:rPr>
          <w:lang w:bidi="fa-IR"/>
        </w:rPr>
      </w:pPr>
      <w:r>
        <w:rPr>
          <w:lang w:bidi="fa-IR"/>
        </w:rPr>
        <w:t xml:space="preserve">Entry into residential care can be a complex decision, taking into account a range of factors. </w:t>
      </w:r>
      <w:r w:rsidRPr="00FF3A4A">
        <w:rPr>
          <w:lang w:bidi="fa-IR"/>
        </w:rPr>
        <w:t>There is limited evidence on the incidence of people being admitted to residential aged care inappropriately or prematurely</w:t>
      </w:r>
      <w:r>
        <w:rPr>
          <w:lang w:bidi="fa-IR"/>
        </w:rPr>
        <w:t>. Residential aged care is generally to address care needs beyond accessibility. However, it is possible that some proportion of these aged care residents may have prematurely entered aged care, where their previous home no longer meets their changing accessibility needs and they are unable to secure alternative accommodation that meets their needs. Even where an individual has some care needs, home-based care may be possible with accessible housing.</w:t>
      </w:r>
    </w:p>
    <w:p w:rsidR="007C6A5F" w:rsidRDefault="007C6A5F" w:rsidP="007C6A5F">
      <w:pPr>
        <w:pStyle w:val="BodyText"/>
        <w:rPr>
          <w:lang w:bidi="fa-IR"/>
        </w:rPr>
      </w:pPr>
      <w:r>
        <w:rPr>
          <w:lang w:bidi="fa-IR"/>
        </w:rPr>
        <w:t>Based on the limited information available, we estimate that there could be between 2767 and 6199 additional people in residential aged care due to a lack of accessible housing, with a central case estimate of 4277 (table </w:t>
      </w:r>
      <w:r w:rsidRPr="00F36A14">
        <w:rPr>
          <w:lang w:bidi="fa-IR"/>
        </w:rPr>
        <w:t>G.1</w:t>
      </w:r>
      <w:r>
        <w:rPr>
          <w:lang w:bidi="fa-IR"/>
        </w:rPr>
        <w:t>). Details of our approach to estimating the number of additional people in residential aged care is provided below.</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G</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G</w:instrText>
      </w:r>
      <w:r>
        <w:rPr>
          <w:noProof/>
        </w:rPr>
        <w:fldChar w:fldCharType="end"/>
      </w:r>
      <w:r w:rsidRPr="00695C93">
        <w:instrText xml:space="preserve">." </w:instrText>
      </w:r>
      <w:r w:rsidRPr="00695C93">
        <w:fldChar w:fldCharType="separate"/>
      </w:r>
      <w:r>
        <w:rPr>
          <w:noProof/>
        </w:rPr>
        <w:instrText>G</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G</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w:instrText>
      </w:r>
      <w:r w:rsidRPr="00695C93">
        <w:fldChar w:fldCharType="end"/>
      </w:r>
      <w:r w:rsidRPr="00695C93">
        <w:instrText xml:space="preserve">" "" </w:instrText>
      </w:r>
      <w:r w:rsidRPr="00695C93">
        <w:fldChar w:fldCharType="separate"/>
      </w:r>
      <w:bookmarkStart w:id="7678" w:name="_Caption7770"/>
      <w:bookmarkStart w:id="7679" w:name="_Caption2189"/>
      <w:bookmarkStart w:id="7680" w:name="_Caption8554"/>
      <w:bookmarkStart w:id="7681" w:name="_Caption4171"/>
      <w:bookmarkStart w:id="7682" w:name="_Toc44598595"/>
      <w:bookmarkStart w:id="7683" w:name="_Toc45654226"/>
      <w:r w:rsidR="00272AF3">
        <w:rPr>
          <w:noProof/>
        </w:rPr>
        <w:t>G</w:t>
      </w:r>
      <w:r w:rsidR="00272AF3" w:rsidRPr="00695C93">
        <w:rPr>
          <w:noProof/>
        </w:rPr>
        <w:t>.</w:t>
      </w:r>
      <w:r w:rsidR="00272AF3">
        <w:rPr>
          <w:noProof/>
        </w:rPr>
        <w:t>1</w:t>
      </w:r>
      <w:bookmarkEnd w:id="7678"/>
      <w:bookmarkEnd w:id="7679"/>
      <w:bookmarkEnd w:id="7680"/>
      <w:bookmarkEnd w:id="7681"/>
      <w:r w:rsidRPr="00695C93">
        <w:fldChar w:fldCharType="end"/>
      </w:r>
      <w:r w:rsidRPr="00695C93">
        <w:tab/>
      </w:r>
      <w:r>
        <w:t>Additional people in residential aged care due to a lack of accessible housing</w:t>
      </w:r>
      <w:bookmarkEnd w:id="7682"/>
      <w:bookmarkEnd w:id="7683"/>
    </w:p>
    <w:tbl>
      <w:tblPr>
        <w:tblStyle w:val="TableGridLight"/>
        <w:tblW w:w="7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G.1"/>
        <w:tblDescription w:val="Additional people in residential aged care due to a lack of accessible housing"/>
      </w:tblPr>
      <w:tblGrid>
        <w:gridCol w:w="3328"/>
        <w:gridCol w:w="1536"/>
        <w:gridCol w:w="1536"/>
        <w:gridCol w:w="1536"/>
      </w:tblGrid>
      <w:tr w:rsidR="007C6A5F" w:rsidRPr="000F1718" w:rsidTr="000A3785">
        <w:trPr>
          <w:trHeight w:val="230"/>
          <w:tblHeader/>
        </w:trPr>
        <w:tc>
          <w:tcPr>
            <w:tcW w:w="3328" w:type="dxa"/>
            <w:shd w:val="clear" w:color="auto" w:fill="6F6652" w:themeFill="accent5"/>
          </w:tcPr>
          <w:p w:rsidR="007C6A5F" w:rsidRPr="000F1718" w:rsidRDefault="008C2369" w:rsidP="00C36DA4">
            <w:pPr>
              <w:pStyle w:val="TableDataColumnHeading"/>
              <w:jc w:val="left"/>
              <w:rPr>
                <w:lang w:val="en-GB"/>
              </w:rPr>
            </w:pPr>
            <w:r>
              <w:rPr>
                <w:lang w:val="en-GB"/>
              </w:rPr>
              <w:t>People by age group</w:t>
            </w:r>
          </w:p>
        </w:tc>
        <w:tc>
          <w:tcPr>
            <w:tcW w:w="1536" w:type="dxa"/>
            <w:shd w:val="clear" w:color="auto" w:fill="6F6652" w:themeFill="accent5"/>
          </w:tcPr>
          <w:p w:rsidR="007C6A5F" w:rsidRDefault="007C6A5F" w:rsidP="00C36DA4">
            <w:pPr>
              <w:pStyle w:val="TableDataColumnHeading"/>
              <w:rPr>
                <w:lang w:val="en-GB"/>
              </w:rPr>
            </w:pPr>
            <w:r w:rsidRPr="000F1718">
              <w:rPr>
                <w:lang w:val="en-GB"/>
              </w:rPr>
              <w:t>Low estimate</w:t>
            </w:r>
          </w:p>
          <w:p w:rsidR="008C121C" w:rsidRPr="000F1718" w:rsidRDefault="008C121C" w:rsidP="00C36DA4">
            <w:pPr>
              <w:pStyle w:val="TableDataColumnHeading"/>
              <w:rPr>
                <w:lang w:val="en-GB"/>
              </w:rPr>
            </w:pPr>
            <w:r>
              <w:rPr>
                <w:lang w:val="en-GB"/>
              </w:rPr>
              <w:t>(No.)</w:t>
            </w:r>
          </w:p>
        </w:tc>
        <w:tc>
          <w:tcPr>
            <w:tcW w:w="1536" w:type="dxa"/>
            <w:shd w:val="clear" w:color="auto" w:fill="6F6652" w:themeFill="accent5"/>
          </w:tcPr>
          <w:p w:rsidR="007C6A5F" w:rsidRDefault="007C6A5F" w:rsidP="00C36DA4">
            <w:pPr>
              <w:pStyle w:val="TableDataColumnHeading"/>
              <w:rPr>
                <w:lang w:val="en-GB"/>
              </w:rPr>
            </w:pPr>
            <w:r w:rsidRPr="000F1718">
              <w:rPr>
                <w:lang w:val="en-GB"/>
              </w:rPr>
              <w:t>Central case</w:t>
            </w:r>
          </w:p>
          <w:p w:rsidR="008C121C" w:rsidRPr="000F1718" w:rsidRDefault="008C121C" w:rsidP="00C36DA4">
            <w:pPr>
              <w:pStyle w:val="TableDataColumnHeading"/>
              <w:rPr>
                <w:lang w:val="en-GB"/>
              </w:rPr>
            </w:pPr>
            <w:r>
              <w:rPr>
                <w:lang w:val="en-GB"/>
              </w:rPr>
              <w:t>(No.)</w:t>
            </w:r>
          </w:p>
        </w:tc>
        <w:tc>
          <w:tcPr>
            <w:tcW w:w="1536" w:type="dxa"/>
            <w:shd w:val="clear" w:color="auto" w:fill="6F6652" w:themeFill="accent5"/>
          </w:tcPr>
          <w:p w:rsidR="007C6A5F" w:rsidRDefault="007C6A5F" w:rsidP="00C36DA4">
            <w:pPr>
              <w:pStyle w:val="TableDataColumnHeading"/>
              <w:rPr>
                <w:lang w:val="en-GB"/>
              </w:rPr>
            </w:pPr>
            <w:r w:rsidRPr="000F1718">
              <w:rPr>
                <w:lang w:val="en-GB"/>
              </w:rPr>
              <w:t>High estimate</w:t>
            </w:r>
          </w:p>
          <w:p w:rsidR="008C121C" w:rsidRPr="000F1718" w:rsidRDefault="008C121C" w:rsidP="00C36DA4">
            <w:pPr>
              <w:pStyle w:val="TableDataColumnHeading"/>
              <w:rPr>
                <w:lang w:val="en-GB"/>
              </w:rPr>
            </w:pPr>
            <w:r>
              <w:rPr>
                <w:lang w:val="en-GB"/>
              </w:rPr>
              <w:t>(No.)</w:t>
            </w:r>
          </w:p>
        </w:tc>
      </w:tr>
      <w:tr w:rsidR="007C6A5F" w:rsidTr="000F1718">
        <w:trPr>
          <w:trHeight w:val="230"/>
        </w:trPr>
        <w:tc>
          <w:tcPr>
            <w:tcW w:w="33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Older people (65+ years)</w:t>
            </w:r>
          </w:p>
        </w:tc>
        <w:tc>
          <w:tcPr>
            <w:tcW w:w="153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2 660</w:t>
            </w:r>
          </w:p>
        </w:tc>
        <w:tc>
          <w:tcPr>
            <w:tcW w:w="153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4 140</w:t>
            </w:r>
          </w:p>
        </w:tc>
        <w:tc>
          <w:tcPr>
            <w:tcW w:w="153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6 023</w:t>
            </w:r>
          </w:p>
        </w:tc>
      </w:tr>
      <w:tr w:rsidR="007C6A5F" w:rsidTr="00B5160B">
        <w:trPr>
          <w:trHeight w:val="230"/>
        </w:trPr>
        <w:tc>
          <w:tcPr>
            <w:tcW w:w="332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Younger people (&lt;65 years)</w:t>
            </w:r>
          </w:p>
        </w:tc>
        <w:tc>
          <w:tcPr>
            <w:tcW w:w="153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107</w:t>
            </w:r>
          </w:p>
        </w:tc>
        <w:tc>
          <w:tcPr>
            <w:tcW w:w="153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137</w:t>
            </w:r>
          </w:p>
        </w:tc>
        <w:tc>
          <w:tcPr>
            <w:tcW w:w="153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 176</w:t>
            </w:r>
          </w:p>
        </w:tc>
      </w:tr>
      <w:tr w:rsidR="007C6A5F" w:rsidRPr="006154F2" w:rsidTr="00B5160B">
        <w:trPr>
          <w:trHeight w:val="230"/>
        </w:trPr>
        <w:tc>
          <w:tcPr>
            <w:tcW w:w="3328" w:type="dxa"/>
            <w:tcBorders>
              <w:top w:val="single" w:sz="8" w:space="0" w:color="FFFFFF" w:themeColor="background1"/>
              <w:bottom w:val="single" w:sz="4" w:space="0" w:color="6F6652" w:themeColor="accent5"/>
            </w:tcBorders>
            <w:shd w:val="clear" w:color="auto" w:fill="C2DADB" w:themeFill="accent6" w:themeFillTint="99"/>
          </w:tcPr>
          <w:p w:rsidR="007C6A5F" w:rsidRPr="006154F2" w:rsidRDefault="007C6A5F" w:rsidP="00C36DA4">
            <w:pPr>
              <w:pStyle w:val="TableDataEntries"/>
              <w:jc w:val="left"/>
              <w:rPr>
                <w:rFonts w:ascii="Franklin Gothic Demi" w:hAnsi="Franklin Gothic Demi"/>
                <w:lang w:val="en-GB"/>
              </w:rPr>
            </w:pPr>
            <w:r w:rsidRPr="006154F2">
              <w:rPr>
                <w:rFonts w:ascii="Franklin Gothic Demi" w:hAnsi="Franklin Gothic Demi"/>
                <w:lang w:val="en-GB"/>
              </w:rPr>
              <w:t>Total</w:t>
            </w:r>
          </w:p>
        </w:tc>
        <w:tc>
          <w:tcPr>
            <w:tcW w:w="1536" w:type="dxa"/>
            <w:tcBorders>
              <w:top w:val="single" w:sz="8" w:space="0" w:color="FFFFFF" w:themeColor="background1"/>
              <w:bottom w:val="single" w:sz="4" w:space="0" w:color="6F6652" w:themeColor="accent5"/>
            </w:tcBorders>
            <w:shd w:val="clear" w:color="auto" w:fill="C2DADB" w:themeFill="accent6" w:themeFillTint="99"/>
          </w:tcPr>
          <w:p w:rsidR="007C6A5F" w:rsidRPr="006154F2" w:rsidRDefault="007C6A5F" w:rsidP="00C36DA4">
            <w:pPr>
              <w:pStyle w:val="TableDataEntries"/>
              <w:rPr>
                <w:rFonts w:ascii="Franklin Gothic Demi" w:hAnsi="Franklin Gothic Demi"/>
                <w:lang w:val="en-GB"/>
              </w:rPr>
            </w:pPr>
            <w:r w:rsidRPr="006154F2">
              <w:rPr>
                <w:rFonts w:ascii="Franklin Gothic Demi" w:hAnsi="Franklin Gothic Demi"/>
                <w:lang w:val="en-GB"/>
              </w:rPr>
              <w:t>2 767</w:t>
            </w:r>
          </w:p>
        </w:tc>
        <w:tc>
          <w:tcPr>
            <w:tcW w:w="1536" w:type="dxa"/>
            <w:tcBorders>
              <w:top w:val="single" w:sz="8" w:space="0" w:color="FFFFFF" w:themeColor="background1"/>
              <w:bottom w:val="single" w:sz="4" w:space="0" w:color="6F6652" w:themeColor="accent5"/>
            </w:tcBorders>
            <w:shd w:val="clear" w:color="auto" w:fill="C2DADB" w:themeFill="accent6" w:themeFillTint="99"/>
          </w:tcPr>
          <w:p w:rsidR="007C6A5F" w:rsidRPr="006154F2" w:rsidRDefault="007C6A5F" w:rsidP="00C36DA4">
            <w:pPr>
              <w:pStyle w:val="TableDataEntries"/>
              <w:rPr>
                <w:rFonts w:ascii="Franklin Gothic Demi" w:hAnsi="Franklin Gothic Demi"/>
                <w:lang w:val="en-GB"/>
              </w:rPr>
            </w:pPr>
            <w:r w:rsidRPr="006154F2">
              <w:rPr>
                <w:rFonts w:ascii="Franklin Gothic Demi" w:hAnsi="Franklin Gothic Demi"/>
                <w:lang w:val="en-GB"/>
              </w:rPr>
              <w:t>4 277</w:t>
            </w:r>
          </w:p>
        </w:tc>
        <w:tc>
          <w:tcPr>
            <w:tcW w:w="1536" w:type="dxa"/>
            <w:tcBorders>
              <w:top w:val="single" w:sz="8" w:space="0" w:color="FFFFFF" w:themeColor="background1"/>
              <w:bottom w:val="single" w:sz="4" w:space="0" w:color="6F6652" w:themeColor="accent5"/>
            </w:tcBorders>
            <w:shd w:val="clear" w:color="auto" w:fill="C2DADB" w:themeFill="accent6" w:themeFillTint="99"/>
          </w:tcPr>
          <w:p w:rsidR="007C6A5F" w:rsidRPr="006154F2" w:rsidRDefault="007C6A5F" w:rsidP="00C36DA4">
            <w:pPr>
              <w:pStyle w:val="TableDataEntries"/>
              <w:rPr>
                <w:rFonts w:ascii="Franklin Gothic Demi" w:hAnsi="Franklin Gothic Demi"/>
                <w:lang w:val="en-GB"/>
              </w:rPr>
            </w:pPr>
            <w:r w:rsidRPr="006154F2">
              <w:rPr>
                <w:rFonts w:ascii="Franklin Gothic Demi" w:hAnsi="Franklin Gothic Demi"/>
                <w:lang w:val="en-GB"/>
              </w:rPr>
              <w:t>6 199</w:t>
            </w:r>
          </w:p>
        </w:tc>
      </w:tr>
    </w:tbl>
    <w:p w:rsidR="007C6A5F" w:rsidRDefault="007C6A5F" w:rsidP="007C6A5F">
      <w:pPr>
        <w:pStyle w:val="Source"/>
        <w:rPr>
          <w:lang w:bidi="fa-IR"/>
        </w:rPr>
      </w:pPr>
      <w:r w:rsidRPr="00F027F6">
        <w:rPr>
          <w:i/>
          <w:lang w:bidi="fa-IR"/>
        </w:rPr>
        <w:t>Source:</w:t>
      </w:r>
      <w:r>
        <w:rPr>
          <w:lang w:bidi="fa-IR"/>
        </w:rPr>
        <w:t xml:space="preserve"> CIE estimates.</w:t>
      </w:r>
    </w:p>
    <w:p w:rsidR="007C6A5F" w:rsidRDefault="007C6A5F" w:rsidP="007C6A5F">
      <w:pPr>
        <w:pStyle w:val="BodyText"/>
        <w:rPr>
          <w:lang w:bidi="fa-IR"/>
        </w:rPr>
      </w:pPr>
    </w:p>
    <w:p w:rsidR="007C6A5F" w:rsidRDefault="007C6A5F" w:rsidP="007C6A5F">
      <w:pPr>
        <w:pStyle w:val="Heading8"/>
        <w:numPr>
          <w:ilvl w:val="7"/>
          <w:numId w:val="5"/>
        </w:numPr>
        <w:rPr>
          <w:lang w:bidi="fa-IR"/>
        </w:rPr>
      </w:pPr>
      <w:r>
        <w:rPr>
          <w:lang w:bidi="fa-IR"/>
        </w:rPr>
        <w:lastRenderedPageBreak/>
        <w:t>Older people inappropriately or prematurely admitted to aged care</w:t>
      </w:r>
    </w:p>
    <w:p w:rsidR="007C6A5F" w:rsidRDefault="007C6A5F" w:rsidP="007C6A5F">
      <w:pPr>
        <w:pStyle w:val="BodyText"/>
        <w:rPr>
          <w:lang w:bidi="fa-IR"/>
        </w:rPr>
      </w:pPr>
      <w:r w:rsidRPr="00FF3A4A">
        <w:rPr>
          <w:lang w:bidi="fa-IR"/>
        </w:rPr>
        <w:t>Some stakeholders suggested it was unlikely that there would be a large number of inappropriate or premature entrants into residential aged care.</w:t>
      </w:r>
    </w:p>
    <w:p w:rsidR="007C6A5F" w:rsidRDefault="007C6A5F" w:rsidP="005A6F87">
      <w:pPr>
        <w:pStyle w:val="ListBullet"/>
        <w:numPr>
          <w:ilvl w:val="0"/>
          <w:numId w:val="17"/>
        </w:numPr>
        <w:rPr>
          <w:lang w:bidi="fa-IR"/>
        </w:rPr>
      </w:pPr>
      <w:r>
        <w:rPr>
          <w:lang w:bidi="fa-IR"/>
        </w:rPr>
        <w:t>Prospective entrants into government</w:t>
      </w:r>
      <w:r>
        <w:rPr>
          <w:lang w:bidi="fa-IR"/>
        </w:rPr>
        <w:noBreakHyphen/>
        <w:t>funded residential aged care place undergo and assessment by an Aged Care Assessment Team (ACAT). ACATs assess the physical, psychological, medical, restorative, cultural and social needs of frail older people to help them and their carers to access appropriate levels of support. Evidence suggests that a range of factors influence the ACAT’s recommended long</w:t>
      </w:r>
      <w:r>
        <w:rPr>
          <w:lang w:bidi="fa-IR"/>
        </w:rPr>
        <w:noBreakHyphen/>
        <w:t>term care setting, including age, availability of informal care, health conditions and assistance needs.</w:t>
      </w:r>
      <w:r>
        <w:rPr>
          <w:rStyle w:val="FootnoteReference"/>
          <w:lang w:bidi="fa-IR"/>
        </w:rPr>
        <w:footnoteReference w:id="99"/>
      </w:r>
    </w:p>
    <w:p w:rsidR="007C6A5F" w:rsidRDefault="007C6A5F" w:rsidP="005A6F87">
      <w:pPr>
        <w:pStyle w:val="ListBullet"/>
        <w:numPr>
          <w:ilvl w:val="0"/>
          <w:numId w:val="17"/>
        </w:numPr>
        <w:rPr>
          <w:lang w:bidi="fa-IR"/>
        </w:rPr>
      </w:pPr>
      <w:r>
        <w:rPr>
          <w:lang w:bidi="fa-IR"/>
        </w:rPr>
        <w:t>There has also been a policy shift towards assisting people stay at home, rather than entering aged care.</w:t>
      </w:r>
    </w:p>
    <w:p w:rsidR="007C6A5F" w:rsidRDefault="007C6A5F" w:rsidP="007C6A5F">
      <w:pPr>
        <w:pStyle w:val="BodyText"/>
      </w:pPr>
      <w:r>
        <w:t>The AIHW reports that in 2018</w:t>
      </w:r>
      <w:r>
        <w:noBreakHyphen/>
        <w:t>19, there were 163 047 aged care assessments.</w:t>
      </w:r>
      <w:r>
        <w:rPr>
          <w:rStyle w:val="FootnoteReference"/>
        </w:rPr>
        <w:footnoteReference w:id="100"/>
      </w:r>
      <w:r>
        <w:t xml:space="preserve"> Among the issues considered as part of these assessments are any difficulties completing daily tasks and activities around the home and any issues relating to home and personal safety (i.e. issues relating to the accessibility of the home).</w:t>
      </w:r>
    </w:p>
    <w:p w:rsidR="007C6A5F" w:rsidRDefault="007C6A5F" w:rsidP="005A6F87">
      <w:pPr>
        <w:pStyle w:val="ListBullet"/>
        <w:numPr>
          <w:ilvl w:val="0"/>
          <w:numId w:val="17"/>
        </w:numPr>
      </w:pPr>
      <w:r>
        <w:t>In around 75 per cent of cases, the recommended long</w:t>
      </w:r>
      <w:r>
        <w:noBreakHyphen/>
        <w:t>term living arrangement was the private residence or other residential arrangements within the community (including independent living within a retirement village, supported community accommodation, boarding houses and other community settings) (chart </w:t>
      </w:r>
      <w:r>
        <w:rPr>
          <w:noProof/>
        </w:rPr>
        <w:fldChar w:fldCharType="begin"/>
      </w:r>
      <w:r>
        <w:rPr>
          <w:noProof/>
        </w:rPr>
        <w:instrText xml:space="preserve"> REF _Caption2150 </w:instrText>
      </w:r>
      <w:r>
        <w:rPr>
          <w:noProof/>
        </w:rPr>
        <w:fldChar w:fldCharType="separate"/>
      </w:r>
      <w:r>
        <w:rPr>
          <w:noProof/>
        </w:rPr>
        <w:t>G</w:t>
      </w:r>
      <w:r w:rsidRPr="00695C93">
        <w:rPr>
          <w:noProof/>
        </w:rPr>
        <w:t>.</w:t>
      </w:r>
      <w:r>
        <w:rPr>
          <w:noProof/>
        </w:rPr>
        <w:t>2</w:t>
      </w:r>
      <w:r>
        <w:rPr>
          <w:noProof/>
        </w:rPr>
        <w:fldChar w:fldCharType="end"/>
      </w:r>
      <w:r>
        <w:t xml:space="preserve">). </w:t>
      </w:r>
      <w:r w:rsidRPr="00502E79">
        <w:t>This implies that the client’s existing dwelling was assessed as being generally suitable</w:t>
      </w:r>
      <w:r>
        <w:t xml:space="preserve"> (although it is still possible that more accessibility features could improve the ease of entering/leaving or moving around the dwelling and reduce the risk of falls and care needs).</w:t>
      </w:r>
    </w:p>
    <w:p w:rsidR="007C6A5F" w:rsidRDefault="007C6A5F" w:rsidP="005A6F87">
      <w:pPr>
        <w:pStyle w:val="ListBullet"/>
        <w:numPr>
          <w:ilvl w:val="0"/>
          <w:numId w:val="17"/>
        </w:numPr>
      </w:pPr>
      <w:r>
        <w:t>In most of the remaining cases, the recommended long</w:t>
      </w:r>
      <w:r>
        <w:noBreakHyphen/>
        <w:t xml:space="preserve">term living arrangement was residential aged care. </w:t>
      </w:r>
      <w:r w:rsidRPr="00FF3A4A">
        <w:t>However, it is not clear to what extent a lack of accessibility features within the existing dwelling contributed to that recommendation.</w:t>
      </w:r>
    </w:p>
    <w:p w:rsidR="007C6A5F" w:rsidRDefault="007C6A5F" w:rsidP="007C6A5F">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G</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G</w:instrText>
      </w:r>
      <w:r>
        <w:rPr>
          <w:noProof/>
        </w:rPr>
        <w:fldChar w:fldCharType="end"/>
      </w:r>
      <w:r w:rsidRPr="00695C93">
        <w:instrText xml:space="preserve">." </w:instrText>
      </w:r>
      <w:r w:rsidRPr="00695C93">
        <w:fldChar w:fldCharType="separate"/>
      </w:r>
      <w:r>
        <w:rPr>
          <w:noProof/>
        </w:rPr>
        <w:instrText>G</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G</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2</w:instrText>
      </w:r>
      <w:r w:rsidRPr="00695C93">
        <w:fldChar w:fldCharType="end"/>
      </w:r>
      <w:r w:rsidRPr="00695C93">
        <w:instrText xml:space="preserve">" "" </w:instrText>
      </w:r>
      <w:r w:rsidRPr="00695C93">
        <w:fldChar w:fldCharType="separate"/>
      </w:r>
      <w:bookmarkStart w:id="7684" w:name="_Caption1523"/>
      <w:bookmarkStart w:id="7685" w:name="_Caption3350"/>
      <w:bookmarkStart w:id="7686" w:name="_Caption0229"/>
      <w:bookmarkStart w:id="7687" w:name="_Caption3721"/>
      <w:bookmarkStart w:id="7688" w:name="_Caption6899"/>
      <w:bookmarkStart w:id="7689" w:name="_Caption2930"/>
      <w:bookmarkStart w:id="7690" w:name="_Caption9843"/>
      <w:bookmarkStart w:id="7691" w:name="_Caption9175"/>
      <w:bookmarkStart w:id="7692" w:name="_Caption1849"/>
      <w:bookmarkStart w:id="7693" w:name="_Caption9047"/>
      <w:bookmarkStart w:id="7694" w:name="_Caption2715"/>
      <w:bookmarkStart w:id="7695" w:name="_Caption8248"/>
      <w:bookmarkStart w:id="7696" w:name="_Caption3603"/>
      <w:bookmarkStart w:id="7697" w:name="_Caption9097"/>
      <w:bookmarkStart w:id="7698" w:name="_Caption9454"/>
      <w:bookmarkStart w:id="7699" w:name="_Caption8765"/>
      <w:bookmarkStart w:id="7700" w:name="_Caption3085"/>
      <w:bookmarkStart w:id="7701" w:name="_Caption4288"/>
      <w:bookmarkStart w:id="7702" w:name="_Caption6203"/>
      <w:bookmarkStart w:id="7703" w:name="_Caption1844"/>
      <w:bookmarkStart w:id="7704" w:name="_Caption3607"/>
      <w:bookmarkStart w:id="7705" w:name="_Caption2587"/>
      <w:bookmarkStart w:id="7706" w:name="_Caption3426"/>
      <w:bookmarkStart w:id="7707" w:name="_Caption0757"/>
      <w:bookmarkStart w:id="7708" w:name="_Caption2994"/>
      <w:bookmarkStart w:id="7709" w:name="_Caption8209"/>
      <w:bookmarkStart w:id="7710" w:name="_Caption6550"/>
      <w:bookmarkStart w:id="7711" w:name="_Caption6984"/>
      <w:bookmarkStart w:id="7712" w:name="_Caption5791"/>
      <w:bookmarkStart w:id="7713" w:name="_Caption5872"/>
      <w:bookmarkStart w:id="7714" w:name="_Caption5929"/>
      <w:bookmarkStart w:id="7715" w:name="_Caption2540"/>
      <w:bookmarkStart w:id="7716" w:name="_Caption9853"/>
      <w:bookmarkStart w:id="7717" w:name="_Caption7946"/>
      <w:bookmarkStart w:id="7718" w:name="_Caption2061"/>
      <w:bookmarkStart w:id="7719" w:name="_Caption0070"/>
      <w:bookmarkStart w:id="7720" w:name="_Caption4304"/>
      <w:bookmarkStart w:id="7721" w:name="_Caption4923"/>
      <w:bookmarkStart w:id="7722" w:name="_Caption2621"/>
      <w:bookmarkStart w:id="7723" w:name="_Caption8308"/>
      <w:bookmarkStart w:id="7724" w:name="_Caption4867"/>
      <w:bookmarkStart w:id="7725" w:name="_Caption3465"/>
      <w:bookmarkStart w:id="7726" w:name="_Caption1922"/>
      <w:bookmarkStart w:id="7727" w:name="_Caption5343"/>
      <w:bookmarkStart w:id="7728" w:name="_Caption4126"/>
      <w:bookmarkStart w:id="7729" w:name="_Caption9436"/>
      <w:bookmarkStart w:id="7730" w:name="_Caption8614"/>
      <w:bookmarkStart w:id="7731" w:name="_Caption1575"/>
      <w:bookmarkStart w:id="7732" w:name="_Caption2150"/>
      <w:bookmarkStart w:id="7733" w:name="_Caption4008"/>
      <w:bookmarkStart w:id="7734" w:name="_Caption1074"/>
      <w:bookmarkStart w:id="7735" w:name="_Caption7325"/>
      <w:bookmarkStart w:id="7736" w:name="_Caption7719"/>
      <w:bookmarkStart w:id="7737" w:name="_Caption5460"/>
      <w:bookmarkStart w:id="7738" w:name="_Caption1717"/>
      <w:bookmarkStart w:id="7739" w:name="_Caption5336"/>
      <w:bookmarkStart w:id="7740" w:name="_Caption8687"/>
      <w:bookmarkStart w:id="7741" w:name="_Caption6830"/>
      <w:bookmarkStart w:id="7742" w:name="_Caption3699"/>
      <w:bookmarkStart w:id="7743" w:name="_Caption6248"/>
      <w:bookmarkStart w:id="7744" w:name="_Caption6192"/>
      <w:bookmarkStart w:id="7745" w:name="_Caption4878"/>
      <w:bookmarkStart w:id="7746" w:name="_Caption2818"/>
      <w:bookmarkStart w:id="7747" w:name="_Caption1198"/>
      <w:bookmarkStart w:id="7748" w:name="_Caption0652"/>
      <w:bookmarkStart w:id="7749" w:name="_Caption8768"/>
      <w:bookmarkStart w:id="7750" w:name="_Caption1605"/>
      <w:bookmarkStart w:id="7751" w:name="_Caption8805"/>
      <w:bookmarkStart w:id="7752" w:name="_Caption7969"/>
      <w:bookmarkStart w:id="7753" w:name="_Caption1980"/>
      <w:bookmarkStart w:id="7754" w:name="_Caption0332"/>
      <w:bookmarkStart w:id="7755" w:name="_Caption2971"/>
      <w:bookmarkStart w:id="7756" w:name="_Caption9703"/>
      <w:bookmarkStart w:id="7757" w:name="_Caption2314"/>
      <w:bookmarkStart w:id="7758" w:name="_Caption9503"/>
      <w:bookmarkStart w:id="7759" w:name="_Caption1504"/>
      <w:bookmarkStart w:id="7760" w:name="_Caption9522"/>
      <w:bookmarkStart w:id="7761" w:name="_Caption1350"/>
      <w:bookmarkStart w:id="7762" w:name="_Caption6807"/>
      <w:bookmarkStart w:id="7763" w:name="_Caption3847"/>
      <w:bookmarkStart w:id="7764" w:name="_Toc32321886"/>
      <w:bookmarkStart w:id="7765" w:name="_Toc44598596"/>
      <w:bookmarkStart w:id="7766" w:name="_Toc45654227"/>
      <w:r w:rsidR="00272AF3">
        <w:rPr>
          <w:noProof/>
        </w:rPr>
        <w:t>G</w:t>
      </w:r>
      <w:r w:rsidR="00272AF3" w:rsidRPr="00695C93">
        <w:rPr>
          <w:noProof/>
        </w:rPr>
        <w:t>.</w:t>
      </w:r>
      <w:r w:rsidR="00272AF3">
        <w:rPr>
          <w:noProof/>
        </w:rPr>
        <w:t>2</w:t>
      </w:r>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r w:rsidRPr="00695C93">
        <w:fldChar w:fldCharType="end"/>
      </w:r>
      <w:r w:rsidRPr="00695C93">
        <w:tab/>
      </w:r>
      <w:r>
        <w:t>Recommended long-term living arrangement from aged care assessments</w:t>
      </w:r>
      <w:bookmarkEnd w:id="7764"/>
      <w:bookmarkEnd w:id="7765"/>
      <w:bookmarkEnd w:id="7766"/>
    </w:p>
    <w:p w:rsidR="007C6A5F" w:rsidRDefault="007C6A5F" w:rsidP="007C6A5F">
      <w:pPr>
        <w:pStyle w:val="Subtitlebox"/>
      </w:pPr>
      <w:r w:rsidRPr="00652DEA">
        <w:rPr>
          <w:noProof/>
        </w:rPr>
        <w:drawing>
          <wp:inline distT="0" distB="0" distL="0" distR="0" wp14:anchorId="281EDCEC" wp14:editId="430E04B4">
            <wp:extent cx="5040000" cy="2125650"/>
            <wp:effectExtent l="57150" t="57150" r="65405" b="65405"/>
            <wp:docPr id="38" name="Picture 38" descr="Chart G.2 - Recommended long-term living arrangement from aged car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6508"/>
                    <a:stretch/>
                  </pic:blipFill>
                  <pic:spPr bwMode="auto">
                    <a:xfrm>
                      <a:off x="0" y="0"/>
                      <a:ext cx="5040000" cy="2125650"/>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rsidR="007C6A5F" w:rsidRDefault="007C6A5F" w:rsidP="007C6A5F">
      <w:pPr>
        <w:pStyle w:val="Source"/>
      </w:pPr>
      <w:r>
        <w:rPr>
          <w:i/>
        </w:rPr>
        <w:t>Data source</w:t>
      </w:r>
      <w:r w:rsidRPr="00A67576">
        <w:rPr>
          <w:i/>
        </w:rPr>
        <w:t>:</w:t>
      </w:r>
      <w:r>
        <w:t xml:space="preserve"> </w:t>
      </w:r>
      <w:r w:rsidRPr="002A45FB">
        <w:rPr>
          <w:lang w:eastAsia="en-AU"/>
        </w:rPr>
        <w:t xml:space="preserve">Australian Institute of Health and Welfare website, </w:t>
      </w:r>
      <w:hyperlink r:id="rId49" w:history="1">
        <w:r w:rsidRPr="002A45FB">
          <w:rPr>
            <w:rFonts w:eastAsiaTheme="minorEastAsia"/>
            <w:lang w:eastAsia="en-AU"/>
          </w:rPr>
          <w:t>https://www.gen-agedcaredata.gov.au/Resources/Access-data/2019/September/Aged-care-data-snapshot%E2%80%942019</w:t>
        </w:r>
      </w:hyperlink>
      <w:r w:rsidRPr="002A45FB">
        <w:rPr>
          <w:rFonts w:eastAsiaTheme="minorEastAsia"/>
          <w:lang w:eastAsia="en-AU"/>
        </w:rPr>
        <w:t>, accessed 22 December 2019.</w:t>
      </w:r>
    </w:p>
    <w:p w:rsidR="007C6A5F" w:rsidRDefault="007C6A5F" w:rsidP="007C6A5F">
      <w:pPr>
        <w:pStyle w:val="BodyText"/>
        <w:rPr>
          <w:lang w:bidi="fa-IR"/>
        </w:rPr>
      </w:pPr>
      <w:r>
        <w:rPr>
          <w:lang w:bidi="fa-IR"/>
        </w:rPr>
        <w:t>Although the number of places in residential aged care has grown over the past decade, the number of places per 1000 people aged 70 years and over declined from around 87 to around 76 over the same timeframe (chart </w:t>
      </w:r>
      <w:r>
        <w:rPr>
          <w:lang w:bidi="fa-IR"/>
        </w:rPr>
        <w:fldChar w:fldCharType="begin"/>
      </w:r>
      <w:r>
        <w:rPr>
          <w:lang w:bidi="fa-IR"/>
        </w:rPr>
        <w:instrText xml:space="preserve"> REF _Caption4756 </w:instrText>
      </w:r>
      <w:r>
        <w:rPr>
          <w:lang w:bidi="fa-IR"/>
        </w:rPr>
        <w:fldChar w:fldCharType="separate"/>
      </w:r>
      <w:r>
        <w:rPr>
          <w:noProof/>
        </w:rPr>
        <w:t>G</w:t>
      </w:r>
      <w:r w:rsidRPr="005547D4">
        <w:rPr>
          <w:noProof/>
        </w:rPr>
        <w:t>.</w:t>
      </w:r>
      <w:r>
        <w:rPr>
          <w:noProof/>
        </w:rPr>
        <w:t>3</w:t>
      </w:r>
      <w:r>
        <w:rPr>
          <w:lang w:bidi="fa-IR"/>
        </w:rPr>
        <w:fldChar w:fldCharType="end"/>
      </w:r>
      <w:r>
        <w:rPr>
          <w:lang w:bidi="fa-IR"/>
        </w:rPr>
        <w:t>). This reflects the greater focus on home</w:t>
      </w:r>
      <w:r>
        <w:rPr>
          <w:lang w:bidi="fa-IR"/>
        </w:rPr>
        <w:noBreakHyphen/>
        <w:t>based care, rather than residential care.</w:t>
      </w:r>
    </w:p>
    <w:bookmarkStart w:id="7767" w:name="_Hlk35628412"/>
    <w:p w:rsidR="007C6A5F" w:rsidRDefault="007C6A5F" w:rsidP="007C6A5F">
      <w:pPr>
        <w:pStyle w:val="Caption"/>
      </w:pPr>
      <w:r w:rsidRPr="00FF2906">
        <w:fldChar w:fldCharType="begin"/>
      </w:r>
      <w:r w:rsidRPr="00FF2906">
        <w:instrText xml:space="preserve"> IF 1 = 1 "</w:instrText>
      </w:r>
      <w:r w:rsidRPr="00FF2906">
        <w:fldChar w:fldCharType="begin"/>
      </w:r>
      <w:r w:rsidRPr="00FF2906">
        <w:instrText xml:space="preserve"> IF </w:instrText>
      </w:r>
      <w:r w:rsidRPr="00FF2906">
        <w:rPr>
          <w:noProof/>
        </w:rPr>
        <w:fldChar w:fldCharType="begin"/>
      </w:r>
      <w:r w:rsidRPr="00FF2906">
        <w:rPr>
          <w:noProof/>
        </w:rPr>
        <w:instrText xml:space="preserve"> STYLEREF "Heading 6" \l \n </w:instrText>
      </w:r>
      <w:r w:rsidRPr="00FF2906">
        <w:rPr>
          <w:noProof/>
        </w:rPr>
        <w:fldChar w:fldCharType="separate"/>
      </w:r>
      <w:r w:rsidRPr="00FF2906">
        <w:rPr>
          <w:noProof/>
        </w:rPr>
        <w:instrText>G</w:instrText>
      </w:r>
      <w:r w:rsidRPr="00FF2906">
        <w:rPr>
          <w:noProof/>
        </w:rPr>
        <w:fldChar w:fldCharType="end"/>
      </w:r>
      <w:r w:rsidRPr="00FF2906">
        <w:instrText xml:space="preserve"> = 0 "</w:instrText>
      </w:r>
      <w:r w:rsidRPr="00FF2906">
        <w:fldChar w:fldCharType="begin"/>
      </w:r>
      <w:r w:rsidRPr="00FF2906">
        <w:instrText xml:space="preserve"> IF </w:instrText>
      </w:r>
      <w:r w:rsidRPr="00FF2906">
        <w:rPr>
          <w:noProof/>
        </w:rPr>
        <w:fldChar w:fldCharType="begin"/>
      </w:r>
      <w:r w:rsidRPr="00FF2906">
        <w:rPr>
          <w:noProof/>
        </w:rPr>
        <w:instrText xml:space="preserve"> STYLEREF "Heading 1" \l \n </w:instrText>
      </w:r>
      <w:r w:rsidRPr="00FF2906">
        <w:rPr>
          <w:noProof/>
        </w:rPr>
        <w:fldChar w:fldCharType="separate"/>
      </w:r>
      <w:r w:rsidRPr="00FF2906">
        <w:rPr>
          <w:noProof/>
        </w:rPr>
        <w:instrText>2</w:instrText>
      </w:r>
      <w:r w:rsidRPr="00FF2906">
        <w:rPr>
          <w:noProof/>
        </w:rPr>
        <w:fldChar w:fldCharType="end"/>
      </w:r>
      <w:r w:rsidRPr="00FF2906">
        <w:instrText xml:space="preserve"> = 0 "" "</w:instrText>
      </w:r>
      <w:r w:rsidRPr="00FF2906">
        <w:rPr>
          <w:noProof/>
        </w:rPr>
        <w:fldChar w:fldCharType="begin"/>
      </w:r>
      <w:r w:rsidRPr="00FF2906">
        <w:rPr>
          <w:noProof/>
        </w:rPr>
        <w:instrText xml:space="preserve"> STYLEREF "Heading 1" \l \n </w:instrText>
      </w:r>
      <w:r w:rsidRPr="00FF2906">
        <w:rPr>
          <w:noProof/>
        </w:rPr>
        <w:fldChar w:fldCharType="separate"/>
      </w:r>
      <w:r w:rsidRPr="00FF2906">
        <w:rPr>
          <w:noProof/>
        </w:rPr>
        <w:instrText>2</w:instrText>
      </w:r>
      <w:r w:rsidRPr="00FF2906">
        <w:rPr>
          <w:noProof/>
        </w:rPr>
        <w:fldChar w:fldCharType="end"/>
      </w:r>
      <w:r w:rsidRPr="00FF2906">
        <w:instrText xml:space="preserve">." </w:instrText>
      </w:r>
      <w:r w:rsidRPr="00FF2906">
        <w:fldChar w:fldCharType="separate"/>
      </w:r>
      <w:r w:rsidRPr="00FF2906">
        <w:rPr>
          <w:noProof/>
        </w:rPr>
        <w:instrText>2.</w:instrText>
      </w:r>
      <w:r w:rsidRPr="00FF2906">
        <w:fldChar w:fldCharType="end"/>
      </w:r>
      <w:r w:rsidRPr="00FF2906">
        <w:instrText>" "</w:instrText>
      </w:r>
      <w:r w:rsidRPr="00FF2906">
        <w:rPr>
          <w:noProof/>
        </w:rPr>
        <w:fldChar w:fldCharType="begin"/>
      </w:r>
      <w:r w:rsidRPr="00FF2906">
        <w:rPr>
          <w:noProof/>
        </w:rPr>
        <w:instrText xml:space="preserve"> STYLEREF "Heading 6" \l \n </w:instrText>
      </w:r>
      <w:r w:rsidRPr="00FF2906">
        <w:rPr>
          <w:noProof/>
        </w:rPr>
        <w:fldChar w:fldCharType="separate"/>
      </w:r>
      <w:r w:rsidRPr="00FF2906">
        <w:rPr>
          <w:noProof/>
        </w:rPr>
        <w:instrText>G</w:instrText>
      </w:r>
      <w:r w:rsidRPr="00FF2906">
        <w:rPr>
          <w:noProof/>
        </w:rPr>
        <w:fldChar w:fldCharType="end"/>
      </w:r>
      <w:r w:rsidRPr="00FF2906">
        <w:instrText xml:space="preserve">." </w:instrText>
      </w:r>
      <w:r w:rsidRPr="00FF2906">
        <w:fldChar w:fldCharType="separate"/>
      </w:r>
      <w:r w:rsidRPr="00FF2906">
        <w:rPr>
          <w:noProof/>
        </w:rPr>
        <w:instrText>G.</w:instrText>
      </w:r>
      <w:r w:rsidRPr="00FF2906">
        <w:fldChar w:fldCharType="end"/>
      </w:r>
      <w:r w:rsidRPr="00FF2906">
        <w:fldChar w:fldCharType="begin"/>
      </w:r>
      <w:r w:rsidRPr="00FF2906">
        <w:instrText xml:space="preserve"> SEQ Item \* ARABIC \s </w:instrText>
      </w:r>
      <w:r w:rsidRPr="00FF2906">
        <w:fldChar w:fldCharType="begin"/>
      </w:r>
      <w:r w:rsidRPr="00FF2906">
        <w:instrText xml:space="preserve"> IF </w:instrText>
      </w:r>
      <w:r w:rsidRPr="00FF2906">
        <w:rPr>
          <w:noProof/>
        </w:rPr>
        <w:fldChar w:fldCharType="begin"/>
      </w:r>
      <w:r w:rsidRPr="00FF2906">
        <w:rPr>
          <w:noProof/>
        </w:rPr>
        <w:instrText xml:space="preserve"> STYLEREF "Heading 6" \l \n </w:instrText>
      </w:r>
      <w:r w:rsidRPr="00FF2906">
        <w:rPr>
          <w:noProof/>
        </w:rPr>
        <w:fldChar w:fldCharType="separate"/>
      </w:r>
      <w:r w:rsidRPr="00FF2906">
        <w:rPr>
          <w:noProof/>
        </w:rPr>
        <w:instrText>G</w:instrText>
      </w:r>
      <w:r w:rsidRPr="00FF2906">
        <w:rPr>
          <w:noProof/>
        </w:rPr>
        <w:fldChar w:fldCharType="end"/>
      </w:r>
      <w:r w:rsidRPr="00FF2906">
        <w:instrText xml:space="preserve"> = 0 "</w:instrText>
      </w:r>
      <w:r w:rsidRPr="00FF2906">
        <w:fldChar w:fldCharType="begin"/>
      </w:r>
      <w:r w:rsidRPr="00FF2906">
        <w:instrText xml:space="preserve"> IF </w:instrText>
      </w:r>
      <w:r w:rsidRPr="00FF2906">
        <w:rPr>
          <w:noProof/>
        </w:rPr>
        <w:fldChar w:fldCharType="begin"/>
      </w:r>
      <w:r w:rsidRPr="00FF2906">
        <w:rPr>
          <w:noProof/>
        </w:rPr>
        <w:instrText xml:space="preserve"> STYLEREF "Heading 1" \l \n </w:instrText>
      </w:r>
      <w:r w:rsidRPr="00FF2906">
        <w:rPr>
          <w:noProof/>
        </w:rPr>
        <w:fldChar w:fldCharType="separate"/>
      </w:r>
      <w:r w:rsidRPr="00FF2906">
        <w:rPr>
          <w:noProof/>
        </w:rPr>
        <w:instrText>2</w:instrText>
      </w:r>
      <w:r w:rsidRPr="00FF2906">
        <w:rPr>
          <w:noProof/>
        </w:rPr>
        <w:fldChar w:fldCharType="end"/>
      </w:r>
      <w:r w:rsidRPr="00FF2906">
        <w:instrText xml:space="preserve"> = 0 "" "1" </w:instrText>
      </w:r>
      <w:r w:rsidRPr="00FF2906">
        <w:fldChar w:fldCharType="separate"/>
      </w:r>
      <w:r w:rsidRPr="00FF2906">
        <w:rPr>
          <w:noProof/>
        </w:rPr>
        <w:instrText>1</w:instrText>
      </w:r>
      <w:r w:rsidRPr="00FF2906">
        <w:fldChar w:fldCharType="end"/>
      </w:r>
      <w:r w:rsidRPr="00FF2906">
        <w:instrText xml:space="preserve">" "6" </w:instrText>
      </w:r>
      <w:r w:rsidRPr="00FF2906">
        <w:fldChar w:fldCharType="separate"/>
      </w:r>
      <w:r w:rsidRPr="00FF2906">
        <w:rPr>
          <w:noProof/>
        </w:rPr>
        <w:instrText>6</w:instrText>
      </w:r>
      <w:r w:rsidRPr="00FF2906">
        <w:fldChar w:fldCharType="end"/>
      </w:r>
      <w:r w:rsidRPr="00FF2906">
        <w:instrText xml:space="preserve"> </w:instrText>
      </w:r>
      <w:r w:rsidRPr="00FF2906">
        <w:fldChar w:fldCharType="separate"/>
      </w:r>
      <w:r w:rsidRPr="00FF2906">
        <w:rPr>
          <w:noProof/>
        </w:rPr>
        <w:instrText>3</w:instrText>
      </w:r>
      <w:r w:rsidRPr="00FF2906">
        <w:fldChar w:fldCharType="end"/>
      </w:r>
      <w:r w:rsidRPr="00FF2906">
        <w:instrText xml:space="preserve">" "" </w:instrText>
      </w:r>
      <w:r w:rsidRPr="00FF2906">
        <w:fldChar w:fldCharType="separate"/>
      </w:r>
      <w:bookmarkStart w:id="7768" w:name="_Caption2911"/>
      <w:bookmarkStart w:id="7769" w:name="_Caption7839"/>
      <w:bookmarkStart w:id="7770" w:name="_Caption1898"/>
      <w:bookmarkStart w:id="7771" w:name="_Caption8955"/>
      <w:bookmarkStart w:id="7772" w:name="_Caption5378"/>
      <w:bookmarkStart w:id="7773" w:name="_Caption4489"/>
      <w:bookmarkStart w:id="7774" w:name="_Caption6419"/>
      <w:bookmarkStart w:id="7775" w:name="_Caption9215"/>
      <w:bookmarkStart w:id="7776" w:name="_Caption6870"/>
      <w:bookmarkStart w:id="7777" w:name="_Caption1036"/>
      <w:bookmarkStart w:id="7778" w:name="_Caption6667"/>
      <w:bookmarkStart w:id="7779" w:name="_Caption1706"/>
      <w:bookmarkStart w:id="7780" w:name="_Caption5953"/>
      <w:bookmarkStart w:id="7781" w:name="_Caption3543"/>
      <w:bookmarkStart w:id="7782" w:name="_Caption4113"/>
      <w:bookmarkStart w:id="7783" w:name="_Caption2209"/>
      <w:bookmarkStart w:id="7784" w:name="_Caption9947"/>
      <w:bookmarkStart w:id="7785" w:name="_Caption8066"/>
      <w:bookmarkStart w:id="7786" w:name="_Caption4788"/>
      <w:bookmarkStart w:id="7787" w:name="_Caption6010"/>
      <w:bookmarkStart w:id="7788" w:name="_Caption9695"/>
      <w:bookmarkStart w:id="7789" w:name="_Caption3869"/>
      <w:bookmarkStart w:id="7790" w:name="_Caption4774"/>
      <w:bookmarkStart w:id="7791" w:name="_Caption0864"/>
      <w:bookmarkStart w:id="7792" w:name="_Caption1819"/>
      <w:bookmarkStart w:id="7793" w:name="_Caption9491"/>
      <w:bookmarkStart w:id="7794" w:name="_Caption7257"/>
      <w:bookmarkStart w:id="7795" w:name="_Caption4701"/>
      <w:bookmarkStart w:id="7796" w:name="_Caption4723"/>
      <w:bookmarkStart w:id="7797" w:name="_Caption5379"/>
      <w:bookmarkStart w:id="7798" w:name="_Caption4755"/>
      <w:bookmarkStart w:id="7799" w:name="_Caption3166"/>
      <w:bookmarkStart w:id="7800" w:name="_Caption4486"/>
      <w:bookmarkStart w:id="7801" w:name="_Caption4808"/>
      <w:bookmarkStart w:id="7802" w:name="_Caption1487"/>
      <w:bookmarkStart w:id="7803" w:name="_Caption0459"/>
      <w:bookmarkStart w:id="7804" w:name="_Caption8950"/>
      <w:bookmarkStart w:id="7805" w:name="_Caption4562"/>
      <w:bookmarkStart w:id="7806" w:name="_Caption2682"/>
      <w:bookmarkStart w:id="7807" w:name="_Caption4558"/>
      <w:bookmarkStart w:id="7808" w:name="_Caption6602"/>
      <w:bookmarkStart w:id="7809" w:name="_Caption4308"/>
      <w:bookmarkStart w:id="7810" w:name="_Caption7758"/>
      <w:bookmarkStart w:id="7811" w:name="_Caption3822"/>
      <w:bookmarkStart w:id="7812" w:name="_Caption7116"/>
      <w:bookmarkStart w:id="7813" w:name="_Caption1864"/>
      <w:bookmarkStart w:id="7814" w:name="_Caption0017"/>
      <w:bookmarkStart w:id="7815" w:name="_Caption4165"/>
      <w:bookmarkStart w:id="7816" w:name="_Caption8157"/>
      <w:bookmarkStart w:id="7817" w:name="_Caption4756"/>
      <w:bookmarkStart w:id="7818" w:name="_Caption1969"/>
      <w:bookmarkStart w:id="7819" w:name="_Caption0529"/>
      <w:bookmarkStart w:id="7820" w:name="_Caption7017"/>
      <w:bookmarkStart w:id="7821" w:name="_Caption0786"/>
      <w:bookmarkStart w:id="7822" w:name="_Caption9702"/>
      <w:bookmarkStart w:id="7823" w:name="_Caption4603"/>
      <w:bookmarkStart w:id="7824" w:name="_Caption8956"/>
      <w:bookmarkStart w:id="7825" w:name="_Caption3265"/>
      <w:bookmarkStart w:id="7826" w:name="_Caption4366"/>
      <w:bookmarkStart w:id="7827" w:name="_Caption4818"/>
      <w:bookmarkStart w:id="7828" w:name="_Caption3308"/>
      <w:bookmarkStart w:id="7829" w:name="_Caption9475"/>
      <w:bookmarkStart w:id="7830" w:name="_Caption3739"/>
      <w:bookmarkStart w:id="7831" w:name="_Caption6712"/>
      <w:bookmarkStart w:id="7832" w:name="_Caption0184"/>
      <w:bookmarkStart w:id="7833" w:name="_Caption0009"/>
      <w:bookmarkStart w:id="7834" w:name="_Caption4956"/>
      <w:bookmarkStart w:id="7835" w:name="_Caption1822"/>
      <w:bookmarkStart w:id="7836" w:name="_Caption0920"/>
      <w:bookmarkStart w:id="7837" w:name="_Caption0271"/>
      <w:bookmarkStart w:id="7838" w:name="_Caption8778"/>
      <w:bookmarkStart w:id="7839" w:name="_Caption4278"/>
      <w:bookmarkStart w:id="7840" w:name="_Caption1184"/>
      <w:bookmarkStart w:id="7841" w:name="_Caption3047"/>
      <w:bookmarkStart w:id="7842" w:name="_Caption9890"/>
      <w:bookmarkStart w:id="7843" w:name="_Caption1824"/>
      <w:bookmarkStart w:id="7844" w:name="_Caption9334"/>
      <w:bookmarkStart w:id="7845" w:name="_Caption3913"/>
      <w:bookmarkStart w:id="7846" w:name="_Caption8770"/>
      <w:bookmarkStart w:id="7847" w:name="_Caption4061"/>
      <w:bookmarkStart w:id="7848" w:name="_Toc32321887"/>
      <w:bookmarkStart w:id="7849" w:name="_Toc44598597"/>
      <w:bookmarkStart w:id="7850" w:name="_Toc45654228"/>
      <w:r w:rsidR="00272AF3" w:rsidRPr="00FF2906">
        <w:rPr>
          <w:noProof/>
        </w:rPr>
        <w:t>G.3</w:t>
      </w:r>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r w:rsidRPr="00FF2906">
        <w:fldChar w:fldCharType="end"/>
      </w:r>
      <w:r w:rsidRPr="00FF2906">
        <w:tab/>
        <w:t>Operational number of residential aged care places, Australia-wide</w:t>
      </w:r>
      <w:bookmarkEnd w:id="7848"/>
      <w:bookmarkEnd w:id="7849"/>
      <w:bookmarkEnd w:id="7850"/>
    </w:p>
    <w:p w:rsidR="007C6A5F" w:rsidRDefault="00FF2906" w:rsidP="007C6A5F">
      <w:pPr>
        <w:pStyle w:val="Subtitlebox"/>
      </w:pPr>
      <w:r w:rsidRPr="00FF2906">
        <w:rPr>
          <w:noProof/>
        </w:rPr>
        <w:drawing>
          <wp:inline distT="0" distB="0" distL="0" distR="0" wp14:anchorId="03C6CF1E" wp14:editId="1E71753B">
            <wp:extent cx="5040000" cy="2573184"/>
            <wp:effectExtent l="57150" t="57150" r="65405" b="55880"/>
            <wp:docPr id="12" name="Picture 12" descr="Chart G.3 - Operational number of residential aged care places, Australia-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0000" cy="2573184"/>
                    </a:xfrm>
                    <a:prstGeom prst="rect">
                      <a:avLst/>
                    </a:prstGeom>
                    <a:noFill/>
                    <a:ln w="57150">
                      <a:solidFill>
                        <a:schemeClr val="bg2"/>
                      </a:solidFill>
                    </a:ln>
                  </pic:spPr>
                </pic:pic>
              </a:graphicData>
            </a:graphic>
          </wp:inline>
        </w:drawing>
      </w:r>
    </w:p>
    <w:p w:rsidR="007C6A5F" w:rsidRDefault="007C6A5F" w:rsidP="007C6A5F">
      <w:pPr>
        <w:pStyle w:val="Source"/>
      </w:pPr>
      <w:r>
        <w:rPr>
          <w:i/>
        </w:rPr>
        <w:t>Data source</w:t>
      </w:r>
      <w:r w:rsidRPr="00A67576">
        <w:rPr>
          <w:i/>
        </w:rPr>
        <w:t>:</w:t>
      </w:r>
      <w:r>
        <w:t xml:space="preserve"> PC Report on Government Services 2019, Chapter 14: Aged Care, Tables 14A.13-14</w:t>
      </w:r>
      <w:r w:rsidR="00FC3EFB">
        <w:t>.</w:t>
      </w:r>
    </w:p>
    <w:bookmarkEnd w:id="7767"/>
    <w:p w:rsidR="007C6A5F" w:rsidRDefault="007C6A5F" w:rsidP="007C6A5F">
      <w:pPr>
        <w:pStyle w:val="BodyText"/>
        <w:rPr>
          <w:lang w:eastAsia="en-US" w:bidi="fa-IR"/>
        </w:rPr>
      </w:pPr>
      <w:r>
        <w:rPr>
          <w:lang w:eastAsia="en-US" w:bidi="fa-IR"/>
        </w:rPr>
        <w:t>There have been several studies that have modelled the extent to which factors contribute to entry into residential aged care, using Australian data. These studies provide useful insights because they use statistical techniques to estimate the impact of each relevant factor, with all other factors held constant.</w:t>
      </w:r>
    </w:p>
    <w:p w:rsidR="007C6A5F" w:rsidRDefault="007C6A5F" w:rsidP="007C6A5F">
      <w:pPr>
        <w:pStyle w:val="BodyText"/>
        <w:rPr>
          <w:lang w:eastAsia="en-US" w:bidi="fa-IR"/>
        </w:rPr>
      </w:pPr>
      <w:r>
        <w:rPr>
          <w:lang w:eastAsia="en-US" w:bidi="fa-IR"/>
        </w:rPr>
        <w:t xml:space="preserve">Of most relevance, Jukic (2017) used SDAC (2012) data to estimate the extent to which various factors (including age, assistance needs and specific conditions) affect the probability (or odds) of being in residential aged care. Jukic (2017) and Jukic and Temple </w:t>
      </w:r>
      <w:r>
        <w:rPr>
          <w:lang w:eastAsia="en-US" w:bidi="fa-IR"/>
        </w:rPr>
        <w:lastRenderedPageBreak/>
        <w:t>(2018) also used similar models with alternative data sources (such as ACAT assessment data) to estimate the extent to which various factors contribute to the recommended long</w:t>
      </w:r>
      <w:r>
        <w:rPr>
          <w:lang w:eastAsia="en-US" w:bidi="fa-IR"/>
        </w:rPr>
        <w:noBreakHyphen/>
        <w:t xml:space="preserve">term care setting. However, the model using SDAC data is most relevant for the CBA because it focuses on the number of people </w:t>
      </w:r>
      <w:r w:rsidRPr="00131D3C">
        <w:rPr>
          <w:lang w:eastAsia="en-US" w:bidi="fa-IR"/>
        </w:rPr>
        <w:t>in</w:t>
      </w:r>
      <w:r>
        <w:rPr>
          <w:lang w:eastAsia="en-US" w:bidi="fa-IR"/>
        </w:rPr>
        <w:t xml:space="preserve"> residential aged care, rather than number of new admissions.</w:t>
      </w:r>
    </w:p>
    <w:p w:rsidR="007C6A5F" w:rsidRDefault="007C6A5F" w:rsidP="007C6A5F">
      <w:pPr>
        <w:pStyle w:val="BodyText"/>
        <w:rPr>
          <w:lang w:eastAsia="en-US" w:bidi="fa-IR"/>
        </w:rPr>
      </w:pPr>
      <w:r>
        <w:rPr>
          <w:lang w:eastAsia="en-US" w:bidi="fa-IR"/>
        </w:rPr>
        <w:t>The odds ratio for each variable represents the odds that a person will be in aged care with the relevant variable (i.e. when a person has a particular need or condition), compared to the odds of being in residential aged care without the relevant need or condition (table </w:t>
      </w:r>
      <w:r>
        <w:rPr>
          <w:lang w:eastAsia="en-US" w:bidi="fa-IR"/>
        </w:rPr>
        <w:fldChar w:fldCharType="begin"/>
      </w:r>
      <w:r>
        <w:rPr>
          <w:lang w:eastAsia="en-US" w:bidi="fa-IR"/>
        </w:rPr>
        <w:instrText xml:space="preserve"> REF _Caption4004 </w:instrText>
      </w:r>
      <w:r>
        <w:rPr>
          <w:lang w:eastAsia="en-US" w:bidi="fa-IR"/>
        </w:rPr>
        <w:fldChar w:fldCharType="separate"/>
      </w:r>
      <w:r>
        <w:rPr>
          <w:noProof/>
        </w:rPr>
        <w:t>G</w:t>
      </w:r>
      <w:r w:rsidRPr="00695C93">
        <w:rPr>
          <w:noProof/>
        </w:rPr>
        <w:t>.</w:t>
      </w:r>
      <w:r>
        <w:rPr>
          <w:noProof/>
        </w:rPr>
        <w:t>4</w:t>
      </w:r>
      <w:r>
        <w:rPr>
          <w:lang w:eastAsia="en-US" w:bidi="fa-IR"/>
        </w:rPr>
        <w:fldChar w:fldCharType="end"/>
      </w:r>
      <w:r>
        <w:rPr>
          <w:lang w:eastAsia="en-US" w:bidi="fa-IR"/>
        </w:rPr>
        <w:t>).</w:t>
      </w:r>
    </w:p>
    <w:p w:rsidR="007C6A5F" w:rsidRDefault="007C6A5F" w:rsidP="005A6F87">
      <w:pPr>
        <w:pStyle w:val="ListBullet"/>
        <w:numPr>
          <w:ilvl w:val="0"/>
          <w:numId w:val="17"/>
        </w:numPr>
        <w:rPr>
          <w:lang w:eastAsia="en-US" w:bidi="fa-IR"/>
        </w:rPr>
      </w:pPr>
      <w:r>
        <w:rPr>
          <w:lang w:eastAsia="en-US" w:bidi="fa-IR"/>
        </w:rPr>
        <w:t>An odds ratio of 1 would imply that a person experiencing this variable has the same likelihood of being in residential aged care as those without the relevant need or condition, holding other characteristics constant.</w:t>
      </w:r>
    </w:p>
    <w:p w:rsidR="007C6A5F" w:rsidRDefault="007C6A5F" w:rsidP="005A6F87">
      <w:pPr>
        <w:pStyle w:val="ListBullet"/>
        <w:numPr>
          <w:ilvl w:val="0"/>
          <w:numId w:val="17"/>
        </w:numPr>
        <w:rPr>
          <w:lang w:eastAsia="en-US" w:bidi="fa-IR"/>
        </w:rPr>
      </w:pPr>
      <w:r>
        <w:rPr>
          <w:lang w:eastAsia="en-US" w:bidi="fa-IR"/>
        </w:rPr>
        <w:t>An odds ratio of less than 1 implies that it is less likely that those with the relevant need or condition will be in residential aged care.</w:t>
      </w:r>
    </w:p>
    <w:p w:rsidR="007C6A5F" w:rsidRDefault="007C6A5F" w:rsidP="005A6F87">
      <w:pPr>
        <w:pStyle w:val="ListBullet"/>
        <w:numPr>
          <w:ilvl w:val="0"/>
          <w:numId w:val="17"/>
        </w:numPr>
        <w:rPr>
          <w:lang w:eastAsia="en-US" w:bidi="fa-IR"/>
        </w:rPr>
      </w:pPr>
      <w:r>
        <w:rPr>
          <w:lang w:eastAsia="en-US" w:bidi="fa-IR"/>
        </w:rPr>
        <w:t>An odds ratio greater than 1 implies that it is more likely that those with the relevant need or condition will be in residential aged care.</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G</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G</w:instrText>
      </w:r>
      <w:r>
        <w:rPr>
          <w:noProof/>
        </w:rPr>
        <w:fldChar w:fldCharType="end"/>
      </w:r>
      <w:r w:rsidRPr="00695C93">
        <w:instrText xml:space="preserve">." </w:instrText>
      </w:r>
      <w:r w:rsidRPr="00695C93">
        <w:fldChar w:fldCharType="separate"/>
      </w:r>
      <w:r>
        <w:rPr>
          <w:noProof/>
        </w:rPr>
        <w:instrText>G</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G</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4</w:instrText>
      </w:r>
      <w:r w:rsidRPr="00695C93">
        <w:fldChar w:fldCharType="end"/>
      </w:r>
      <w:r w:rsidRPr="00695C93">
        <w:instrText xml:space="preserve">" "" </w:instrText>
      </w:r>
      <w:r w:rsidRPr="00695C93">
        <w:fldChar w:fldCharType="separate"/>
      </w:r>
      <w:bookmarkStart w:id="7851" w:name="_Caption8440"/>
      <w:bookmarkStart w:id="7852" w:name="_Caption9828"/>
      <w:bookmarkStart w:id="7853" w:name="_Caption9595"/>
      <w:bookmarkStart w:id="7854" w:name="_Caption9909"/>
      <w:bookmarkStart w:id="7855" w:name="_Caption4004"/>
      <w:bookmarkStart w:id="7856" w:name="_Caption9534"/>
      <w:bookmarkStart w:id="7857" w:name="_Toc44598598"/>
      <w:bookmarkStart w:id="7858" w:name="_Toc45654229"/>
      <w:r w:rsidR="00272AF3">
        <w:rPr>
          <w:noProof/>
        </w:rPr>
        <w:t>G</w:t>
      </w:r>
      <w:r w:rsidR="00272AF3" w:rsidRPr="00695C93">
        <w:rPr>
          <w:noProof/>
        </w:rPr>
        <w:t>.</w:t>
      </w:r>
      <w:r w:rsidR="00272AF3">
        <w:rPr>
          <w:noProof/>
        </w:rPr>
        <w:t>4</w:t>
      </w:r>
      <w:bookmarkEnd w:id="7851"/>
      <w:bookmarkEnd w:id="7852"/>
      <w:bookmarkEnd w:id="7853"/>
      <w:bookmarkEnd w:id="7854"/>
      <w:bookmarkEnd w:id="7855"/>
      <w:bookmarkEnd w:id="7856"/>
      <w:r w:rsidRPr="00695C93">
        <w:fldChar w:fldCharType="end"/>
      </w:r>
      <w:r w:rsidRPr="00695C93">
        <w:tab/>
      </w:r>
      <w:r>
        <w:t>Logistic model of probability of being in aged care — 2012</w:t>
      </w:r>
      <w:bookmarkEnd w:id="7857"/>
      <w:bookmarkEnd w:id="7858"/>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G.4"/>
        <w:tblDescription w:val="Logistic model of probability of being in aged care — 2012"/>
      </w:tblPr>
      <w:tblGrid>
        <w:gridCol w:w="3070"/>
        <w:gridCol w:w="1217"/>
        <w:gridCol w:w="1217"/>
        <w:gridCol w:w="1217"/>
        <w:gridCol w:w="1217"/>
      </w:tblGrid>
      <w:tr w:rsidR="007C6A5F" w:rsidTr="000F1718">
        <w:trPr>
          <w:trHeight w:val="230"/>
          <w:tblHeader/>
        </w:trPr>
        <w:tc>
          <w:tcPr>
            <w:tcW w:w="3070" w:type="dxa"/>
            <w:tcBorders>
              <w:bottom w:val="single" w:sz="8" w:space="0" w:color="FFFFFF" w:themeColor="background1"/>
            </w:tcBorders>
            <w:shd w:val="clear" w:color="auto" w:fill="6F6652" w:themeFill="accent5"/>
          </w:tcPr>
          <w:p w:rsidR="007C6A5F" w:rsidRDefault="007C6A5F" w:rsidP="006154F2">
            <w:pPr>
              <w:pStyle w:val="TableDataColumnHeading"/>
              <w:spacing w:before="0"/>
              <w:jc w:val="left"/>
              <w:rPr>
                <w:lang w:val="en-GB"/>
              </w:rPr>
            </w:pPr>
            <w:r>
              <w:rPr>
                <w:lang w:val="en-GB"/>
              </w:rPr>
              <w:t>Variable</w:t>
            </w:r>
          </w:p>
        </w:tc>
        <w:tc>
          <w:tcPr>
            <w:tcW w:w="1217" w:type="dxa"/>
            <w:tcBorders>
              <w:bottom w:val="single" w:sz="8" w:space="0" w:color="FFFFFF" w:themeColor="background1"/>
            </w:tcBorders>
            <w:shd w:val="clear" w:color="auto" w:fill="6F6652" w:themeFill="accent5"/>
          </w:tcPr>
          <w:p w:rsidR="007C6A5F" w:rsidRDefault="007C6A5F" w:rsidP="006154F2">
            <w:pPr>
              <w:pStyle w:val="TableDataColumnHeading"/>
              <w:spacing w:before="0"/>
              <w:rPr>
                <w:lang w:val="en-GB"/>
              </w:rPr>
            </w:pPr>
            <w:r>
              <w:rPr>
                <w:lang w:val="en-GB"/>
              </w:rPr>
              <w:t>Odds ratio</w:t>
            </w:r>
          </w:p>
        </w:tc>
        <w:tc>
          <w:tcPr>
            <w:tcW w:w="1217" w:type="dxa"/>
            <w:tcBorders>
              <w:bottom w:val="single" w:sz="8" w:space="0" w:color="FFFFFF" w:themeColor="background1"/>
            </w:tcBorders>
            <w:shd w:val="clear" w:color="auto" w:fill="6F6652" w:themeFill="accent5"/>
          </w:tcPr>
          <w:p w:rsidR="007C6A5F" w:rsidRDefault="007C6A5F" w:rsidP="006154F2">
            <w:pPr>
              <w:pStyle w:val="TableDataColumnHeading"/>
              <w:spacing w:before="0"/>
              <w:rPr>
                <w:lang w:val="en-GB"/>
              </w:rPr>
            </w:pPr>
            <w:r>
              <w:rPr>
                <w:lang w:val="en-GB"/>
              </w:rPr>
              <w:t>P&gt;z</w:t>
            </w:r>
          </w:p>
        </w:tc>
        <w:tc>
          <w:tcPr>
            <w:tcW w:w="1217" w:type="dxa"/>
            <w:tcBorders>
              <w:bottom w:val="single" w:sz="8" w:space="0" w:color="FFFFFF" w:themeColor="background1"/>
            </w:tcBorders>
            <w:shd w:val="clear" w:color="auto" w:fill="6F6652" w:themeFill="accent5"/>
          </w:tcPr>
          <w:p w:rsidR="007C6A5F" w:rsidRDefault="00340953" w:rsidP="006154F2">
            <w:pPr>
              <w:pStyle w:val="TableDataColumnHeading"/>
              <w:spacing w:before="0"/>
              <w:rPr>
                <w:lang w:val="en-GB"/>
              </w:rPr>
            </w:pPr>
            <w:r>
              <w:rPr>
                <w:lang w:val="en-GB"/>
              </w:rPr>
              <w:t xml:space="preserve">95% confidence interval: </w:t>
            </w:r>
            <w:r w:rsidR="007C6A5F">
              <w:rPr>
                <w:lang w:val="en-GB"/>
              </w:rPr>
              <w:t>Lower bound</w:t>
            </w:r>
          </w:p>
        </w:tc>
        <w:tc>
          <w:tcPr>
            <w:tcW w:w="1217" w:type="dxa"/>
            <w:tcBorders>
              <w:bottom w:val="single" w:sz="8" w:space="0" w:color="FFFFFF" w:themeColor="background1"/>
            </w:tcBorders>
            <w:shd w:val="clear" w:color="auto" w:fill="6F6652" w:themeFill="accent5"/>
          </w:tcPr>
          <w:p w:rsidR="007C6A5F" w:rsidRDefault="00340953" w:rsidP="006154F2">
            <w:pPr>
              <w:pStyle w:val="TableDataColumnHeading"/>
              <w:spacing w:before="0"/>
              <w:rPr>
                <w:lang w:val="en-GB"/>
              </w:rPr>
            </w:pPr>
            <w:r>
              <w:rPr>
                <w:lang w:val="en-GB"/>
              </w:rPr>
              <w:t xml:space="preserve">95% confidence interval: </w:t>
            </w:r>
            <w:r w:rsidR="007C6A5F">
              <w:rPr>
                <w:lang w:val="en-GB"/>
              </w:rPr>
              <w:t>Upper bound</w:t>
            </w:r>
          </w:p>
        </w:tc>
      </w:tr>
      <w:tr w:rsidR="007C6A5F" w:rsidTr="000F1718">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jc w:val="left"/>
              <w:rPr>
                <w:lang w:val="en-GB"/>
              </w:rPr>
            </w:pPr>
            <w:r>
              <w:rPr>
                <w:lang w:val="en-GB"/>
              </w:rPr>
              <w:t>Age</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1.204</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0.000</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1.136</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1.276</w:t>
            </w:r>
          </w:p>
        </w:tc>
      </w:tr>
      <w:tr w:rsidR="007C6A5F" w:rsidTr="000F1718">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jc w:val="left"/>
              <w:rPr>
                <w:lang w:val="en-GB"/>
              </w:rPr>
            </w:pPr>
            <w:r>
              <w:rPr>
                <w:lang w:val="en-GB"/>
              </w:rPr>
              <w:t>Age square</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0.999</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0.003</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0.998</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0.999</w:t>
            </w:r>
          </w:p>
        </w:tc>
      </w:tr>
      <w:tr w:rsidR="007C6A5F" w:rsidTr="000F1718">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jc w:val="left"/>
              <w:rPr>
                <w:lang w:val="en-GB"/>
              </w:rPr>
            </w:pPr>
            <w:r>
              <w:rPr>
                <w:lang w:val="en-GB"/>
              </w:rPr>
              <w:t>Married</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0.206</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0.000</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0.165</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0.257</w:t>
            </w:r>
          </w:p>
        </w:tc>
      </w:tr>
      <w:tr w:rsidR="007C6A5F" w:rsidTr="000F1718">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jc w:val="left"/>
              <w:rPr>
                <w:lang w:val="en-GB"/>
              </w:rPr>
            </w:pPr>
            <w:r>
              <w:rPr>
                <w:lang w:val="en-GB"/>
              </w:rPr>
              <w:t>Needs help with emotional/cognitive tasks</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2.888</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0.000</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2.112</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3.948</w:t>
            </w:r>
          </w:p>
        </w:tc>
      </w:tr>
      <w:tr w:rsidR="007C6A5F" w:rsidTr="000F1718">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jc w:val="left"/>
              <w:rPr>
                <w:lang w:val="en-GB"/>
              </w:rPr>
            </w:pPr>
            <w:r>
              <w:rPr>
                <w:lang w:val="en-GB"/>
              </w:rPr>
              <w:t>Needs help to cope with emotions</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2.105</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0.000</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1.525</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2.906</w:t>
            </w:r>
          </w:p>
        </w:tc>
      </w:tr>
      <w:tr w:rsidR="007C6A5F" w:rsidTr="000F1718">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jc w:val="left"/>
              <w:rPr>
                <w:lang w:val="en-GB"/>
              </w:rPr>
            </w:pPr>
            <w:r>
              <w:rPr>
                <w:lang w:val="en-GB"/>
              </w:rPr>
              <w:t>Needs help with understanding</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1.955</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0.002</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1.281</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2.985</w:t>
            </w:r>
          </w:p>
        </w:tc>
      </w:tr>
      <w:tr w:rsidR="007C6A5F" w:rsidTr="000F1718">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jc w:val="left"/>
              <w:rPr>
                <w:lang w:val="en-GB"/>
              </w:rPr>
            </w:pPr>
            <w:r>
              <w:rPr>
                <w:lang w:val="en-GB"/>
              </w:rPr>
              <w:t>Needs help with communication</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4.310</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0.000</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3.148</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5.901</w:t>
            </w:r>
          </w:p>
        </w:tc>
      </w:tr>
      <w:tr w:rsidR="007C6A5F" w:rsidTr="000F1718">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jc w:val="left"/>
              <w:rPr>
                <w:lang w:val="en-GB"/>
              </w:rPr>
            </w:pPr>
            <w:r>
              <w:rPr>
                <w:lang w:val="en-GB"/>
              </w:rPr>
              <w:t>Needs help with dressing</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1.781</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0.001</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1.275</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2.487</w:t>
            </w:r>
          </w:p>
        </w:tc>
      </w:tr>
      <w:tr w:rsidR="007C6A5F" w:rsidRPr="006154F2" w:rsidTr="000F1718">
        <w:trPr>
          <w:trHeight w:val="230"/>
        </w:trPr>
        <w:tc>
          <w:tcPr>
            <w:tcW w:w="3070" w:type="dxa"/>
            <w:tcBorders>
              <w:top w:val="single" w:sz="8" w:space="0" w:color="FFFFFF" w:themeColor="background1"/>
              <w:bottom w:val="single" w:sz="8" w:space="0" w:color="FFFFFF" w:themeColor="background1"/>
            </w:tcBorders>
            <w:shd w:val="clear" w:color="auto" w:fill="C2DADB" w:themeFill="accent6" w:themeFillTint="99"/>
          </w:tcPr>
          <w:p w:rsidR="007C6A5F" w:rsidRPr="006154F2" w:rsidRDefault="007C6A5F" w:rsidP="00143D1F">
            <w:pPr>
              <w:pStyle w:val="TableDataEntries"/>
              <w:spacing w:before="30" w:after="30"/>
              <w:jc w:val="left"/>
              <w:rPr>
                <w:rFonts w:ascii="Franklin Gothic Demi" w:hAnsi="Franklin Gothic Demi"/>
                <w:lang w:val="en-GB"/>
              </w:rPr>
            </w:pPr>
            <w:r w:rsidRPr="006154F2">
              <w:rPr>
                <w:rFonts w:ascii="Franklin Gothic Demi" w:hAnsi="Franklin Gothic Demi"/>
                <w:lang w:val="en-GB"/>
              </w:rPr>
              <w:t>Needs help with mobility about residence</w:t>
            </w:r>
          </w:p>
        </w:tc>
        <w:tc>
          <w:tcPr>
            <w:tcW w:w="1217" w:type="dxa"/>
            <w:tcBorders>
              <w:top w:val="single" w:sz="8" w:space="0" w:color="FFFFFF" w:themeColor="background1"/>
              <w:bottom w:val="single" w:sz="8" w:space="0" w:color="FFFFFF" w:themeColor="background1"/>
            </w:tcBorders>
            <w:shd w:val="clear" w:color="auto" w:fill="C2DADB" w:themeFill="accent6" w:themeFillTint="99"/>
          </w:tcPr>
          <w:p w:rsidR="007C6A5F" w:rsidRPr="006154F2" w:rsidRDefault="007C6A5F" w:rsidP="00143D1F">
            <w:pPr>
              <w:pStyle w:val="TableDataEntries"/>
              <w:spacing w:before="30" w:after="30"/>
              <w:rPr>
                <w:rFonts w:ascii="Franklin Gothic Demi" w:hAnsi="Franklin Gothic Demi"/>
                <w:lang w:val="en-GB"/>
              </w:rPr>
            </w:pPr>
            <w:r w:rsidRPr="006154F2">
              <w:rPr>
                <w:rFonts w:ascii="Franklin Gothic Demi" w:hAnsi="Franklin Gothic Demi"/>
                <w:lang w:val="en-GB"/>
              </w:rPr>
              <w:t xml:space="preserve"> 2.684</w:t>
            </w:r>
          </w:p>
        </w:tc>
        <w:tc>
          <w:tcPr>
            <w:tcW w:w="1217" w:type="dxa"/>
            <w:tcBorders>
              <w:top w:val="single" w:sz="8" w:space="0" w:color="FFFFFF" w:themeColor="background1"/>
              <w:bottom w:val="single" w:sz="8" w:space="0" w:color="FFFFFF" w:themeColor="background1"/>
            </w:tcBorders>
            <w:shd w:val="clear" w:color="auto" w:fill="C2DADB" w:themeFill="accent6" w:themeFillTint="99"/>
          </w:tcPr>
          <w:p w:rsidR="007C6A5F" w:rsidRPr="006154F2" w:rsidRDefault="007C6A5F" w:rsidP="00143D1F">
            <w:pPr>
              <w:pStyle w:val="TableDataEntries"/>
              <w:spacing w:before="30" w:after="30"/>
              <w:rPr>
                <w:rFonts w:ascii="Franklin Gothic Demi" w:hAnsi="Franklin Gothic Demi"/>
                <w:lang w:val="en-GB"/>
              </w:rPr>
            </w:pPr>
            <w:r w:rsidRPr="006154F2">
              <w:rPr>
                <w:rFonts w:ascii="Franklin Gothic Demi" w:hAnsi="Franklin Gothic Demi"/>
                <w:lang w:val="en-GB"/>
              </w:rPr>
              <w:t xml:space="preserve"> 0.000</w:t>
            </w:r>
          </w:p>
        </w:tc>
        <w:tc>
          <w:tcPr>
            <w:tcW w:w="1217" w:type="dxa"/>
            <w:tcBorders>
              <w:top w:val="single" w:sz="8" w:space="0" w:color="FFFFFF" w:themeColor="background1"/>
              <w:bottom w:val="single" w:sz="8" w:space="0" w:color="FFFFFF" w:themeColor="background1"/>
            </w:tcBorders>
            <w:shd w:val="clear" w:color="auto" w:fill="C2DADB" w:themeFill="accent6" w:themeFillTint="99"/>
          </w:tcPr>
          <w:p w:rsidR="007C6A5F" w:rsidRPr="006154F2" w:rsidRDefault="007C6A5F" w:rsidP="00143D1F">
            <w:pPr>
              <w:pStyle w:val="TableDataEntries"/>
              <w:spacing w:before="30" w:after="30"/>
              <w:rPr>
                <w:rFonts w:ascii="Franklin Gothic Demi" w:hAnsi="Franklin Gothic Demi"/>
                <w:lang w:val="en-GB"/>
              </w:rPr>
            </w:pPr>
            <w:r w:rsidRPr="006154F2">
              <w:rPr>
                <w:rFonts w:ascii="Franklin Gothic Demi" w:hAnsi="Franklin Gothic Demi"/>
                <w:lang w:val="en-GB"/>
              </w:rPr>
              <w:t xml:space="preserve"> 2.076</w:t>
            </w:r>
          </w:p>
        </w:tc>
        <w:tc>
          <w:tcPr>
            <w:tcW w:w="1217" w:type="dxa"/>
            <w:tcBorders>
              <w:top w:val="single" w:sz="8" w:space="0" w:color="FFFFFF" w:themeColor="background1"/>
              <w:bottom w:val="single" w:sz="8" w:space="0" w:color="FFFFFF" w:themeColor="background1"/>
            </w:tcBorders>
            <w:shd w:val="clear" w:color="auto" w:fill="C2DADB" w:themeFill="accent6" w:themeFillTint="99"/>
          </w:tcPr>
          <w:p w:rsidR="007C6A5F" w:rsidRPr="006154F2" w:rsidRDefault="007C6A5F" w:rsidP="00143D1F">
            <w:pPr>
              <w:pStyle w:val="TableDataEntries"/>
              <w:spacing w:before="30" w:after="30"/>
              <w:rPr>
                <w:rFonts w:ascii="Franklin Gothic Demi" w:hAnsi="Franklin Gothic Demi"/>
                <w:lang w:val="en-GB"/>
              </w:rPr>
            </w:pPr>
            <w:r w:rsidRPr="006154F2">
              <w:rPr>
                <w:rFonts w:ascii="Franklin Gothic Demi" w:hAnsi="Franklin Gothic Demi"/>
                <w:lang w:val="en-GB"/>
              </w:rPr>
              <w:t xml:space="preserve"> 3.468</w:t>
            </w:r>
          </w:p>
        </w:tc>
      </w:tr>
      <w:tr w:rsidR="007C6A5F" w:rsidTr="000F1718">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jc w:val="left"/>
              <w:rPr>
                <w:lang w:val="en-GB"/>
              </w:rPr>
            </w:pPr>
            <w:r>
              <w:rPr>
                <w:lang w:val="en-GB"/>
              </w:rPr>
              <w:t>Needs help with toileting</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4.371</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0.000</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3.273</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5.836</w:t>
            </w:r>
          </w:p>
        </w:tc>
      </w:tr>
      <w:tr w:rsidR="007C6A5F" w:rsidTr="000F1718">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jc w:val="left"/>
              <w:rPr>
                <w:lang w:val="en-GB"/>
              </w:rPr>
            </w:pPr>
            <w:r>
              <w:rPr>
                <w:lang w:val="en-GB"/>
              </w:rPr>
              <w:t>Head injury</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0.580</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0.003</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0.404</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0.831</w:t>
            </w:r>
          </w:p>
        </w:tc>
      </w:tr>
      <w:tr w:rsidR="007C6A5F" w:rsidTr="000F1718">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jc w:val="left"/>
              <w:rPr>
                <w:lang w:val="en-GB"/>
              </w:rPr>
            </w:pPr>
            <w:r>
              <w:rPr>
                <w:lang w:val="en-GB"/>
              </w:rPr>
              <w:t>Dementia</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2.541</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0.000</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1.818</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3.551</w:t>
            </w:r>
          </w:p>
        </w:tc>
      </w:tr>
      <w:tr w:rsidR="007C6A5F" w:rsidTr="000F1718">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jc w:val="left"/>
              <w:rPr>
                <w:lang w:val="en-GB"/>
              </w:rPr>
            </w:pPr>
            <w:r>
              <w:rPr>
                <w:lang w:val="en-GB"/>
              </w:rPr>
              <w:t>Diabetes</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0.719</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0.043</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0.522</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0.989</w:t>
            </w:r>
          </w:p>
        </w:tc>
      </w:tr>
      <w:tr w:rsidR="007C6A5F" w:rsidTr="000F1718">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jc w:val="left"/>
              <w:rPr>
                <w:lang w:val="en-GB"/>
              </w:rPr>
            </w:pPr>
            <w:r>
              <w:rPr>
                <w:lang w:val="en-GB"/>
              </w:rPr>
              <w:t>Schizophrenia</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3.859</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0.002</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1.612</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9.241</w:t>
            </w:r>
          </w:p>
        </w:tc>
      </w:tr>
      <w:tr w:rsidR="007C6A5F" w:rsidTr="000F1718">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jc w:val="left"/>
              <w:rPr>
                <w:lang w:val="en-GB"/>
              </w:rPr>
            </w:pPr>
            <w:r>
              <w:rPr>
                <w:lang w:val="en-GB"/>
              </w:rPr>
              <w:t>Depression</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3.172</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0.000</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2.392</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4.206</w:t>
            </w:r>
          </w:p>
        </w:tc>
      </w:tr>
      <w:tr w:rsidR="007C6A5F" w:rsidTr="000F1718">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jc w:val="left"/>
              <w:rPr>
                <w:lang w:val="en-GB"/>
              </w:rPr>
            </w:pPr>
            <w:r>
              <w:rPr>
                <w:lang w:val="en-GB"/>
              </w:rPr>
              <w:t>Retardation</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0.433</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0.094</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0.162</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1.154</w:t>
            </w:r>
          </w:p>
        </w:tc>
      </w:tr>
      <w:tr w:rsidR="007C6A5F" w:rsidTr="000F1718">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jc w:val="left"/>
              <w:rPr>
                <w:lang w:val="en-GB"/>
              </w:rPr>
            </w:pPr>
            <w:r>
              <w:rPr>
                <w:lang w:val="en-GB"/>
              </w:rPr>
              <w:t>Epilepsy</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2.853</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0.013</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1.244</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6.541</w:t>
            </w:r>
          </w:p>
        </w:tc>
      </w:tr>
      <w:tr w:rsidR="007C6A5F" w:rsidTr="000F1718">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jc w:val="left"/>
              <w:rPr>
                <w:lang w:val="en-GB"/>
              </w:rPr>
            </w:pPr>
            <w:r>
              <w:rPr>
                <w:lang w:val="en-GB"/>
              </w:rPr>
              <w:t>Multiple Sclerosis</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2.167</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0.028</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1.087</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4.321</w:t>
            </w:r>
          </w:p>
        </w:tc>
      </w:tr>
      <w:tr w:rsidR="007C6A5F" w:rsidTr="000F1718">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jc w:val="left"/>
              <w:rPr>
                <w:lang w:val="en-GB"/>
              </w:rPr>
            </w:pPr>
            <w:r>
              <w:rPr>
                <w:lang w:val="en-GB"/>
              </w:rPr>
              <w:t>Paralysis</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4.786</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0.000</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2.591</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8.841</w:t>
            </w:r>
          </w:p>
        </w:tc>
      </w:tr>
      <w:tr w:rsidR="007C6A5F" w:rsidTr="000F1718">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jc w:val="left"/>
              <w:rPr>
                <w:lang w:val="en-GB"/>
              </w:rPr>
            </w:pPr>
            <w:r>
              <w:rPr>
                <w:lang w:val="en-GB"/>
              </w:rPr>
              <w:t>Heart Disease</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1.653</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0.000</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1.283</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2.130</w:t>
            </w:r>
          </w:p>
        </w:tc>
      </w:tr>
      <w:tr w:rsidR="007C6A5F" w:rsidTr="000F1718">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jc w:val="left"/>
              <w:rPr>
                <w:lang w:val="en-GB"/>
              </w:rPr>
            </w:pPr>
            <w:r>
              <w:rPr>
                <w:lang w:val="en-GB"/>
              </w:rPr>
              <w:t>Urinary</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1.593</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0.052</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0.996</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2.549</w:t>
            </w:r>
          </w:p>
        </w:tc>
      </w:tr>
      <w:tr w:rsidR="007C6A5F" w:rsidTr="000F1718">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jc w:val="left"/>
              <w:rPr>
                <w:lang w:val="en-GB"/>
              </w:rPr>
            </w:pPr>
            <w:r>
              <w:rPr>
                <w:lang w:val="en-GB"/>
              </w:rPr>
              <w:t>Constant</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1.115</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0.000</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1.420</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 xml:space="preserve"> 9.340</w:t>
            </w:r>
          </w:p>
        </w:tc>
      </w:tr>
      <w:tr w:rsidR="007C6A5F" w:rsidTr="00B5160B">
        <w:trPr>
          <w:trHeight w:val="230"/>
        </w:trPr>
        <w:tc>
          <w:tcPr>
            <w:tcW w:w="307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jc w:val="left"/>
              <w:rPr>
                <w:lang w:val="en-GB"/>
              </w:rPr>
            </w:pPr>
            <w:r>
              <w:rPr>
                <w:lang w:val="en-GB"/>
              </w:rPr>
              <w:lastRenderedPageBreak/>
              <w:t>Number of resident records</w:t>
            </w: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p>
        </w:tc>
        <w:tc>
          <w:tcPr>
            <w:tcW w:w="121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143D1F">
            <w:pPr>
              <w:pStyle w:val="TableDataEntries"/>
              <w:spacing w:before="30" w:after="30"/>
              <w:rPr>
                <w:lang w:val="en-GB"/>
              </w:rPr>
            </w:pPr>
            <w:r>
              <w:rPr>
                <w:lang w:val="en-GB"/>
              </w:rPr>
              <w:t>9 787</w:t>
            </w:r>
          </w:p>
        </w:tc>
      </w:tr>
      <w:tr w:rsidR="007C6A5F" w:rsidTr="00B5160B">
        <w:trPr>
          <w:trHeight w:val="230"/>
        </w:trPr>
        <w:tc>
          <w:tcPr>
            <w:tcW w:w="3070" w:type="dxa"/>
            <w:tcBorders>
              <w:top w:val="single" w:sz="8" w:space="0" w:color="FFFFFF" w:themeColor="background1"/>
              <w:bottom w:val="single" w:sz="4" w:space="0" w:color="6F6652" w:themeColor="accent5"/>
            </w:tcBorders>
            <w:shd w:val="clear" w:color="auto" w:fill="E9E8E5" w:themeFill="background2"/>
          </w:tcPr>
          <w:p w:rsidR="007C6A5F" w:rsidRDefault="007C6A5F" w:rsidP="00143D1F">
            <w:pPr>
              <w:pStyle w:val="TableDataEntries"/>
              <w:spacing w:before="30" w:after="30"/>
              <w:jc w:val="left"/>
              <w:rPr>
                <w:lang w:val="en-GB"/>
              </w:rPr>
            </w:pPr>
            <w:r>
              <w:rPr>
                <w:lang w:val="en-GB"/>
              </w:rPr>
              <w:t>Pseudo R</w:t>
            </w:r>
            <w:r w:rsidRPr="00F36A14">
              <w:rPr>
                <w:vertAlign w:val="superscript"/>
                <w:lang w:val="en-GB"/>
              </w:rPr>
              <w:t>2</w:t>
            </w:r>
          </w:p>
        </w:tc>
        <w:tc>
          <w:tcPr>
            <w:tcW w:w="1217" w:type="dxa"/>
            <w:tcBorders>
              <w:top w:val="single" w:sz="8" w:space="0" w:color="FFFFFF" w:themeColor="background1"/>
              <w:bottom w:val="single" w:sz="4" w:space="0" w:color="6F6652" w:themeColor="accent5"/>
            </w:tcBorders>
            <w:shd w:val="clear" w:color="auto" w:fill="E9E8E5" w:themeFill="background2"/>
          </w:tcPr>
          <w:p w:rsidR="007C6A5F" w:rsidRDefault="007C6A5F" w:rsidP="00143D1F">
            <w:pPr>
              <w:pStyle w:val="TableDataEntries"/>
              <w:spacing w:before="30" w:after="30"/>
              <w:rPr>
                <w:lang w:val="en-GB"/>
              </w:rPr>
            </w:pPr>
          </w:p>
        </w:tc>
        <w:tc>
          <w:tcPr>
            <w:tcW w:w="1217" w:type="dxa"/>
            <w:tcBorders>
              <w:top w:val="single" w:sz="8" w:space="0" w:color="FFFFFF" w:themeColor="background1"/>
              <w:bottom w:val="single" w:sz="4" w:space="0" w:color="6F6652" w:themeColor="accent5"/>
            </w:tcBorders>
            <w:shd w:val="clear" w:color="auto" w:fill="E9E8E5" w:themeFill="background2"/>
          </w:tcPr>
          <w:p w:rsidR="007C6A5F" w:rsidRDefault="007C6A5F" w:rsidP="00143D1F">
            <w:pPr>
              <w:pStyle w:val="TableDataEntries"/>
              <w:spacing w:before="30" w:after="30"/>
              <w:rPr>
                <w:lang w:val="en-GB"/>
              </w:rPr>
            </w:pPr>
          </w:p>
        </w:tc>
        <w:tc>
          <w:tcPr>
            <w:tcW w:w="1217" w:type="dxa"/>
            <w:tcBorders>
              <w:top w:val="single" w:sz="8" w:space="0" w:color="FFFFFF" w:themeColor="background1"/>
              <w:bottom w:val="single" w:sz="4" w:space="0" w:color="6F6652" w:themeColor="accent5"/>
            </w:tcBorders>
            <w:shd w:val="clear" w:color="auto" w:fill="E9E8E5" w:themeFill="background2"/>
          </w:tcPr>
          <w:p w:rsidR="007C6A5F" w:rsidRDefault="007C6A5F" w:rsidP="00143D1F">
            <w:pPr>
              <w:pStyle w:val="TableDataEntries"/>
              <w:spacing w:before="30" w:after="30"/>
              <w:rPr>
                <w:lang w:val="en-GB"/>
              </w:rPr>
            </w:pPr>
          </w:p>
        </w:tc>
        <w:tc>
          <w:tcPr>
            <w:tcW w:w="1217" w:type="dxa"/>
            <w:tcBorders>
              <w:top w:val="single" w:sz="8" w:space="0" w:color="FFFFFF" w:themeColor="background1"/>
              <w:bottom w:val="single" w:sz="4" w:space="0" w:color="6F6652" w:themeColor="accent5"/>
            </w:tcBorders>
            <w:shd w:val="clear" w:color="auto" w:fill="E9E8E5" w:themeFill="background2"/>
          </w:tcPr>
          <w:p w:rsidR="007C6A5F" w:rsidRDefault="007C6A5F" w:rsidP="00143D1F">
            <w:pPr>
              <w:pStyle w:val="TableDataEntries"/>
              <w:spacing w:before="30" w:after="30"/>
              <w:rPr>
                <w:lang w:val="en-GB"/>
              </w:rPr>
            </w:pPr>
            <w:r>
              <w:rPr>
                <w:lang w:val="en-GB"/>
              </w:rPr>
              <w:t xml:space="preserve"> 0.799</w:t>
            </w:r>
          </w:p>
        </w:tc>
      </w:tr>
    </w:tbl>
    <w:p w:rsidR="007C6A5F" w:rsidRDefault="007C6A5F" w:rsidP="007C6A5F">
      <w:pPr>
        <w:pStyle w:val="Source"/>
        <w:rPr>
          <w:lang w:bidi="fa-IR"/>
        </w:rPr>
      </w:pPr>
      <w:r w:rsidRPr="00566DEE">
        <w:rPr>
          <w:i/>
          <w:lang w:bidi="fa-IR"/>
        </w:rPr>
        <w:t>Source:</w:t>
      </w:r>
      <w:r>
        <w:rPr>
          <w:lang w:bidi="fa-IR"/>
        </w:rPr>
        <w:t xml:space="preserve"> Jukic, M. 2017, </w:t>
      </w:r>
      <w:r w:rsidRPr="00F36A14">
        <w:rPr>
          <w:i/>
          <w:iCs/>
          <w:lang w:bidi="fa-IR"/>
        </w:rPr>
        <w:t>Modelling Residential Aged Care in Australia: Entry and Exit</w:t>
      </w:r>
      <w:r>
        <w:rPr>
          <w:lang w:bidi="fa-IR"/>
        </w:rPr>
        <w:t>, A thesis submitted for the degree of Doctor of Philosophy of the University of Melbourne, p. 132.</w:t>
      </w:r>
    </w:p>
    <w:p w:rsidR="007C6A5F" w:rsidRDefault="007C6A5F" w:rsidP="007C6A5F">
      <w:pPr>
        <w:pStyle w:val="BodyText"/>
        <w:rPr>
          <w:lang w:eastAsia="en-US" w:bidi="fa-IR"/>
        </w:rPr>
      </w:pPr>
      <w:r>
        <w:rPr>
          <w:lang w:eastAsia="en-US" w:bidi="fa-IR"/>
        </w:rPr>
        <w:t xml:space="preserve">The accessibility of the residence (or previous residence for those that have already moved into aged care) is not one of the variables included in the various models. The variable that is mostly closely related to housing accessibility is whether an individual ‘needs help moving around the residence’. </w:t>
      </w:r>
    </w:p>
    <w:p w:rsidR="007C6A5F" w:rsidRDefault="007C6A5F" w:rsidP="007C6A5F">
      <w:pPr>
        <w:pStyle w:val="BodyText"/>
        <w:rPr>
          <w:lang w:eastAsia="en-US" w:bidi="fa-IR"/>
        </w:rPr>
      </w:pPr>
      <w:r>
        <w:rPr>
          <w:lang w:eastAsia="en-US" w:bidi="fa-IR"/>
        </w:rPr>
        <w:t>The modelling results suggest that needing assistance moving around a residence has a statistically significant impact on the odds of being in residential aged care. All else being equal, for those that need assistance moving around the residence, the odds of being in residential aged care is around 2.7 times higher than those without a need for assistance moving around the residence. This could be interpreted as evidence that inaccessible housing is contributing to additional people being in residential aged care.</w:t>
      </w:r>
    </w:p>
    <w:p w:rsidR="007C6A5F" w:rsidRDefault="007C6A5F" w:rsidP="007C6A5F">
      <w:pPr>
        <w:pStyle w:val="BodyText"/>
        <w:rPr>
          <w:lang w:eastAsia="en-US" w:bidi="fa-IR"/>
        </w:rPr>
      </w:pPr>
      <w:r>
        <w:rPr>
          <w:lang w:eastAsia="en-US" w:bidi="fa-IR"/>
        </w:rPr>
        <w:t>Based on 2018 SDAC data, the probability/odds of being in residential aged is relatively low (less than 1 per cent) for those over the age of 65 that do not need assistance moving around the residence, but much higher for those that need assistance (including those that do not move around the residence) (table </w:t>
      </w:r>
      <w:r>
        <w:rPr>
          <w:lang w:eastAsia="en-US" w:bidi="fa-IR"/>
        </w:rPr>
        <w:fldChar w:fldCharType="begin"/>
      </w:r>
      <w:r>
        <w:rPr>
          <w:lang w:eastAsia="en-US" w:bidi="fa-IR"/>
        </w:rPr>
        <w:instrText xml:space="preserve"> REF _Caption2670 </w:instrText>
      </w:r>
      <w:r>
        <w:rPr>
          <w:lang w:eastAsia="en-US" w:bidi="fa-IR"/>
        </w:rPr>
        <w:fldChar w:fldCharType="separate"/>
      </w:r>
      <w:r>
        <w:rPr>
          <w:noProof/>
        </w:rPr>
        <w:t>G</w:t>
      </w:r>
      <w:r w:rsidRPr="00695C93">
        <w:rPr>
          <w:noProof/>
        </w:rPr>
        <w:t>.</w:t>
      </w:r>
      <w:r>
        <w:rPr>
          <w:noProof/>
        </w:rPr>
        <w:t>5</w:t>
      </w:r>
      <w:r>
        <w:rPr>
          <w:lang w:eastAsia="en-US" w:bidi="fa-IR"/>
        </w:rPr>
        <w:fldChar w:fldCharType="end"/>
      </w:r>
      <w:r>
        <w:rPr>
          <w:lang w:eastAsia="en-US" w:bidi="fa-IR"/>
        </w:rPr>
        <w:t>). However, as noted above, those that need assistance moving around the residence often have a range of other risk factors, unrelated to the dwelling, that also contribute to being in residential aged care.</w:t>
      </w:r>
    </w:p>
    <w:p w:rsidR="007C6A5F" w:rsidRDefault="007C6A5F" w:rsidP="007C6A5F">
      <w:pPr>
        <w:pStyle w:val="Caption"/>
      </w:pPr>
      <w:r w:rsidRPr="000A3785">
        <w:fldChar w:fldCharType="begin"/>
      </w:r>
      <w:r w:rsidRPr="000A3785">
        <w:instrText xml:space="preserve"> IF 1 = 1 "</w:instrText>
      </w:r>
      <w:r w:rsidRPr="000A3785">
        <w:fldChar w:fldCharType="begin"/>
      </w:r>
      <w:r w:rsidRPr="000A3785">
        <w:instrText xml:space="preserve"> IF </w:instrText>
      </w:r>
      <w:r w:rsidRPr="000A3785">
        <w:rPr>
          <w:noProof/>
        </w:rPr>
        <w:fldChar w:fldCharType="begin"/>
      </w:r>
      <w:r w:rsidRPr="000A3785">
        <w:rPr>
          <w:noProof/>
        </w:rPr>
        <w:instrText xml:space="preserve"> STYLEREF "Heading 6" \l \n </w:instrText>
      </w:r>
      <w:r w:rsidRPr="000A3785">
        <w:rPr>
          <w:noProof/>
        </w:rPr>
        <w:fldChar w:fldCharType="separate"/>
      </w:r>
      <w:r w:rsidRPr="000A3785">
        <w:rPr>
          <w:noProof/>
        </w:rPr>
        <w:instrText>G</w:instrText>
      </w:r>
      <w:r w:rsidRPr="000A3785">
        <w:rPr>
          <w:noProof/>
        </w:rPr>
        <w:fldChar w:fldCharType="end"/>
      </w:r>
      <w:r w:rsidRPr="000A3785">
        <w:instrText xml:space="preserve"> = 0 "</w:instrText>
      </w:r>
      <w:r w:rsidRPr="000A3785">
        <w:fldChar w:fldCharType="begin"/>
      </w:r>
      <w:r w:rsidRPr="000A3785">
        <w:instrText xml:space="preserve"> IF </w:instrText>
      </w:r>
      <w:r w:rsidRPr="000A3785">
        <w:rPr>
          <w:noProof/>
        </w:rPr>
        <w:fldChar w:fldCharType="begin"/>
      </w:r>
      <w:r w:rsidRPr="000A3785">
        <w:rPr>
          <w:noProof/>
        </w:rPr>
        <w:instrText xml:space="preserve"> STYLEREF "Heading 1" \l \n </w:instrText>
      </w:r>
      <w:r w:rsidRPr="000A3785">
        <w:rPr>
          <w:noProof/>
        </w:rPr>
        <w:fldChar w:fldCharType="separate"/>
      </w:r>
      <w:r w:rsidRPr="000A3785">
        <w:rPr>
          <w:noProof/>
        </w:rPr>
        <w:instrText>0</w:instrText>
      </w:r>
      <w:r w:rsidRPr="000A3785">
        <w:rPr>
          <w:noProof/>
        </w:rPr>
        <w:fldChar w:fldCharType="end"/>
      </w:r>
      <w:r w:rsidRPr="000A3785">
        <w:instrText xml:space="preserve"> = 0 "" "</w:instrText>
      </w:r>
      <w:r w:rsidRPr="000A3785">
        <w:rPr>
          <w:noProof/>
        </w:rPr>
        <w:fldChar w:fldCharType="begin"/>
      </w:r>
      <w:r w:rsidRPr="000A3785">
        <w:rPr>
          <w:noProof/>
        </w:rPr>
        <w:instrText xml:space="preserve"> STYLEREF "Heading 1" \l \n </w:instrText>
      </w:r>
      <w:r w:rsidRPr="000A3785">
        <w:rPr>
          <w:noProof/>
        </w:rPr>
        <w:fldChar w:fldCharType="separate"/>
      </w:r>
      <w:r w:rsidRPr="000A3785">
        <w:rPr>
          <w:noProof/>
        </w:rPr>
        <w:instrText>2</w:instrText>
      </w:r>
      <w:r w:rsidRPr="000A3785">
        <w:rPr>
          <w:noProof/>
        </w:rPr>
        <w:fldChar w:fldCharType="end"/>
      </w:r>
      <w:r w:rsidRPr="000A3785">
        <w:instrText xml:space="preserve">." </w:instrText>
      </w:r>
      <w:r w:rsidRPr="000A3785">
        <w:fldChar w:fldCharType="end"/>
      </w:r>
      <w:r w:rsidRPr="000A3785">
        <w:instrText>" "</w:instrText>
      </w:r>
      <w:r w:rsidRPr="000A3785">
        <w:rPr>
          <w:noProof/>
        </w:rPr>
        <w:fldChar w:fldCharType="begin"/>
      </w:r>
      <w:r w:rsidRPr="000A3785">
        <w:rPr>
          <w:noProof/>
        </w:rPr>
        <w:instrText xml:space="preserve"> STYLEREF "Heading 6" \l \n </w:instrText>
      </w:r>
      <w:r w:rsidRPr="000A3785">
        <w:rPr>
          <w:noProof/>
        </w:rPr>
        <w:fldChar w:fldCharType="separate"/>
      </w:r>
      <w:r w:rsidRPr="000A3785">
        <w:rPr>
          <w:noProof/>
        </w:rPr>
        <w:instrText>G</w:instrText>
      </w:r>
      <w:r w:rsidRPr="000A3785">
        <w:rPr>
          <w:noProof/>
        </w:rPr>
        <w:fldChar w:fldCharType="end"/>
      </w:r>
      <w:r w:rsidRPr="000A3785">
        <w:instrText xml:space="preserve">." </w:instrText>
      </w:r>
      <w:r w:rsidRPr="000A3785">
        <w:fldChar w:fldCharType="separate"/>
      </w:r>
      <w:r w:rsidRPr="000A3785">
        <w:rPr>
          <w:noProof/>
        </w:rPr>
        <w:instrText>G.</w:instrText>
      </w:r>
      <w:r w:rsidRPr="000A3785">
        <w:fldChar w:fldCharType="end"/>
      </w:r>
      <w:r w:rsidRPr="000A3785">
        <w:fldChar w:fldCharType="begin"/>
      </w:r>
      <w:r w:rsidRPr="000A3785">
        <w:instrText xml:space="preserve"> SEQ Item \* ARABIC \s </w:instrText>
      </w:r>
      <w:r w:rsidRPr="000A3785">
        <w:fldChar w:fldCharType="begin"/>
      </w:r>
      <w:r w:rsidRPr="000A3785">
        <w:instrText xml:space="preserve"> IF </w:instrText>
      </w:r>
      <w:r w:rsidRPr="000A3785">
        <w:rPr>
          <w:noProof/>
        </w:rPr>
        <w:fldChar w:fldCharType="begin"/>
      </w:r>
      <w:r w:rsidRPr="000A3785">
        <w:rPr>
          <w:noProof/>
        </w:rPr>
        <w:instrText xml:space="preserve"> STYLEREF "Heading 6" \l \n </w:instrText>
      </w:r>
      <w:r w:rsidRPr="000A3785">
        <w:rPr>
          <w:noProof/>
        </w:rPr>
        <w:fldChar w:fldCharType="separate"/>
      </w:r>
      <w:r w:rsidRPr="000A3785">
        <w:rPr>
          <w:noProof/>
        </w:rPr>
        <w:instrText>G</w:instrText>
      </w:r>
      <w:r w:rsidRPr="000A3785">
        <w:rPr>
          <w:noProof/>
        </w:rPr>
        <w:fldChar w:fldCharType="end"/>
      </w:r>
      <w:r w:rsidRPr="000A3785">
        <w:instrText xml:space="preserve"> = 0 "</w:instrText>
      </w:r>
      <w:r w:rsidRPr="000A3785">
        <w:fldChar w:fldCharType="begin"/>
      </w:r>
      <w:r w:rsidRPr="000A3785">
        <w:instrText xml:space="preserve"> IF </w:instrText>
      </w:r>
      <w:r w:rsidRPr="000A3785">
        <w:rPr>
          <w:noProof/>
        </w:rPr>
        <w:fldChar w:fldCharType="begin"/>
      </w:r>
      <w:r w:rsidRPr="000A3785">
        <w:rPr>
          <w:noProof/>
        </w:rPr>
        <w:instrText xml:space="preserve"> STYLEREF "Heading 1" \l \n </w:instrText>
      </w:r>
      <w:r w:rsidRPr="000A3785">
        <w:rPr>
          <w:noProof/>
        </w:rPr>
        <w:fldChar w:fldCharType="separate"/>
      </w:r>
      <w:r w:rsidRPr="000A3785">
        <w:rPr>
          <w:noProof/>
        </w:rPr>
        <w:instrText>0</w:instrText>
      </w:r>
      <w:r w:rsidRPr="000A3785">
        <w:rPr>
          <w:noProof/>
        </w:rPr>
        <w:fldChar w:fldCharType="end"/>
      </w:r>
      <w:r w:rsidRPr="000A3785">
        <w:instrText xml:space="preserve"> = 0 "" "1" </w:instrText>
      </w:r>
      <w:r w:rsidRPr="000A3785">
        <w:fldChar w:fldCharType="end"/>
      </w:r>
      <w:r w:rsidRPr="000A3785">
        <w:instrText xml:space="preserve">" "6" </w:instrText>
      </w:r>
      <w:r w:rsidRPr="000A3785">
        <w:fldChar w:fldCharType="separate"/>
      </w:r>
      <w:r w:rsidRPr="000A3785">
        <w:rPr>
          <w:noProof/>
        </w:rPr>
        <w:instrText>6</w:instrText>
      </w:r>
      <w:r w:rsidRPr="000A3785">
        <w:fldChar w:fldCharType="end"/>
      </w:r>
      <w:r w:rsidRPr="000A3785">
        <w:instrText xml:space="preserve"> </w:instrText>
      </w:r>
      <w:r w:rsidRPr="000A3785">
        <w:fldChar w:fldCharType="separate"/>
      </w:r>
      <w:r w:rsidRPr="000A3785">
        <w:rPr>
          <w:noProof/>
        </w:rPr>
        <w:instrText>5</w:instrText>
      </w:r>
      <w:r w:rsidRPr="000A3785">
        <w:fldChar w:fldCharType="end"/>
      </w:r>
      <w:r w:rsidRPr="000A3785">
        <w:instrText xml:space="preserve">" "" </w:instrText>
      </w:r>
      <w:r w:rsidRPr="000A3785">
        <w:fldChar w:fldCharType="separate"/>
      </w:r>
      <w:bookmarkStart w:id="7859" w:name="_Caption3209"/>
      <w:bookmarkStart w:id="7860" w:name="_Caption5050"/>
      <w:bookmarkStart w:id="7861" w:name="_Caption9240"/>
      <w:bookmarkStart w:id="7862" w:name="_Caption2670"/>
      <w:bookmarkStart w:id="7863" w:name="_Caption7695"/>
      <w:bookmarkStart w:id="7864" w:name="_Toc44598599"/>
      <w:bookmarkStart w:id="7865" w:name="_Toc45654230"/>
      <w:r w:rsidR="00272AF3" w:rsidRPr="000A3785">
        <w:rPr>
          <w:noProof/>
        </w:rPr>
        <w:t>G.5</w:t>
      </w:r>
      <w:bookmarkEnd w:id="7859"/>
      <w:bookmarkEnd w:id="7860"/>
      <w:bookmarkEnd w:id="7861"/>
      <w:bookmarkEnd w:id="7862"/>
      <w:bookmarkEnd w:id="7863"/>
      <w:r w:rsidRPr="000A3785">
        <w:fldChar w:fldCharType="end"/>
      </w:r>
      <w:r w:rsidRPr="000A3785">
        <w:tab/>
        <w:t>Probability/odds of being in residential aged care — 2018</w:t>
      </w:r>
      <w:bookmarkEnd w:id="7864"/>
      <w:bookmarkEnd w:id="7865"/>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G.5"/>
        <w:tblDescription w:val="Probability/odds of being in residential aged care — 2018"/>
      </w:tblPr>
      <w:tblGrid>
        <w:gridCol w:w="2554"/>
        <w:gridCol w:w="1346"/>
        <w:gridCol w:w="1062"/>
        <w:gridCol w:w="1630"/>
        <w:gridCol w:w="1346"/>
      </w:tblGrid>
      <w:tr w:rsidR="007C6A5F" w:rsidTr="008C121C">
        <w:trPr>
          <w:trHeight w:val="461"/>
          <w:tblHeader/>
        </w:trPr>
        <w:tc>
          <w:tcPr>
            <w:tcW w:w="2554" w:type="dxa"/>
            <w:shd w:val="clear" w:color="auto" w:fill="6F6652" w:themeFill="accent5"/>
          </w:tcPr>
          <w:p w:rsidR="007C6A5F" w:rsidRDefault="000A3785" w:rsidP="00C36DA4">
            <w:pPr>
              <w:pStyle w:val="TableDataColumnHeading"/>
              <w:jc w:val="left"/>
              <w:rPr>
                <w:lang w:val="en-GB"/>
              </w:rPr>
            </w:pPr>
            <w:r>
              <w:rPr>
                <w:lang w:val="en-GB"/>
              </w:rPr>
              <w:t>Need</w:t>
            </w:r>
          </w:p>
        </w:tc>
        <w:tc>
          <w:tcPr>
            <w:tcW w:w="1346" w:type="dxa"/>
            <w:shd w:val="clear" w:color="auto" w:fill="6F6652" w:themeFill="accent5"/>
          </w:tcPr>
          <w:p w:rsidR="007C6A5F" w:rsidRDefault="007C6A5F" w:rsidP="00C36DA4">
            <w:pPr>
              <w:pStyle w:val="TableDataColumnHeading"/>
              <w:rPr>
                <w:lang w:val="en-GB"/>
              </w:rPr>
            </w:pPr>
            <w:r>
              <w:rPr>
                <w:lang w:val="en-GB"/>
              </w:rPr>
              <w:t>In residential aged care</w:t>
            </w:r>
          </w:p>
          <w:p w:rsidR="008C121C" w:rsidRDefault="008C121C" w:rsidP="00C36DA4">
            <w:pPr>
              <w:pStyle w:val="TableDataColumnHeading"/>
              <w:rPr>
                <w:lang w:val="en-GB"/>
              </w:rPr>
            </w:pPr>
            <w:r>
              <w:rPr>
                <w:lang w:val="en-GB"/>
              </w:rPr>
              <w:t>(‘000)</w:t>
            </w:r>
          </w:p>
        </w:tc>
        <w:tc>
          <w:tcPr>
            <w:tcW w:w="1062" w:type="dxa"/>
            <w:shd w:val="clear" w:color="auto" w:fill="6F6652" w:themeFill="accent5"/>
          </w:tcPr>
          <w:p w:rsidR="007C6A5F" w:rsidRDefault="007C6A5F" w:rsidP="00C36DA4">
            <w:pPr>
              <w:pStyle w:val="TableDataColumnHeading"/>
              <w:rPr>
                <w:lang w:val="en-GB"/>
              </w:rPr>
            </w:pPr>
            <w:r>
              <w:rPr>
                <w:lang w:val="en-GB"/>
              </w:rPr>
              <w:t>Total</w:t>
            </w:r>
          </w:p>
          <w:p w:rsidR="008C121C" w:rsidRDefault="008C121C" w:rsidP="00C36DA4">
            <w:pPr>
              <w:pStyle w:val="TableDataColumnHeading"/>
              <w:rPr>
                <w:lang w:val="en-GB"/>
              </w:rPr>
            </w:pPr>
            <w:r>
              <w:rPr>
                <w:lang w:val="en-GB"/>
              </w:rPr>
              <w:t>(‘000)</w:t>
            </w:r>
          </w:p>
        </w:tc>
        <w:tc>
          <w:tcPr>
            <w:tcW w:w="1630" w:type="dxa"/>
            <w:shd w:val="clear" w:color="auto" w:fill="6F6652" w:themeFill="accent5"/>
          </w:tcPr>
          <w:p w:rsidR="007C6A5F" w:rsidRDefault="007C6A5F" w:rsidP="00C36DA4">
            <w:pPr>
              <w:pStyle w:val="TableDataColumnHeading"/>
              <w:rPr>
                <w:lang w:val="en-GB"/>
              </w:rPr>
            </w:pPr>
            <w:r>
              <w:rPr>
                <w:lang w:val="en-GB"/>
              </w:rPr>
              <w:t>Probability of being in aged care</w:t>
            </w:r>
          </w:p>
          <w:p w:rsidR="008C121C" w:rsidRDefault="008C121C" w:rsidP="00C36DA4">
            <w:pPr>
              <w:pStyle w:val="TableDataColumnHeading"/>
              <w:rPr>
                <w:lang w:val="en-GB"/>
              </w:rPr>
            </w:pPr>
            <w:r>
              <w:rPr>
                <w:lang w:val="en-GB"/>
              </w:rPr>
              <w:t>(Per cent)</w:t>
            </w:r>
          </w:p>
        </w:tc>
        <w:tc>
          <w:tcPr>
            <w:tcW w:w="1346" w:type="dxa"/>
            <w:shd w:val="clear" w:color="auto" w:fill="6F6652" w:themeFill="accent5"/>
          </w:tcPr>
          <w:p w:rsidR="007C6A5F" w:rsidRDefault="007C6A5F" w:rsidP="00C36DA4">
            <w:pPr>
              <w:pStyle w:val="TableDataColumnHeading"/>
              <w:rPr>
                <w:lang w:val="en-GB"/>
              </w:rPr>
            </w:pPr>
            <w:r>
              <w:rPr>
                <w:lang w:val="en-GB"/>
              </w:rPr>
              <w:t>Odds of being in aged care</w:t>
            </w:r>
          </w:p>
        </w:tc>
      </w:tr>
      <w:tr w:rsidR="007C6A5F" w:rsidTr="008C121C">
        <w:trPr>
          <w:trHeight w:val="230"/>
        </w:trPr>
        <w:tc>
          <w:tcPr>
            <w:tcW w:w="255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Does not need assistance</w:t>
            </w:r>
          </w:p>
        </w:tc>
        <w:tc>
          <w:tcPr>
            <w:tcW w:w="134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15.9</w:t>
            </w:r>
          </w:p>
        </w:tc>
        <w:tc>
          <w:tcPr>
            <w:tcW w:w="10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1 676</w:t>
            </w:r>
          </w:p>
        </w:tc>
        <w:tc>
          <w:tcPr>
            <w:tcW w:w="163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0.95</w:t>
            </w:r>
          </w:p>
        </w:tc>
        <w:tc>
          <w:tcPr>
            <w:tcW w:w="134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0.0096</w:t>
            </w:r>
          </w:p>
        </w:tc>
      </w:tr>
      <w:tr w:rsidR="007C6A5F" w:rsidTr="008C121C">
        <w:trPr>
          <w:trHeight w:val="230"/>
        </w:trPr>
        <w:tc>
          <w:tcPr>
            <w:tcW w:w="2554"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Needs assistance</w:t>
            </w:r>
          </w:p>
        </w:tc>
        <w:tc>
          <w:tcPr>
            <w:tcW w:w="134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154.4</w:t>
            </w:r>
          </w:p>
        </w:tc>
        <w:tc>
          <w:tcPr>
            <w:tcW w:w="106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266</w:t>
            </w:r>
          </w:p>
        </w:tc>
        <w:tc>
          <w:tcPr>
            <w:tcW w:w="163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58.11</w:t>
            </w:r>
          </w:p>
        </w:tc>
        <w:tc>
          <w:tcPr>
            <w:tcW w:w="134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1.3872</w:t>
            </w:r>
          </w:p>
        </w:tc>
      </w:tr>
      <w:tr w:rsidR="007C6A5F" w:rsidRPr="006154F2" w:rsidTr="008C121C">
        <w:trPr>
          <w:trHeight w:val="230"/>
        </w:trPr>
        <w:tc>
          <w:tcPr>
            <w:tcW w:w="2554" w:type="dxa"/>
            <w:tcBorders>
              <w:top w:val="single" w:sz="8" w:space="0" w:color="FFFFFF" w:themeColor="background1"/>
              <w:bottom w:val="single" w:sz="4" w:space="0" w:color="6F6652" w:themeColor="accent5"/>
            </w:tcBorders>
            <w:shd w:val="clear" w:color="auto" w:fill="C2DADB" w:themeFill="accent6" w:themeFillTint="99"/>
          </w:tcPr>
          <w:p w:rsidR="007C6A5F" w:rsidRPr="006154F2" w:rsidRDefault="007C6A5F" w:rsidP="00C36DA4">
            <w:pPr>
              <w:pStyle w:val="TableDataEntries"/>
              <w:jc w:val="left"/>
              <w:rPr>
                <w:rFonts w:ascii="Franklin Gothic Demi" w:hAnsi="Franklin Gothic Demi"/>
                <w:lang w:val="en-GB"/>
              </w:rPr>
            </w:pPr>
            <w:r w:rsidRPr="006154F2">
              <w:rPr>
                <w:rFonts w:ascii="Franklin Gothic Demi" w:hAnsi="Franklin Gothic Demi"/>
                <w:lang w:val="en-GB"/>
              </w:rPr>
              <w:t>Total</w:t>
            </w:r>
          </w:p>
        </w:tc>
        <w:tc>
          <w:tcPr>
            <w:tcW w:w="1346" w:type="dxa"/>
            <w:tcBorders>
              <w:top w:val="single" w:sz="8" w:space="0" w:color="FFFFFF" w:themeColor="background1"/>
              <w:bottom w:val="single" w:sz="4" w:space="0" w:color="6F6652" w:themeColor="accent5"/>
            </w:tcBorders>
            <w:shd w:val="clear" w:color="auto" w:fill="C2DADB" w:themeFill="accent6" w:themeFillTint="99"/>
          </w:tcPr>
          <w:p w:rsidR="007C6A5F" w:rsidRPr="006154F2" w:rsidRDefault="007C6A5F" w:rsidP="00C36DA4">
            <w:pPr>
              <w:pStyle w:val="TableDataEntries"/>
              <w:rPr>
                <w:rFonts w:ascii="Franklin Gothic Demi" w:hAnsi="Franklin Gothic Demi"/>
                <w:lang w:val="en-GB"/>
              </w:rPr>
            </w:pPr>
            <w:r w:rsidRPr="006154F2">
              <w:rPr>
                <w:rFonts w:ascii="Franklin Gothic Demi" w:hAnsi="Franklin Gothic Demi"/>
                <w:lang w:val="en-GB"/>
              </w:rPr>
              <w:t>170.3</w:t>
            </w:r>
          </w:p>
        </w:tc>
        <w:tc>
          <w:tcPr>
            <w:tcW w:w="1062" w:type="dxa"/>
            <w:tcBorders>
              <w:top w:val="single" w:sz="8" w:space="0" w:color="FFFFFF" w:themeColor="background1"/>
              <w:bottom w:val="single" w:sz="4" w:space="0" w:color="6F6652" w:themeColor="accent5"/>
            </w:tcBorders>
            <w:shd w:val="clear" w:color="auto" w:fill="C2DADB" w:themeFill="accent6" w:themeFillTint="99"/>
          </w:tcPr>
          <w:p w:rsidR="007C6A5F" w:rsidRPr="006154F2" w:rsidRDefault="007C6A5F" w:rsidP="00C36DA4">
            <w:pPr>
              <w:pStyle w:val="TableDataEntries"/>
              <w:rPr>
                <w:rFonts w:ascii="Franklin Gothic Demi" w:hAnsi="Franklin Gothic Demi"/>
                <w:lang w:val="en-GB"/>
              </w:rPr>
            </w:pPr>
            <w:r w:rsidRPr="006154F2">
              <w:rPr>
                <w:rFonts w:ascii="Franklin Gothic Demi" w:hAnsi="Franklin Gothic Demi"/>
                <w:lang w:val="en-GB"/>
              </w:rPr>
              <w:t>1 941.2</w:t>
            </w:r>
          </w:p>
        </w:tc>
        <w:tc>
          <w:tcPr>
            <w:tcW w:w="1630" w:type="dxa"/>
            <w:tcBorders>
              <w:top w:val="single" w:sz="8" w:space="0" w:color="FFFFFF" w:themeColor="background1"/>
              <w:bottom w:val="single" w:sz="4" w:space="0" w:color="6F6652" w:themeColor="accent5"/>
            </w:tcBorders>
            <w:shd w:val="clear" w:color="auto" w:fill="C2DADB" w:themeFill="accent6" w:themeFillTint="99"/>
          </w:tcPr>
          <w:p w:rsidR="007C6A5F" w:rsidRPr="006154F2" w:rsidRDefault="007C6A5F" w:rsidP="00C36DA4">
            <w:pPr>
              <w:pStyle w:val="TableDataEntries"/>
              <w:rPr>
                <w:rFonts w:ascii="Franklin Gothic Demi" w:hAnsi="Franklin Gothic Demi"/>
                <w:lang w:val="en-GB"/>
              </w:rPr>
            </w:pPr>
            <w:r w:rsidRPr="006154F2">
              <w:rPr>
                <w:rFonts w:ascii="Franklin Gothic Demi" w:hAnsi="Franklin Gothic Demi"/>
                <w:lang w:val="en-GB"/>
              </w:rPr>
              <w:t>8.77</w:t>
            </w:r>
          </w:p>
        </w:tc>
        <w:tc>
          <w:tcPr>
            <w:tcW w:w="1346" w:type="dxa"/>
            <w:tcBorders>
              <w:top w:val="single" w:sz="8" w:space="0" w:color="FFFFFF" w:themeColor="background1"/>
              <w:bottom w:val="single" w:sz="4" w:space="0" w:color="6F6652" w:themeColor="accent5"/>
            </w:tcBorders>
            <w:shd w:val="clear" w:color="auto" w:fill="C2DADB" w:themeFill="accent6" w:themeFillTint="99"/>
          </w:tcPr>
          <w:p w:rsidR="007C6A5F" w:rsidRPr="006154F2" w:rsidRDefault="007C6A5F" w:rsidP="00C36DA4">
            <w:pPr>
              <w:pStyle w:val="TableDataEntries"/>
              <w:rPr>
                <w:rFonts w:ascii="Franklin Gothic Demi" w:hAnsi="Franklin Gothic Demi"/>
                <w:lang w:val="en-GB"/>
              </w:rPr>
            </w:pPr>
            <w:r w:rsidRPr="006154F2">
              <w:rPr>
                <w:rFonts w:ascii="Franklin Gothic Demi" w:hAnsi="Franklin Gothic Demi"/>
                <w:lang w:val="en-GB"/>
              </w:rPr>
              <w:t>0.0962</w:t>
            </w:r>
          </w:p>
        </w:tc>
      </w:tr>
    </w:tbl>
    <w:p w:rsidR="007C6A5F" w:rsidRDefault="007C6A5F" w:rsidP="007C6A5F">
      <w:pPr>
        <w:pStyle w:val="Source"/>
        <w:rPr>
          <w:lang w:bidi="fa-IR"/>
        </w:rPr>
      </w:pPr>
      <w:r w:rsidRPr="00735CAE">
        <w:rPr>
          <w:i/>
          <w:lang w:bidi="fa-IR"/>
        </w:rPr>
        <w:t>Source:</w:t>
      </w:r>
      <w:r>
        <w:rPr>
          <w:lang w:bidi="fa-IR"/>
        </w:rPr>
        <w:t xml:space="preserve"> ABS, 2018 Survey of Disabilities, Ageing and Carers, TableBuilder.</w:t>
      </w:r>
    </w:p>
    <w:p w:rsidR="007C6A5F" w:rsidRDefault="007C6A5F" w:rsidP="007C6A5F">
      <w:pPr>
        <w:pStyle w:val="BodyText"/>
        <w:rPr>
          <w:lang w:eastAsia="en-US" w:bidi="fa-IR"/>
        </w:rPr>
      </w:pPr>
      <w:r>
        <w:rPr>
          <w:lang w:eastAsia="en-US" w:bidi="fa-IR"/>
        </w:rPr>
        <w:t>We can use the SDAC data and the modelling results to infer the number of additional people that may be in residential aged care as a result of the need for help with moving around the residence as follows (see table </w:t>
      </w:r>
      <w:r w:rsidRPr="00F36A14">
        <w:rPr>
          <w:lang w:eastAsia="en-US" w:bidi="fa-IR"/>
        </w:rPr>
        <w:t>G.6</w:t>
      </w:r>
      <w:r w:rsidRPr="00317781">
        <w:rPr>
          <w:lang w:eastAsia="en-US" w:bidi="fa-IR"/>
        </w:rPr>
        <w:t>).</w:t>
      </w:r>
    </w:p>
    <w:p w:rsidR="007C6A5F" w:rsidRDefault="007C6A5F" w:rsidP="005A6F87">
      <w:pPr>
        <w:pStyle w:val="ListBullet"/>
        <w:numPr>
          <w:ilvl w:val="0"/>
          <w:numId w:val="17"/>
        </w:numPr>
        <w:rPr>
          <w:lang w:eastAsia="en-US" w:bidi="fa-IR"/>
        </w:rPr>
      </w:pPr>
      <w:r>
        <w:rPr>
          <w:lang w:eastAsia="en-US" w:bidi="fa-IR"/>
        </w:rPr>
        <w:t>We use the odds (0.0096) of being in residential aged care for those that do not need assistance moving around the residence as a baseline. This implies a baseline of around 2500 people (out of the 266 000 people in total) who need assistance with mobility would have been in residential aged care anyway (i.e. even if they did not need assistance with mobility). This is less than 1 per cent of the total.</w:t>
      </w:r>
    </w:p>
    <w:p w:rsidR="007C6A5F" w:rsidRDefault="007C6A5F" w:rsidP="005A6F87">
      <w:pPr>
        <w:pStyle w:val="ListBullet"/>
        <w:numPr>
          <w:ilvl w:val="0"/>
          <w:numId w:val="17"/>
        </w:numPr>
        <w:rPr>
          <w:lang w:eastAsia="en-US" w:bidi="fa-IR"/>
        </w:rPr>
      </w:pPr>
      <w:r>
        <w:rPr>
          <w:lang w:eastAsia="en-US" w:bidi="fa-IR"/>
        </w:rPr>
        <w:t xml:space="preserve">We then apply the odds ratio reported above to estimate the odds of being in residential aged care for those with a need for assistance moving around the residence, </w:t>
      </w:r>
      <w:r w:rsidRPr="00F36A14">
        <w:rPr>
          <w:b/>
          <w:bCs/>
          <w:lang w:eastAsia="en-US" w:bidi="fa-IR"/>
        </w:rPr>
        <w:t>all other variables being equal</w:t>
      </w:r>
      <w:r>
        <w:rPr>
          <w:lang w:eastAsia="en-US" w:bidi="fa-IR"/>
        </w:rPr>
        <w:t>. We apply the central case odds ratio (2.684), as well as the lower (2.076) and upper (3.468) bound of the 95 per cent confidence interval.</w:t>
      </w:r>
    </w:p>
    <w:p w:rsidR="007C6A5F" w:rsidRDefault="007C6A5F" w:rsidP="005A6F87">
      <w:pPr>
        <w:pStyle w:val="ListBullet"/>
        <w:numPr>
          <w:ilvl w:val="0"/>
          <w:numId w:val="17"/>
        </w:numPr>
        <w:rPr>
          <w:lang w:eastAsia="en-US" w:bidi="fa-IR"/>
        </w:rPr>
      </w:pPr>
      <w:r>
        <w:rPr>
          <w:lang w:eastAsia="en-US" w:bidi="fa-IR"/>
        </w:rPr>
        <w:lastRenderedPageBreak/>
        <w:t>The difference between the number of people estimated to be in residential aged care implied by the odds estimated above and the baseline can be interpreted as the impact of needing help with mobility around the place of residence.</w:t>
      </w:r>
    </w:p>
    <w:p w:rsidR="007C6A5F" w:rsidRDefault="007C6A5F" w:rsidP="005A6F87">
      <w:pPr>
        <w:pStyle w:val="ListBullet2"/>
        <w:numPr>
          <w:ilvl w:val="1"/>
          <w:numId w:val="17"/>
        </w:numPr>
        <w:ind w:left="568" w:hanging="284"/>
        <w:rPr>
          <w:lang w:eastAsia="en-US" w:bidi="fa-IR"/>
        </w:rPr>
      </w:pPr>
      <w:r>
        <w:rPr>
          <w:lang w:eastAsia="en-US" w:bidi="fa-IR"/>
        </w:rPr>
        <w:t>This implies that there are between 2660 and 6023 additional older Australians in residential aged care as a direct result of needing help with mobility around the place of residence, with a central case estimate of 4140 additional people.</w:t>
      </w:r>
    </w:p>
    <w:p w:rsidR="007C6A5F" w:rsidRDefault="007C6A5F" w:rsidP="005A6F87">
      <w:pPr>
        <w:pStyle w:val="ListBullet2"/>
        <w:numPr>
          <w:ilvl w:val="1"/>
          <w:numId w:val="17"/>
        </w:numPr>
        <w:ind w:left="568" w:hanging="284"/>
        <w:rPr>
          <w:lang w:eastAsia="en-US" w:bidi="fa-IR"/>
        </w:rPr>
      </w:pPr>
      <w:r>
        <w:rPr>
          <w:lang w:eastAsia="en-US" w:bidi="fa-IR"/>
        </w:rPr>
        <w:t>Note that this estimate is far less than the 154 400 people with mobility needs that were reported to be in residential aged care in 2018. This implies that the remaining people were in residential aged care due to other factors unrelated to their need for help moving around the place of residence.</w:t>
      </w:r>
    </w:p>
    <w:p w:rsidR="007C6A5F" w:rsidRDefault="007C6A5F" w:rsidP="007C6A5F">
      <w:pPr>
        <w:pStyle w:val="Caption"/>
        <w:ind w:left="568" w:hanging="568"/>
      </w:pPr>
      <w:r w:rsidRPr="00FB441B">
        <w:fldChar w:fldCharType="begin"/>
      </w:r>
      <w:r w:rsidRPr="00FB441B">
        <w:instrText xml:space="preserve"> IF 1 = 1 "</w:instrText>
      </w:r>
      <w:r w:rsidRPr="00FB441B">
        <w:fldChar w:fldCharType="begin"/>
      </w:r>
      <w:r w:rsidRPr="00FB441B">
        <w:instrText xml:space="preserve"> IF </w:instrText>
      </w:r>
      <w:r w:rsidRPr="00FB441B">
        <w:rPr>
          <w:noProof/>
        </w:rPr>
        <w:fldChar w:fldCharType="begin"/>
      </w:r>
      <w:r w:rsidRPr="00FB441B">
        <w:rPr>
          <w:noProof/>
        </w:rPr>
        <w:instrText xml:space="preserve"> STYLEREF "Heading 6" \l \n </w:instrText>
      </w:r>
      <w:r w:rsidRPr="00FB441B">
        <w:rPr>
          <w:noProof/>
        </w:rPr>
        <w:fldChar w:fldCharType="separate"/>
      </w:r>
      <w:r w:rsidRPr="00FB441B">
        <w:rPr>
          <w:noProof/>
        </w:rPr>
        <w:instrText>G</w:instrText>
      </w:r>
      <w:r w:rsidRPr="00FB441B">
        <w:rPr>
          <w:noProof/>
        </w:rPr>
        <w:fldChar w:fldCharType="end"/>
      </w:r>
      <w:r w:rsidRPr="00FB441B">
        <w:instrText xml:space="preserve"> = 0 "</w:instrText>
      </w:r>
      <w:r w:rsidRPr="00FB441B">
        <w:fldChar w:fldCharType="begin"/>
      </w:r>
      <w:r w:rsidRPr="00FB441B">
        <w:instrText xml:space="preserve"> IF </w:instrText>
      </w:r>
      <w:r w:rsidRPr="00FB441B">
        <w:rPr>
          <w:noProof/>
        </w:rPr>
        <w:fldChar w:fldCharType="begin"/>
      </w:r>
      <w:r w:rsidRPr="00FB441B">
        <w:rPr>
          <w:noProof/>
        </w:rPr>
        <w:instrText xml:space="preserve"> STYLEREF "Heading 1" \l \n </w:instrText>
      </w:r>
      <w:r w:rsidRPr="00FB441B">
        <w:rPr>
          <w:noProof/>
        </w:rPr>
        <w:fldChar w:fldCharType="separate"/>
      </w:r>
      <w:r w:rsidRPr="00FB441B">
        <w:rPr>
          <w:noProof/>
        </w:rPr>
        <w:instrText>0</w:instrText>
      </w:r>
      <w:r w:rsidRPr="00FB441B">
        <w:rPr>
          <w:noProof/>
        </w:rPr>
        <w:fldChar w:fldCharType="end"/>
      </w:r>
      <w:r w:rsidRPr="00FB441B">
        <w:instrText xml:space="preserve"> = 0 "" "</w:instrText>
      </w:r>
      <w:r w:rsidRPr="00FB441B">
        <w:rPr>
          <w:noProof/>
        </w:rPr>
        <w:fldChar w:fldCharType="begin"/>
      </w:r>
      <w:r w:rsidRPr="00FB441B">
        <w:rPr>
          <w:noProof/>
        </w:rPr>
        <w:instrText xml:space="preserve"> STYLEREF "Heading 1" \l \n </w:instrText>
      </w:r>
      <w:r w:rsidRPr="00FB441B">
        <w:rPr>
          <w:noProof/>
        </w:rPr>
        <w:fldChar w:fldCharType="separate"/>
      </w:r>
      <w:r w:rsidRPr="00FB441B">
        <w:rPr>
          <w:noProof/>
        </w:rPr>
        <w:instrText>2</w:instrText>
      </w:r>
      <w:r w:rsidRPr="00FB441B">
        <w:rPr>
          <w:noProof/>
        </w:rPr>
        <w:fldChar w:fldCharType="end"/>
      </w:r>
      <w:r w:rsidRPr="00FB441B">
        <w:instrText xml:space="preserve">." </w:instrText>
      </w:r>
      <w:r w:rsidRPr="00FB441B">
        <w:fldChar w:fldCharType="end"/>
      </w:r>
      <w:r w:rsidRPr="00FB441B">
        <w:instrText>" "</w:instrText>
      </w:r>
      <w:r w:rsidRPr="00FB441B">
        <w:rPr>
          <w:noProof/>
        </w:rPr>
        <w:fldChar w:fldCharType="begin"/>
      </w:r>
      <w:r w:rsidRPr="00FB441B">
        <w:rPr>
          <w:noProof/>
        </w:rPr>
        <w:instrText xml:space="preserve"> STYLEREF "Heading 6" \l \n </w:instrText>
      </w:r>
      <w:r w:rsidRPr="00FB441B">
        <w:rPr>
          <w:noProof/>
        </w:rPr>
        <w:fldChar w:fldCharType="separate"/>
      </w:r>
      <w:r w:rsidRPr="00FB441B">
        <w:rPr>
          <w:noProof/>
        </w:rPr>
        <w:instrText>G</w:instrText>
      </w:r>
      <w:r w:rsidRPr="00FB441B">
        <w:rPr>
          <w:noProof/>
        </w:rPr>
        <w:fldChar w:fldCharType="end"/>
      </w:r>
      <w:r w:rsidRPr="00FB441B">
        <w:instrText xml:space="preserve">." </w:instrText>
      </w:r>
      <w:r w:rsidRPr="00FB441B">
        <w:fldChar w:fldCharType="separate"/>
      </w:r>
      <w:r w:rsidRPr="00FB441B">
        <w:rPr>
          <w:noProof/>
        </w:rPr>
        <w:instrText>G.</w:instrText>
      </w:r>
      <w:r w:rsidRPr="00FB441B">
        <w:fldChar w:fldCharType="end"/>
      </w:r>
      <w:r w:rsidRPr="00FB441B">
        <w:fldChar w:fldCharType="begin"/>
      </w:r>
      <w:r w:rsidRPr="00FB441B">
        <w:instrText xml:space="preserve"> SEQ Item \* ARABIC \s </w:instrText>
      </w:r>
      <w:r w:rsidRPr="00FB441B">
        <w:fldChar w:fldCharType="begin"/>
      </w:r>
      <w:r w:rsidRPr="00FB441B">
        <w:instrText xml:space="preserve"> IF </w:instrText>
      </w:r>
      <w:r w:rsidRPr="00FB441B">
        <w:rPr>
          <w:noProof/>
        </w:rPr>
        <w:fldChar w:fldCharType="begin"/>
      </w:r>
      <w:r w:rsidRPr="00FB441B">
        <w:rPr>
          <w:noProof/>
        </w:rPr>
        <w:instrText xml:space="preserve"> STYLEREF "Heading 6" \l \n </w:instrText>
      </w:r>
      <w:r w:rsidRPr="00FB441B">
        <w:rPr>
          <w:noProof/>
        </w:rPr>
        <w:fldChar w:fldCharType="separate"/>
      </w:r>
      <w:r w:rsidRPr="00FB441B">
        <w:rPr>
          <w:noProof/>
        </w:rPr>
        <w:instrText>G</w:instrText>
      </w:r>
      <w:r w:rsidRPr="00FB441B">
        <w:rPr>
          <w:noProof/>
        </w:rPr>
        <w:fldChar w:fldCharType="end"/>
      </w:r>
      <w:r w:rsidRPr="00FB441B">
        <w:instrText xml:space="preserve"> = 0 "</w:instrText>
      </w:r>
      <w:r w:rsidRPr="00FB441B">
        <w:fldChar w:fldCharType="begin"/>
      </w:r>
      <w:r w:rsidRPr="00FB441B">
        <w:instrText xml:space="preserve"> IF </w:instrText>
      </w:r>
      <w:r w:rsidRPr="00FB441B">
        <w:rPr>
          <w:noProof/>
        </w:rPr>
        <w:fldChar w:fldCharType="begin"/>
      </w:r>
      <w:r w:rsidRPr="00FB441B">
        <w:rPr>
          <w:noProof/>
        </w:rPr>
        <w:instrText xml:space="preserve"> STYLEREF "Heading 1" \l \n </w:instrText>
      </w:r>
      <w:r w:rsidRPr="00FB441B">
        <w:rPr>
          <w:noProof/>
        </w:rPr>
        <w:fldChar w:fldCharType="separate"/>
      </w:r>
      <w:r w:rsidRPr="00FB441B">
        <w:rPr>
          <w:noProof/>
        </w:rPr>
        <w:instrText>0</w:instrText>
      </w:r>
      <w:r w:rsidRPr="00FB441B">
        <w:rPr>
          <w:noProof/>
        </w:rPr>
        <w:fldChar w:fldCharType="end"/>
      </w:r>
      <w:r w:rsidRPr="00FB441B">
        <w:instrText xml:space="preserve"> = 0 "" "1" </w:instrText>
      </w:r>
      <w:r w:rsidRPr="00FB441B">
        <w:fldChar w:fldCharType="end"/>
      </w:r>
      <w:r w:rsidRPr="00FB441B">
        <w:instrText xml:space="preserve">" "6" </w:instrText>
      </w:r>
      <w:r w:rsidRPr="00FB441B">
        <w:fldChar w:fldCharType="separate"/>
      </w:r>
      <w:r w:rsidRPr="00FB441B">
        <w:rPr>
          <w:noProof/>
        </w:rPr>
        <w:instrText>6</w:instrText>
      </w:r>
      <w:r w:rsidRPr="00FB441B">
        <w:fldChar w:fldCharType="end"/>
      </w:r>
      <w:r w:rsidRPr="00FB441B">
        <w:instrText xml:space="preserve"> </w:instrText>
      </w:r>
      <w:r w:rsidRPr="00FB441B">
        <w:fldChar w:fldCharType="separate"/>
      </w:r>
      <w:r w:rsidRPr="00FB441B">
        <w:rPr>
          <w:noProof/>
        </w:rPr>
        <w:instrText>6</w:instrText>
      </w:r>
      <w:r w:rsidRPr="00FB441B">
        <w:fldChar w:fldCharType="end"/>
      </w:r>
      <w:r w:rsidRPr="00FB441B">
        <w:instrText xml:space="preserve">" "" </w:instrText>
      </w:r>
      <w:r w:rsidRPr="00FB441B">
        <w:fldChar w:fldCharType="separate"/>
      </w:r>
      <w:bookmarkStart w:id="7866" w:name="_Caption2516"/>
      <w:bookmarkStart w:id="7867" w:name="_Caption9308"/>
      <w:bookmarkStart w:id="7868" w:name="_Caption4252"/>
      <w:bookmarkStart w:id="7869" w:name="_Caption8469"/>
      <w:bookmarkStart w:id="7870" w:name="_Toc44598600"/>
      <w:bookmarkStart w:id="7871" w:name="_Toc45654231"/>
      <w:r w:rsidR="00272AF3" w:rsidRPr="00FB441B">
        <w:rPr>
          <w:noProof/>
        </w:rPr>
        <w:t>G.6</w:t>
      </w:r>
      <w:bookmarkEnd w:id="7866"/>
      <w:bookmarkEnd w:id="7867"/>
      <w:bookmarkEnd w:id="7868"/>
      <w:bookmarkEnd w:id="7869"/>
      <w:r w:rsidRPr="00FB441B">
        <w:fldChar w:fldCharType="end"/>
      </w:r>
      <w:r w:rsidRPr="00FB441B">
        <w:tab/>
        <w:t>Estimated number of people in residential aged care due to needing help with mobility</w:t>
      </w:r>
      <w:bookmarkEnd w:id="7870"/>
      <w:bookmarkEnd w:id="7871"/>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G.6"/>
        <w:tblDescription w:val="Estimated number of people in residential aged care due to needing help with mobility"/>
      </w:tblPr>
      <w:tblGrid>
        <w:gridCol w:w="3686"/>
        <w:gridCol w:w="850"/>
        <w:gridCol w:w="992"/>
        <w:gridCol w:w="1205"/>
        <w:gridCol w:w="1205"/>
      </w:tblGrid>
      <w:tr w:rsidR="007C6A5F" w:rsidTr="00D051B6">
        <w:trPr>
          <w:trHeight w:val="461"/>
          <w:tblHeader/>
        </w:trPr>
        <w:tc>
          <w:tcPr>
            <w:tcW w:w="3686" w:type="dxa"/>
            <w:shd w:val="clear" w:color="auto" w:fill="6F6652" w:themeFill="accent5"/>
          </w:tcPr>
          <w:p w:rsidR="007C6A5F" w:rsidRDefault="00FB441B" w:rsidP="00C36DA4">
            <w:pPr>
              <w:pStyle w:val="TableDataColumnHeading"/>
              <w:jc w:val="left"/>
              <w:rPr>
                <w:lang w:val="en-GB"/>
              </w:rPr>
            </w:pPr>
            <w:r>
              <w:rPr>
                <w:lang w:val="en-GB"/>
              </w:rPr>
              <w:t>People without/with mobility needs</w:t>
            </w:r>
          </w:p>
        </w:tc>
        <w:tc>
          <w:tcPr>
            <w:tcW w:w="850" w:type="dxa"/>
            <w:shd w:val="clear" w:color="auto" w:fill="6F6652" w:themeFill="accent5"/>
          </w:tcPr>
          <w:p w:rsidR="007C6A5F" w:rsidRDefault="007C6A5F" w:rsidP="00C36DA4">
            <w:pPr>
              <w:pStyle w:val="TableDataColumnHeading"/>
              <w:rPr>
                <w:lang w:val="en-GB"/>
              </w:rPr>
            </w:pPr>
            <w:r>
              <w:rPr>
                <w:lang w:val="en-GB"/>
              </w:rPr>
              <w:t>Odds</w:t>
            </w:r>
          </w:p>
        </w:tc>
        <w:tc>
          <w:tcPr>
            <w:tcW w:w="992" w:type="dxa"/>
            <w:shd w:val="clear" w:color="auto" w:fill="6F6652" w:themeFill="accent5"/>
          </w:tcPr>
          <w:p w:rsidR="007C6A5F" w:rsidRDefault="007C6A5F" w:rsidP="00C36DA4">
            <w:pPr>
              <w:pStyle w:val="TableDataColumnHeading"/>
              <w:rPr>
                <w:lang w:val="en-GB"/>
              </w:rPr>
            </w:pPr>
            <w:r>
              <w:rPr>
                <w:lang w:val="en-GB"/>
              </w:rPr>
              <w:t>Probability</w:t>
            </w:r>
          </w:p>
          <w:p w:rsidR="008C121C" w:rsidRDefault="008C121C" w:rsidP="00C36DA4">
            <w:pPr>
              <w:pStyle w:val="TableDataColumnHeading"/>
              <w:rPr>
                <w:lang w:val="en-GB"/>
              </w:rPr>
            </w:pPr>
            <w:r>
              <w:rPr>
                <w:lang w:val="en-GB"/>
              </w:rPr>
              <w:t>(Per cent)</w:t>
            </w:r>
          </w:p>
        </w:tc>
        <w:tc>
          <w:tcPr>
            <w:tcW w:w="1205" w:type="dxa"/>
            <w:shd w:val="clear" w:color="auto" w:fill="6F6652" w:themeFill="accent5"/>
          </w:tcPr>
          <w:p w:rsidR="007C6A5F" w:rsidRDefault="007C6A5F" w:rsidP="00C36DA4">
            <w:pPr>
              <w:pStyle w:val="TableDataColumnHeading"/>
              <w:rPr>
                <w:lang w:val="en-GB"/>
              </w:rPr>
            </w:pPr>
            <w:r>
              <w:rPr>
                <w:lang w:val="en-GB"/>
              </w:rPr>
              <w:t>Estimated number of people</w:t>
            </w:r>
          </w:p>
          <w:p w:rsidR="008C121C" w:rsidRDefault="008C121C" w:rsidP="00C36DA4">
            <w:pPr>
              <w:pStyle w:val="TableDataColumnHeading"/>
              <w:rPr>
                <w:lang w:val="en-GB"/>
              </w:rPr>
            </w:pPr>
            <w:r>
              <w:rPr>
                <w:lang w:val="en-GB"/>
              </w:rPr>
              <w:t>(Person)</w:t>
            </w:r>
          </w:p>
        </w:tc>
        <w:tc>
          <w:tcPr>
            <w:tcW w:w="1205" w:type="dxa"/>
            <w:shd w:val="clear" w:color="auto" w:fill="6F6652" w:themeFill="accent5"/>
          </w:tcPr>
          <w:p w:rsidR="007C6A5F" w:rsidRDefault="007C6A5F" w:rsidP="00C36DA4">
            <w:pPr>
              <w:pStyle w:val="TableDataColumnHeading"/>
              <w:rPr>
                <w:lang w:val="en-GB"/>
              </w:rPr>
            </w:pPr>
            <w:r>
              <w:rPr>
                <w:lang w:val="en-GB"/>
              </w:rPr>
              <w:t>Attributable to mobility needs</w:t>
            </w:r>
          </w:p>
          <w:p w:rsidR="008C121C" w:rsidRDefault="008C121C" w:rsidP="00C36DA4">
            <w:pPr>
              <w:pStyle w:val="TableDataColumnHeading"/>
              <w:rPr>
                <w:lang w:val="en-GB"/>
              </w:rPr>
            </w:pPr>
            <w:r>
              <w:rPr>
                <w:lang w:val="en-GB"/>
              </w:rPr>
              <w:t>(Person)</w:t>
            </w:r>
          </w:p>
        </w:tc>
      </w:tr>
      <w:tr w:rsidR="007C6A5F" w:rsidTr="00FB441B">
        <w:trPr>
          <w:trHeight w:val="230"/>
        </w:trPr>
        <w:tc>
          <w:tcPr>
            <w:tcW w:w="3686"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Baseline (people without mobility needs)</w:t>
            </w:r>
          </w:p>
        </w:tc>
        <w:tc>
          <w:tcPr>
            <w:tcW w:w="85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0.0096</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0.9490</w:t>
            </w:r>
          </w:p>
        </w:tc>
        <w:tc>
          <w:tcPr>
            <w:tcW w:w="12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2 521</w:t>
            </w:r>
          </w:p>
        </w:tc>
        <w:tc>
          <w:tcPr>
            <w:tcW w:w="12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n.a. </w:t>
            </w:r>
          </w:p>
        </w:tc>
      </w:tr>
      <w:tr w:rsidR="007C6A5F" w:rsidTr="00FB441B">
        <w:trPr>
          <w:trHeight w:val="230"/>
        </w:trPr>
        <w:tc>
          <w:tcPr>
            <w:tcW w:w="3686" w:type="dxa"/>
            <w:tcBorders>
              <w:top w:val="single" w:sz="8" w:space="0" w:color="FFFFFF" w:themeColor="background1"/>
              <w:bottom w:val="single" w:sz="8" w:space="0" w:color="FFFFFF" w:themeColor="background1"/>
            </w:tcBorders>
            <w:shd w:val="clear" w:color="auto" w:fill="E9E8E5" w:themeFill="background2"/>
          </w:tcPr>
          <w:p w:rsidR="007C6A5F" w:rsidRDefault="00FB441B" w:rsidP="00C36DA4">
            <w:pPr>
              <w:pStyle w:val="TableDataEntries"/>
              <w:jc w:val="left"/>
              <w:rPr>
                <w:lang w:val="en-GB"/>
              </w:rPr>
            </w:pPr>
            <w:r>
              <w:rPr>
                <w:lang w:val="en-GB"/>
              </w:rPr>
              <w:t xml:space="preserve">People with mobility needs: </w:t>
            </w:r>
            <w:r w:rsidR="007C6A5F">
              <w:rPr>
                <w:lang w:val="en-GB"/>
              </w:rPr>
              <w:t>Lower bound estimate</w:t>
            </w:r>
          </w:p>
        </w:tc>
        <w:tc>
          <w:tcPr>
            <w:tcW w:w="85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0.0199</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1.9501</w:t>
            </w:r>
          </w:p>
        </w:tc>
        <w:tc>
          <w:tcPr>
            <w:tcW w:w="12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5 182</w:t>
            </w:r>
          </w:p>
        </w:tc>
        <w:tc>
          <w:tcPr>
            <w:tcW w:w="1205" w:type="dxa"/>
            <w:tcBorders>
              <w:top w:val="single" w:sz="8" w:space="0" w:color="FFFFFF" w:themeColor="background1"/>
              <w:bottom w:val="single" w:sz="8" w:space="0" w:color="FFFFFF" w:themeColor="background1"/>
            </w:tcBorders>
            <w:shd w:val="clear" w:color="auto" w:fill="C2DADB" w:themeFill="accent6" w:themeFillTint="99"/>
          </w:tcPr>
          <w:p w:rsidR="007C6A5F" w:rsidRPr="006154F2" w:rsidRDefault="007C6A5F" w:rsidP="00C36DA4">
            <w:pPr>
              <w:pStyle w:val="TableDataEntries"/>
              <w:rPr>
                <w:rFonts w:ascii="Franklin Gothic Demi" w:hAnsi="Franklin Gothic Demi"/>
                <w:lang w:val="en-GB"/>
              </w:rPr>
            </w:pPr>
            <w:r w:rsidRPr="006154F2">
              <w:rPr>
                <w:rFonts w:ascii="Franklin Gothic Demi" w:hAnsi="Franklin Gothic Demi"/>
              </w:rPr>
              <w:t>2 660</w:t>
            </w:r>
          </w:p>
        </w:tc>
      </w:tr>
      <w:tr w:rsidR="007C6A5F" w:rsidTr="00FB441B">
        <w:trPr>
          <w:trHeight w:val="230"/>
        </w:trPr>
        <w:tc>
          <w:tcPr>
            <w:tcW w:w="3686" w:type="dxa"/>
            <w:tcBorders>
              <w:top w:val="single" w:sz="8" w:space="0" w:color="FFFFFF" w:themeColor="background1"/>
              <w:bottom w:val="single" w:sz="8" w:space="0" w:color="FFFFFF" w:themeColor="background1"/>
            </w:tcBorders>
            <w:shd w:val="clear" w:color="auto" w:fill="E9E8E5" w:themeFill="background2"/>
          </w:tcPr>
          <w:p w:rsidR="007C6A5F" w:rsidRDefault="00FB441B" w:rsidP="00C36DA4">
            <w:pPr>
              <w:pStyle w:val="TableDataEntries"/>
              <w:jc w:val="left"/>
              <w:rPr>
                <w:lang w:val="en-GB"/>
              </w:rPr>
            </w:pPr>
            <w:r>
              <w:rPr>
                <w:lang w:val="en-GB"/>
              </w:rPr>
              <w:t xml:space="preserve">People with mobility needs: </w:t>
            </w:r>
            <w:r w:rsidR="007C6A5F">
              <w:rPr>
                <w:lang w:val="en-GB"/>
              </w:rPr>
              <w:t>Central case</w:t>
            </w:r>
          </w:p>
        </w:tc>
        <w:tc>
          <w:tcPr>
            <w:tcW w:w="85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0.0257</w:t>
            </w:r>
          </w:p>
        </w:tc>
        <w:tc>
          <w:tcPr>
            <w:tcW w:w="99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 xml:space="preserve"> 2.5070</w:t>
            </w:r>
          </w:p>
        </w:tc>
        <w:tc>
          <w:tcPr>
            <w:tcW w:w="120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t>6 661</w:t>
            </w:r>
          </w:p>
        </w:tc>
        <w:tc>
          <w:tcPr>
            <w:tcW w:w="1205" w:type="dxa"/>
            <w:tcBorders>
              <w:top w:val="single" w:sz="8" w:space="0" w:color="FFFFFF" w:themeColor="background1"/>
              <w:bottom w:val="single" w:sz="8" w:space="0" w:color="FFFFFF" w:themeColor="background1"/>
            </w:tcBorders>
            <w:shd w:val="clear" w:color="auto" w:fill="C2DADB" w:themeFill="accent6" w:themeFillTint="99"/>
          </w:tcPr>
          <w:p w:rsidR="007C6A5F" w:rsidRPr="006154F2" w:rsidRDefault="007C6A5F" w:rsidP="00C36DA4">
            <w:pPr>
              <w:pStyle w:val="TableDataEntries"/>
              <w:rPr>
                <w:rFonts w:ascii="Franklin Gothic Demi" w:hAnsi="Franklin Gothic Demi"/>
                <w:lang w:val="en-GB"/>
              </w:rPr>
            </w:pPr>
            <w:r w:rsidRPr="006154F2">
              <w:rPr>
                <w:rFonts w:ascii="Franklin Gothic Demi" w:hAnsi="Franklin Gothic Demi"/>
              </w:rPr>
              <w:t>4 140</w:t>
            </w:r>
          </w:p>
        </w:tc>
      </w:tr>
      <w:tr w:rsidR="007C6A5F" w:rsidTr="00FB441B">
        <w:trPr>
          <w:trHeight w:val="230"/>
        </w:trPr>
        <w:tc>
          <w:tcPr>
            <w:tcW w:w="3686" w:type="dxa"/>
            <w:tcBorders>
              <w:top w:val="single" w:sz="8" w:space="0" w:color="FFFFFF" w:themeColor="background1"/>
              <w:bottom w:val="single" w:sz="4" w:space="0" w:color="6F6652" w:themeColor="accent5"/>
            </w:tcBorders>
            <w:shd w:val="clear" w:color="auto" w:fill="E9E8E5" w:themeFill="background2"/>
          </w:tcPr>
          <w:p w:rsidR="007C6A5F" w:rsidRDefault="00FB441B" w:rsidP="00C36DA4">
            <w:pPr>
              <w:pStyle w:val="TableDataEntries"/>
              <w:jc w:val="left"/>
              <w:rPr>
                <w:lang w:val="en-GB"/>
              </w:rPr>
            </w:pPr>
            <w:r>
              <w:rPr>
                <w:lang w:val="en-GB"/>
              </w:rPr>
              <w:t xml:space="preserve">People with mobility needs: </w:t>
            </w:r>
            <w:r w:rsidR="007C6A5F">
              <w:rPr>
                <w:lang w:val="en-GB"/>
              </w:rPr>
              <w:t>Upper bound estimate</w:t>
            </w:r>
          </w:p>
        </w:tc>
        <w:tc>
          <w:tcPr>
            <w:tcW w:w="850"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t xml:space="preserve"> 0.0332</w:t>
            </w:r>
          </w:p>
        </w:tc>
        <w:tc>
          <w:tcPr>
            <w:tcW w:w="992"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t xml:space="preserve"> 3.2157</w:t>
            </w:r>
          </w:p>
        </w:tc>
        <w:tc>
          <w:tcPr>
            <w:tcW w:w="1205"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t>8 544</w:t>
            </w:r>
          </w:p>
        </w:tc>
        <w:tc>
          <w:tcPr>
            <w:tcW w:w="1205" w:type="dxa"/>
            <w:tcBorders>
              <w:top w:val="single" w:sz="8" w:space="0" w:color="FFFFFF" w:themeColor="background1"/>
              <w:bottom w:val="single" w:sz="4" w:space="0" w:color="6F6652" w:themeColor="accent5"/>
            </w:tcBorders>
            <w:shd w:val="clear" w:color="auto" w:fill="C2DADB" w:themeFill="accent6" w:themeFillTint="99"/>
          </w:tcPr>
          <w:p w:rsidR="007C6A5F" w:rsidRPr="006154F2" w:rsidRDefault="007C6A5F" w:rsidP="00C36DA4">
            <w:pPr>
              <w:pStyle w:val="TableDataEntries"/>
              <w:rPr>
                <w:rFonts w:ascii="Franklin Gothic Demi" w:hAnsi="Franklin Gothic Demi"/>
                <w:lang w:val="en-GB"/>
              </w:rPr>
            </w:pPr>
            <w:r w:rsidRPr="006154F2">
              <w:rPr>
                <w:rFonts w:ascii="Franklin Gothic Demi" w:hAnsi="Franklin Gothic Demi"/>
              </w:rPr>
              <w:t>6 023</w:t>
            </w:r>
          </w:p>
        </w:tc>
      </w:tr>
    </w:tbl>
    <w:p w:rsidR="007C6A5F" w:rsidRDefault="007C6A5F" w:rsidP="007C6A5F">
      <w:pPr>
        <w:pStyle w:val="Source"/>
        <w:rPr>
          <w:lang w:bidi="fa-IR"/>
        </w:rPr>
      </w:pPr>
      <w:r w:rsidRPr="00D13B75">
        <w:rPr>
          <w:i/>
          <w:lang w:bidi="fa-IR"/>
        </w:rPr>
        <w:t>Source:</w:t>
      </w:r>
      <w:r>
        <w:rPr>
          <w:lang w:bidi="fa-IR"/>
        </w:rPr>
        <w:t xml:space="preserve"> CIE estimates</w:t>
      </w:r>
    </w:p>
    <w:p w:rsidR="007C6A5F" w:rsidRDefault="007C6A5F" w:rsidP="007C6A5F">
      <w:pPr>
        <w:pStyle w:val="KeyPoint"/>
        <w:rPr>
          <w:lang w:bidi="fa-IR"/>
        </w:rPr>
      </w:pPr>
      <w:r>
        <w:rPr>
          <w:lang w:bidi="fa-IR"/>
        </w:rPr>
        <w:t>Many people who need help moving around their place of residence can remain at home if their home has the necessary accessibility features. One possible interpretation of the fact that some people are estimated to be in residential aged care as a direct result of their need for assistance moving around their home is that this is due to their residence lacking relevant accessibility features.</w:t>
      </w:r>
    </w:p>
    <w:p w:rsidR="007C6A5F" w:rsidRDefault="007C6A5F" w:rsidP="007C6A5F">
      <w:pPr>
        <w:pStyle w:val="KeyPoint"/>
        <w:rPr>
          <w:lang w:bidi="fa-IR"/>
        </w:rPr>
      </w:pPr>
      <w:r>
        <w:rPr>
          <w:lang w:bidi="fa-IR"/>
        </w:rPr>
        <w:t>Under this interpretation, the additional people that are in residential aged care as a result of their need for help moving around their place of residence can be attributed to a lack of accessible housing.</w:t>
      </w:r>
    </w:p>
    <w:p w:rsidR="007C6A5F" w:rsidRDefault="007C6A5F" w:rsidP="007C6A5F">
      <w:pPr>
        <w:pStyle w:val="KeyPoint"/>
        <w:rPr>
          <w:lang w:bidi="fa-IR"/>
        </w:rPr>
      </w:pPr>
      <w:r>
        <w:rPr>
          <w:lang w:bidi="fa-IR"/>
        </w:rPr>
        <w:t>This implies that between 2660 and 6023 additional people — with a central case estimate of 4140 additional people — are in residential aged care as a result of inaccessible housing.</w:t>
      </w:r>
    </w:p>
    <w:p w:rsidR="007C6A5F" w:rsidRDefault="007C6A5F" w:rsidP="007C6A5F">
      <w:pPr>
        <w:pStyle w:val="Heading8"/>
        <w:numPr>
          <w:ilvl w:val="7"/>
          <w:numId w:val="5"/>
        </w:numPr>
        <w:rPr>
          <w:lang w:bidi="fa-IR"/>
        </w:rPr>
      </w:pPr>
      <w:r>
        <w:rPr>
          <w:lang w:bidi="fa-IR"/>
        </w:rPr>
        <w:t>Younger people in residential aged care</w:t>
      </w:r>
    </w:p>
    <w:p w:rsidR="007C6A5F" w:rsidRDefault="007C6A5F" w:rsidP="007C6A5F">
      <w:pPr>
        <w:pStyle w:val="BodyText"/>
        <w:rPr>
          <w:lang w:bidi="fa-IR"/>
        </w:rPr>
      </w:pPr>
      <w:r>
        <w:rPr>
          <w:lang w:bidi="fa-IR"/>
        </w:rPr>
        <w:t>According to the COAG Disability Reform Council Quarterly report there were 5468 people under the age of 65 living in residential aged care in the December quarter 2019. Some stakeholders argue it is inappropriate for anyone under the age of 65 to be in residential aged care. According to the Royal Commission into the Quality and Safety of Aged Care:</w:t>
      </w:r>
    </w:p>
    <w:p w:rsidR="007C6A5F" w:rsidRDefault="007C6A5F" w:rsidP="007C6A5F">
      <w:pPr>
        <w:pStyle w:val="Quote"/>
        <w:rPr>
          <w:lang w:bidi="fa-IR"/>
        </w:rPr>
      </w:pPr>
      <w:r>
        <w:rPr>
          <w:lang w:bidi="fa-IR"/>
        </w:rPr>
        <w:lastRenderedPageBreak/>
        <w:t>“For younger people with disability, their friends stop dropping by and rarely visit over time. It is an isolating and daunting experience. It is not a life.”</w:t>
      </w:r>
      <w:r>
        <w:rPr>
          <w:rStyle w:val="FootnoteReference"/>
          <w:lang w:bidi="fa-IR"/>
        </w:rPr>
        <w:footnoteReference w:id="101"/>
      </w:r>
    </w:p>
    <w:p w:rsidR="007C6A5F" w:rsidRDefault="007C6A5F" w:rsidP="007C6A5F">
      <w:pPr>
        <w:pStyle w:val="BodyText"/>
        <w:rPr>
          <w:lang w:bidi="fa-IR"/>
        </w:rPr>
      </w:pPr>
      <w:r>
        <w:rPr>
          <w:lang w:bidi="fa-IR"/>
        </w:rPr>
        <w:t>Minimising the number of younger people in residential aged care, is an important focus of the Australian Government.</w:t>
      </w:r>
      <w:r>
        <w:rPr>
          <w:rStyle w:val="FootnoteReference"/>
          <w:lang w:bidi="fa-IR"/>
        </w:rPr>
        <w:footnoteReference w:id="102"/>
      </w:r>
      <w:r>
        <w:rPr>
          <w:lang w:bidi="fa-IR"/>
        </w:rPr>
        <w:t xml:space="preserve"> In March 2019, the Government announced it had developed a national action plan that included a target of halving the number of younger people under the age of 65 entering aged care by 2025. A new strategy to support this target is currently being finalised.</w:t>
      </w:r>
      <w:r>
        <w:rPr>
          <w:rStyle w:val="FootnoteReference"/>
          <w:lang w:bidi="fa-IR"/>
        </w:rPr>
        <w:footnoteReference w:id="103"/>
      </w:r>
      <w:r>
        <w:rPr>
          <w:lang w:bidi="fa-IR"/>
        </w:rPr>
        <w:t xml:space="preserve"> </w:t>
      </w:r>
    </w:p>
    <w:p w:rsidR="007C6A5F" w:rsidRPr="00317781" w:rsidRDefault="007C6A5F" w:rsidP="007C6A5F">
      <w:pPr>
        <w:pStyle w:val="BodyText"/>
        <w:rPr>
          <w:lang w:bidi="fa-IR"/>
        </w:rPr>
      </w:pPr>
      <w:r>
        <w:rPr>
          <w:lang w:bidi="fa-IR"/>
        </w:rPr>
        <w:t>The number of people under the age of 65 in residential aged care (and new entrants under the age of 65) has been de</w:t>
      </w:r>
      <w:r w:rsidRPr="00317781">
        <w:rPr>
          <w:lang w:bidi="fa-IR"/>
        </w:rPr>
        <w:t>clining over recent years as the number of NDIS participants has increased (chart G.7).</w:t>
      </w:r>
      <w:r w:rsidRPr="00317781">
        <w:rPr>
          <w:rStyle w:val="FootnoteReference"/>
          <w:lang w:bidi="fa-IR"/>
        </w:rPr>
        <w:footnoteReference w:id="104"/>
      </w:r>
    </w:p>
    <w:p w:rsidR="007C6A5F" w:rsidRDefault="007C6A5F" w:rsidP="005A6F87">
      <w:pPr>
        <w:pStyle w:val="ListBullet"/>
        <w:numPr>
          <w:ilvl w:val="0"/>
          <w:numId w:val="17"/>
        </w:numPr>
        <w:rPr>
          <w:lang w:bidi="fa-IR"/>
        </w:rPr>
      </w:pPr>
      <w:r w:rsidRPr="00317781">
        <w:rPr>
          <w:lang w:bidi="fa-IR"/>
        </w:rPr>
        <w:t>The number of residents under the</w:t>
      </w:r>
      <w:r>
        <w:rPr>
          <w:lang w:bidi="fa-IR"/>
        </w:rPr>
        <w:t xml:space="preserve"> age of 65 has decreased from 6243 at 31 March 2017 to 5468 at 30 September 2019, a 12 per cent decrease.</w:t>
      </w:r>
    </w:p>
    <w:p w:rsidR="007C6A5F" w:rsidRDefault="007C6A5F" w:rsidP="005A6F87">
      <w:pPr>
        <w:pStyle w:val="ListBullet"/>
        <w:numPr>
          <w:ilvl w:val="0"/>
          <w:numId w:val="17"/>
        </w:numPr>
        <w:rPr>
          <w:lang w:bidi="fa-IR"/>
        </w:rPr>
      </w:pPr>
      <w:r>
        <w:rPr>
          <w:lang w:bidi="fa-IR"/>
        </w:rPr>
        <w:t>The number of new entrants into residential aged care under the age of 65 has decreased from 536 in the June quarter 2017 to 386 in the September quarter 2019, a decrease of around 28 per cent.</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G</w:instrText>
      </w:r>
      <w:r>
        <w:rPr>
          <w:noProof/>
        </w:rPr>
        <w:fldChar w:fldCharType="end"/>
      </w:r>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w:instrText>
      </w:r>
      <w:r w:rsidRPr="00695C93">
        <w:fldChar w:fldCharType="separate"/>
      </w:r>
      <w:r>
        <w:rPr>
          <w:b/>
          <w:bCs/>
          <w:noProof/>
          <w:lang w:val="en-US"/>
        </w:rPr>
        <w:instrText>Error! No text of specified style in document.</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G</w:instrText>
      </w:r>
      <w:r>
        <w:rPr>
          <w:noProof/>
        </w:rPr>
        <w:fldChar w:fldCharType="end"/>
      </w:r>
      <w:r w:rsidRPr="00695C93">
        <w:instrText xml:space="preserve">." </w:instrText>
      </w:r>
      <w:r w:rsidRPr="00695C93">
        <w:fldChar w:fldCharType="separate"/>
      </w:r>
      <w:r>
        <w:rPr>
          <w:noProof/>
        </w:rPr>
        <w:instrText>G</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G</w:instrText>
      </w:r>
      <w:r>
        <w:rPr>
          <w:noProof/>
        </w:rPr>
        <w:fldChar w:fldCharType="end"/>
      </w:r>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7</w:instrText>
      </w:r>
      <w:r w:rsidRPr="00695C93">
        <w:fldChar w:fldCharType="end"/>
      </w:r>
      <w:r w:rsidRPr="00695C93">
        <w:instrText xml:space="preserve">" "" </w:instrText>
      </w:r>
      <w:r w:rsidRPr="00695C93">
        <w:fldChar w:fldCharType="separate"/>
      </w:r>
      <w:bookmarkStart w:id="7872" w:name="_Caption4480"/>
      <w:bookmarkStart w:id="7873" w:name="_Caption2063"/>
      <w:bookmarkStart w:id="7874" w:name="_Caption9391"/>
      <w:bookmarkStart w:id="7875" w:name="_Caption8416"/>
      <w:bookmarkStart w:id="7876" w:name="_Toc44598601"/>
      <w:bookmarkStart w:id="7877" w:name="_Toc45654232"/>
      <w:r w:rsidR="00272AF3">
        <w:rPr>
          <w:noProof/>
        </w:rPr>
        <w:t>G</w:t>
      </w:r>
      <w:r w:rsidR="00272AF3" w:rsidRPr="00695C93">
        <w:rPr>
          <w:noProof/>
        </w:rPr>
        <w:t>.</w:t>
      </w:r>
      <w:r w:rsidR="00272AF3">
        <w:rPr>
          <w:noProof/>
        </w:rPr>
        <w:t>7</w:t>
      </w:r>
      <w:bookmarkEnd w:id="7872"/>
      <w:bookmarkEnd w:id="7873"/>
      <w:bookmarkEnd w:id="7874"/>
      <w:bookmarkEnd w:id="7875"/>
      <w:r w:rsidRPr="00695C93">
        <w:fldChar w:fldCharType="end"/>
      </w:r>
      <w:r w:rsidRPr="00695C93">
        <w:tab/>
      </w:r>
      <w:r>
        <w:t>Number of people under the age of 65 in residential aged care</w:t>
      </w:r>
      <w:bookmarkEnd w:id="7876"/>
      <w:bookmarkEnd w:id="7877"/>
    </w:p>
    <w:p w:rsidR="007C6A5F" w:rsidRDefault="007C6A5F" w:rsidP="007C6A5F">
      <w:pPr>
        <w:pStyle w:val="Subtitlebox"/>
      </w:pPr>
      <w:r w:rsidRPr="00D42FD6">
        <w:rPr>
          <w:noProof/>
        </w:rPr>
        <w:drawing>
          <wp:inline distT="0" distB="0" distL="0" distR="0" wp14:anchorId="1896B1EF" wp14:editId="44CBBD4F">
            <wp:extent cx="5040000" cy="2501058"/>
            <wp:effectExtent l="57150" t="57150" r="65405" b="52070"/>
            <wp:docPr id="5" name="Picture 5" descr="Chart G.7 - Number of people under the age of 65 in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2797"/>
                    <a:stretch/>
                  </pic:blipFill>
                  <pic:spPr bwMode="auto">
                    <a:xfrm>
                      <a:off x="0" y="0"/>
                      <a:ext cx="5040000" cy="2501058"/>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rsidR="007C6A5F" w:rsidRDefault="007C6A5F" w:rsidP="007C6A5F">
      <w:pPr>
        <w:pStyle w:val="Source"/>
      </w:pPr>
      <w:r>
        <w:rPr>
          <w:i/>
        </w:rPr>
        <w:t>Data source</w:t>
      </w:r>
      <w:r w:rsidRPr="00A67576">
        <w:rPr>
          <w:i/>
        </w:rPr>
        <w:t>:</w:t>
      </w:r>
      <w:r>
        <w:t xml:space="preserve"> </w:t>
      </w:r>
      <w:r>
        <w:rPr>
          <w:lang w:val="en-US"/>
        </w:rPr>
        <w:t>COAG Disability Reform Council Quarterly Report, December 2019, pp. 26</w:t>
      </w:r>
      <w:r>
        <w:rPr>
          <w:lang w:val="en-US"/>
        </w:rPr>
        <w:noBreakHyphen/>
        <w:t>27.</w:t>
      </w:r>
    </w:p>
    <w:p w:rsidR="007C6A5F" w:rsidRDefault="007C6A5F" w:rsidP="007C6A5F">
      <w:pPr>
        <w:pStyle w:val="BodyText"/>
      </w:pPr>
      <w:r>
        <w:t>The national action plan notes that younger people with disability often have complex health needs and identifies the following reasons why younger people are living in aged care facilities:</w:t>
      </w:r>
    </w:p>
    <w:p w:rsidR="007C6A5F" w:rsidRDefault="007C6A5F" w:rsidP="005A6F87">
      <w:pPr>
        <w:pStyle w:val="ListBullet"/>
        <w:numPr>
          <w:ilvl w:val="0"/>
          <w:numId w:val="17"/>
        </w:numPr>
      </w:pPr>
      <w:r>
        <w:lastRenderedPageBreak/>
        <w:t>difficulty in accessing appropriate health supports in other settings</w:t>
      </w:r>
    </w:p>
    <w:p w:rsidR="007C6A5F" w:rsidRDefault="007C6A5F" w:rsidP="005A6F87">
      <w:pPr>
        <w:pStyle w:val="ListBullet"/>
        <w:numPr>
          <w:ilvl w:val="0"/>
          <w:numId w:val="17"/>
        </w:numPr>
      </w:pPr>
      <w:r>
        <w:t xml:space="preserve">the lack of suitable housing </w:t>
      </w:r>
      <w:r>
        <w:noBreakHyphen/>
        <w:t xml:space="preserve"> the national action plan identifies a significant gap in the market for highly specialised disability accommodation.</w:t>
      </w:r>
    </w:p>
    <w:p w:rsidR="007C6A5F" w:rsidRDefault="007C6A5F" w:rsidP="007C6A5F">
      <w:pPr>
        <w:pStyle w:val="BodyText"/>
      </w:pPr>
      <w:r>
        <w:t>The national action plan also notes:</w:t>
      </w:r>
    </w:p>
    <w:p w:rsidR="007C6A5F" w:rsidRDefault="007C6A5F" w:rsidP="007C6A5F">
      <w:pPr>
        <w:pStyle w:val="Quote"/>
      </w:pPr>
      <w:r>
        <w:t>“Younger people with a disability have been directed to aged care due to a lack of suitable alternative housing and supports. One support that may accommodate the needs of younger people in aged care is SDA…[However, there] is currently a shortfall in the availability of SDA for younger people who require this level of support. The SDA market is not yet mature, with limited supply, lack of demand data for potential investors, and significant lead-time required for construction of new stock.”</w:t>
      </w:r>
      <w:r>
        <w:rPr>
          <w:rStyle w:val="FootnoteReference"/>
        </w:rPr>
        <w:footnoteReference w:id="105"/>
      </w:r>
    </w:p>
    <w:p w:rsidR="007C6A5F" w:rsidRDefault="007C6A5F" w:rsidP="007C6A5F">
      <w:pPr>
        <w:pStyle w:val="BodyText"/>
      </w:pPr>
      <w:r>
        <w:t xml:space="preserve">Key elements of the national action plan </w:t>
      </w:r>
      <w:r w:rsidR="001D3863">
        <w:t>are</w:t>
      </w:r>
      <w:r>
        <w:t xml:space="preserve"> therefore to:</w:t>
      </w:r>
    </w:p>
    <w:p w:rsidR="007C6A5F" w:rsidRDefault="007C6A5F" w:rsidP="005A6F87">
      <w:pPr>
        <w:pStyle w:val="ListBullet"/>
        <w:numPr>
          <w:ilvl w:val="0"/>
          <w:numId w:val="17"/>
        </w:numPr>
      </w:pPr>
      <w:r>
        <w:t>improve the ability of younger NDIS participants in aged care to access SDA; and</w:t>
      </w:r>
    </w:p>
    <w:p w:rsidR="007C6A5F" w:rsidRDefault="007C6A5F" w:rsidP="005A6F87">
      <w:pPr>
        <w:pStyle w:val="ListBullet"/>
        <w:numPr>
          <w:ilvl w:val="0"/>
          <w:numId w:val="17"/>
        </w:numPr>
      </w:pPr>
      <w:r>
        <w:t>to encourage the development of a vibrant SDA market.</w:t>
      </w:r>
    </w:p>
    <w:p w:rsidR="007C6A5F" w:rsidRDefault="007C6A5F" w:rsidP="007C6A5F">
      <w:pPr>
        <w:pStyle w:val="BodyText"/>
        <w:rPr>
          <w:lang w:eastAsia="en-US" w:bidi="fa-IR"/>
        </w:rPr>
      </w:pPr>
      <w:r>
        <w:rPr>
          <w:lang w:eastAsia="en-US" w:bidi="fa-IR"/>
        </w:rPr>
        <w:t>It is therefore reasonable to expect that the number of younger people in residential aged care will decline</w:t>
      </w:r>
      <w:r w:rsidRPr="009D69CA">
        <w:rPr>
          <w:lang w:eastAsia="en-US" w:bidi="fa-IR"/>
        </w:rPr>
        <w:t xml:space="preserve"> </w:t>
      </w:r>
      <w:r>
        <w:rPr>
          <w:lang w:eastAsia="en-US" w:bidi="fa-IR"/>
        </w:rPr>
        <w:t>as the SDA market develops.</w:t>
      </w:r>
    </w:p>
    <w:p w:rsidR="007C6A5F" w:rsidRDefault="007C6A5F" w:rsidP="007C6A5F">
      <w:pPr>
        <w:pStyle w:val="KeyPoint"/>
        <w:rPr>
          <w:lang w:bidi="fa-IR"/>
        </w:rPr>
      </w:pPr>
      <w:r>
        <w:rPr>
          <w:lang w:bidi="fa-IR"/>
        </w:rPr>
        <w:t>There are no data specifically on the number of younger people in residential aged care that would have been able to remain living in the community if more private (non SDA) accessible housing were available.</w:t>
      </w:r>
    </w:p>
    <w:p w:rsidR="007C6A5F" w:rsidRDefault="007C6A5F" w:rsidP="007C6A5F">
      <w:pPr>
        <w:pStyle w:val="KeyPoint"/>
        <w:rPr>
          <w:lang w:bidi="fa-IR"/>
        </w:rPr>
      </w:pPr>
      <w:r>
        <w:rPr>
          <w:lang w:bidi="fa-IR"/>
        </w:rPr>
        <w:t>In the absence of better information, we assume similar shares as for older people, implied by the modelling studies outlined above. Under this assumption, between 1.95 per cent and 3.22 per cent of younger people in residential aged care may have been able to live in the community if more accessible housing were available, with a central case estimate of 2.51 per cent.</w:t>
      </w:r>
    </w:p>
    <w:p w:rsidR="007C6A5F" w:rsidRDefault="007C6A5F" w:rsidP="007C6A5F">
      <w:pPr>
        <w:pStyle w:val="KeyPoint"/>
        <w:rPr>
          <w:lang w:bidi="fa-IR"/>
        </w:rPr>
      </w:pPr>
      <w:r>
        <w:rPr>
          <w:lang w:bidi="fa-IR"/>
        </w:rPr>
        <w:t>Based on 5468 younger Australians currently in residential aged care (as at September 2019) this implies between 107 and 176 of these people may have been able to live in the community if more accessible housing were available, with a central case estimate of 137.</w:t>
      </w:r>
    </w:p>
    <w:p w:rsidR="007C6A5F" w:rsidRDefault="007C6A5F" w:rsidP="007C6A5F">
      <w:pPr>
        <w:pStyle w:val="Heading7"/>
        <w:numPr>
          <w:ilvl w:val="6"/>
          <w:numId w:val="5"/>
        </w:numPr>
        <w:rPr>
          <w:lang w:bidi="fa-IR"/>
        </w:rPr>
      </w:pPr>
      <w:r>
        <w:rPr>
          <w:lang w:bidi="fa-IR"/>
        </w:rPr>
        <w:t>Impact of inappropriate or premature entry into aged care</w:t>
      </w:r>
    </w:p>
    <w:p w:rsidR="007C6A5F" w:rsidRDefault="007C6A5F" w:rsidP="007C6A5F">
      <w:pPr>
        <w:pStyle w:val="BodyText"/>
        <w:rPr>
          <w:lang w:bidi="fa-IR"/>
        </w:rPr>
      </w:pPr>
      <w:r>
        <w:rPr>
          <w:lang w:bidi="fa-IR"/>
        </w:rPr>
        <w:t>The impact of inappropriate or premature or inappropriate entry into aged care incudes:</w:t>
      </w:r>
    </w:p>
    <w:p w:rsidR="007C6A5F" w:rsidRDefault="007C6A5F" w:rsidP="005A6F87">
      <w:pPr>
        <w:pStyle w:val="ListBullet"/>
        <w:numPr>
          <w:ilvl w:val="0"/>
          <w:numId w:val="17"/>
        </w:numPr>
        <w:rPr>
          <w:lang w:bidi="fa-IR"/>
        </w:rPr>
      </w:pPr>
      <w:r>
        <w:rPr>
          <w:lang w:bidi="fa-IR"/>
        </w:rPr>
        <w:t>reduced wellbeing for those people inappropriately or prematurely entering aged care</w:t>
      </w:r>
    </w:p>
    <w:p w:rsidR="007C6A5F" w:rsidRPr="009B51D7" w:rsidRDefault="007C6A5F" w:rsidP="005A6F87">
      <w:pPr>
        <w:pStyle w:val="ListBullet"/>
        <w:numPr>
          <w:ilvl w:val="0"/>
          <w:numId w:val="17"/>
        </w:numPr>
        <w:rPr>
          <w:lang w:bidi="fa-IR"/>
        </w:rPr>
      </w:pPr>
      <w:r>
        <w:rPr>
          <w:lang w:bidi="fa-IR"/>
        </w:rPr>
        <w:t>additional financial costs associated with residential aged care (relative to other care models).</w:t>
      </w:r>
    </w:p>
    <w:p w:rsidR="007C6A5F" w:rsidRPr="009B51D7" w:rsidRDefault="007C6A5F" w:rsidP="007C6A5F">
      <w:pPr>
        <w:pStyle w:val="Heading8"/>
        <w:numPr>
          <w:ilvl w:val="7"/>
          <w:numId w:val="5"/>
        </w:numPr>
        <w:rPr>
          <w:lang w:bidi="fa-IR"/>
        </w:rPr>
      </w:pPr>
      <w:r>
        <w:rPr>
          <w:lang w:bidi="fa-IR"/>
        </w:rPr>
        <w:t>Reduced wellbeing for premature or inappropriate entrants</w:t>
      </w:r>
    </w:p>
    <w:p w:rsidR="007C6A5F" w:rsidRDefault="007C6A5F" w:rsidP="007C6A5F">
      <w:pPr>
        <w:pStyle w:val="BodyText"/>
        <w:rPr>
          <w:lang w:bidi="fa-IR"/>
        </w:rPr>
      </w:pPr>
      <w:r>
        <w:rPr>
          <w:lang w:bidi="fa-IR"/>
        </w:rPr>
        <w:t>As noted above, residential aged care is not the preferred outcome for many older Australians (as well as younger people that are admitted to residential aged care).</w:t>
      </w:r>
    </w:p>
    <w:p w:rsidR="007C6A5F" w:rsidRDefault="007C6A5F" w:rsidP="007C6A5F">
      <w:pPr>
        <w:pStyle w:val="BodyText"/>
        <w:rPr>
          <w:lang w:bidi="fa-IR"/>
        </w:rPr>
      </w:pPr>
      <w:r>
        <w:rPr>
          <w:lang w:bidi="fa-IR"/>
        </w:rPr>
        <w:lastRenderedPageBreak/>
        <w:t>The ongoing Royal Commission into Aged Care Quality and Safety (see box </w:t>
      </w:r>
      <w:r>
        <w:rPr>
          <w:lang w:bidi="fa-IR"/>
        </w:rPr>
        <w:fldChar w:fldCharType="begin"/>
      </w:r>
      <w:r>
        <w:rPr>
          <w:lang w:bidi="fa-IR"/>
        </w:rPr>
        <w:instrText xml:space="preserve"> REF _Caption9724 </w:instrText>
      </w:r>
      <w:r>
        <w:rPr>
          <w:lang w:bidi="fa-IR"/>
        </w:rPr>
        <w:fldChar w:fldCharType="separate"/>
      </w:r>
      <w:r>
        <w:rPr>
          <w:noProof/>
        </w:rPr>
        <w:t>G</w:t>
      </w:r>
      <w:r w:rsidRPr="00E05C8C">
        <w:rPr>
          <w:noProof/>
        </w:rPr>
        <w:t>.</w:t>
      </w:r>
      <w:r>
        <w:rPr>
          <w:noProof/>
        </w:rPr>
        <w:t>8</w:t>
      </w:r>
      <w:r>
        <w:rPr>
          <w:lang w:bidi="fa-IR"/>
        </w:rPr>
        <w:fldChar w:fldCharType="end"/>
      </w:r>
      <w:r>
        <w:rPr>
          <w:lang w:bidi="fa-IR"/>
        </w:rPr>
        <w:t xml:space="preserve">) noted that: </w:t>
      </w:r>
    </w:p>
    <w:p w:rsidR="007C6A5F" w:rsidRDefault="007C6A5F" w:rsidP="007C6A5F">
      <w:pPr>
        <w:pStyle w:val="Quote"/>
        <w:rPr>
          <w:lang w:bidi="fa-IR"/>
        </w:rPr>
      </w:pPr>
      <w:r>
        <w:rPr>
          <w:lang w:bidi="fa-IR"/>
        </w:rPr>
        <w:t>“People do not usually enter aged care willingly. They often do so with great trepidation. They fear loss of autonomy, of individuality, of control over their own lives.”</w:t>
      </w:r>
      <w:r>
        <w:rPr>
          <w:rStyle w:val="FootnoteReference"/>
          <w:lang w:bidi="fa-IR"/>
        </w:rPr>
        <w:footnoteReference w:id="106"/>
      </w:r>
    </w:p>
    <w:p w:rsidR="007C6A5F" w:rsidRDefault="007C6A5F" w:rsidP="000F1718">
      <w:pPr>
        <w:pStyle w:val="Invisiblepara"/>
        <w:spacing w:before="240"/>
      </w:pPr>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Look w:val="0020" w:firstRow="1" w:lastRow="0" w:firstColumn="0" w:lastColumn="0" w:noHBand="0" w:noVBand="0"/>
        <w:tblCaption w:val="Box G.8"/>
        <w:tblDescription w:val="Royal Commission into Aged Care Quality and Safety"/>
      </w:tblPr>
      <w:tblGrid>
        <w:gridCol w:w="7938"/>
      </w:tblGrid>
      <w:tr w:rsidR="007C6A5F" w:rsidRPr="00E05C8C" w:rsidTr="00D051B6">
        <w:trPr>
          <w:tblHeader/>
        </w:trPr>
        <w:tc>
          <w:tcPr>
            <w:tcW w:w="7938" w:type="dxa"/>
            <w:shd w:val="clear" w:color="auto" w:fill="C6BFAB" w:themeFill="accent3"/>
          </w:tcPr>
          <w:bookmarkStart w:id="7878" w:name="_Toc32321889"/>
          <w:bookmarkStart w:id="7879" w:name="_Caption8763"/>
          <w:bookmarkStart w:id="7880" w:name="_Caption3998"/>
          <w:p w:rsidR="007C6A5F" w:rsidRPr="00E05C8C" w:rsidRDefault="007C6A5F" w:rsidP="005A6F87">
            <w:pPr>
              <w:pStyle w:val="Caption"/>
              <w:numPr>
                <w:ilvl w:val="0"/>
                <w:numId w:val="13"/>
              </w:numPr>
              <w:spacing w:before="120" w:after="100"/>
            </w:pPr>
            <w:r w:rsidRPr="00E05C8C">
              <w:fldChar w:fldCharType="begin"/>
            </w:r>
            <w:bookmarkEnd w:id="7878"/>
            <w:bookmarkEnd w:id="7879"/>
            <w:bookmarkEnd w:id="7880"/>
            <w:r w:rsidRPr="00E05C8C">
              <w:instrText xml:space="preserve"> IF 1 = 1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G</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E05C8C">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E05C8C">
              <w:instrText xml:space="preserve">." </w:instrText>
            </w:r>
            <w:r w:rsidRPr="00E05C8C">
              <w:fldChar w:fldCharType="separate"/>
            </w:r>
            <w:r>
              <w:rPr>
                <w:noProof/>
              </w:rPr>
              <w:instrText>2</w:instrText>
            </w:r>
            <w:r w:rsidRPr="00E05C8C">
              <w:rPr>
                <w:noProof/>
              </w:rPr>
              <w:instrText>.</w:instrText>
            </w:r>
            <w:r w:rsidRPr="00E05C8C">
              <w:fldChar w:fldCharType="end"/>
            </w:r>
            <w:r w:rsidRPr="00E05C8C">
              <w:instrText>" "</w:instrText>
            </w:r>
            <w:r>
              <w:rPr>
                <w:noProof/>
              </w:rPr>
              <w:fldChar w:fldCharType="begin"/>
            </w:r>
            <w:r>
              <w:rPr>
                <w:noProof/>
              </w:rPr>
              <w:instrText xml:space="preserve"> STYLEREF "Heading 6" \l \n </w:instrText>
            </w:r>
            <w:r>
              <w:rPr>
                <w:noProof/>
              </w:rPr>
              <w:fldChar w:fldCharType="separate"/>
            </w:r>
            <w:r>
              <w:rPr>
                <w:noProof/>
              </w:rPr>
              <w:instrText>G</w:instrText>
            </w:r>
            <w:r>
              <w:rPr>
                <w:noProof/>
              </w:rPr>
              <w:fldChar w:fldCharType="end"/>
            </w:r>
            <w:r w:rsidRPr="00E05C8C">
              <w:instrText xml:space="preserve">." </w:instrText>
            </w:r>
            <w:r w:rsidRPr="00E05C8C">
              <w:fldChar w:fldCharType="separate"/>
            </w:r>
            <w:r>
              <w:rPr>
                <w:noProof/>
              </w:rPr>
              <w:instrText>G</w:instrText>
            </w:r>
            <w:r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Pr>
                <w:noProof/>
              </w:rPr>
              <w:instrText>G</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E05C8C">
              <w:instrText xml:space="preserve"> = 0 "" "1" </w:instrText>
            </w:r>
            <w:r w:rsidRPr="00E05C8C">
              <w:fldChar w:fldCharType="separate"/>
            </w:r>
            <w:r w:rsidRPr="00E05C8C">
              <w:rPr>
                <w:noProof/>
              </w:rPr>
              <w:instrText>1</w:instrText>
            </w:r>
            <w:r w:rsidRPr="00E05C8C">
              <w:fldChar w:fldCharType="end"/>
            </w:r>
            <w:r w:rsidRPr="00E05C8C">
              <w:instrText xml:space="preserve">" "6" </w:instrText>
            </w:r>
            <w:r w:rsidRPr="00E05C8C">
              <w:fldChar w:fldCharType="separate"/>
            </w:r>
            <w:r w:rsidRPr="00E05C8C">
              <w:rPr>
                <w:noProof/>
              </w:rPr>
              <w:instrText>6</w:instrText>
            </w:r>
            <w:r w:rsidRPr="00E05C8C">
              <w:fldChar w:fldCharType="end"/>
            </w:r>
            <w:r w:rsidRPr="00E05C8C">
              <w:instrText xml:space="preserve"> </w:instrText>
            </w:r>
            <w:r w:rsidRPr="00E05C8C">
              <w:fldChar w:fldCharType="separate"/>
            </w:r>
            <w:r>
              <w:rPr>
                <w:noProof/>
              </w:rPr>
              <w:instrText>8</w:instrText>
            </w:r>
            <w:r w:rsidRPr="00E05C8C">
              <w:fldChar w:fldCharType="end"/>
            </w:r>
            <w:r w:rsidRPr="00E05C8C">
              <w:instrText xml:space="preserve">" "" </w:instrText>
            </w:r>
            <w:r w:rsidRPr="00E05C8C">
              <w:fldChar w:fldCharType="separate"/>
            </w:r>
            <w:bookmarkStart w:id="7881" w:name="_Caption6137"/>
            <w:bookmarkStart w:id="7882" w:name="_Caption2450"/>
            <w:bookmarkStart w:id="7883" w:name="_Caption4284"/>
            <w:bookmarkStart w:id="7884" w:name="_Caption8018"/>
            <w:bookmarkStart w:id="7885" w:name="_Caption7286"/>
            <w:bookmarkStart w:id="7886" w:name="_Caption6850"/>
            <w:bookmarkStart w:id="7887" w:name="_Caption5899"/>
            <w:bookmarkStart w:id="7888" w:name="_Caption0989"/>
            <w:bookmarkStart w:id="7889" w:name="_Caption8244"/>
            <w:bookmarkStart w:id="7890" w:name="_Caption6379"/>
            <w:bookmarkStart w:id="7891" w:name="_Caption2232"/>
            <w:bookmarkStart w:id="7892" w:name="_Caption9568"/>
            <w:bookmarkStart w:id="7893" w:name="_Caption2142"/>
            <w:bookmarkStart w:id="7894" w:name="_Caption9206"/>
            <w:bookmarkStart w:id="7895" w:name="_Caption2889"/>
            <w:bookmarkStart w:id="7896" w:name="_Caption2192"/>
            <w:bookmarkStart w:id="7897" w:name="_Caption7975"/>
            <w:bookmarkStart w:id="7898" w:name="_Caption5944"/>
            <w:bookmarkStart w:id="7899" w:name="_Caption0221"/>
            <w:bookmarkStart w:id="7900" w:name="_Caption7688"/>
            <w:bookmarkStart w:id="7901" w:name="_Caption3867"/>
            <w:bookmarkStart w:id="7902" w:name="_Caption5965"/>
            <w:bookmarkStart w:id="7903" w:name="_Caption5869"/>
            <w:bookmarkStart w:id="7904" w:name="_Caption7453"/>
            <w:bookmarkStart w:id="7905" w:name="_Caption3534"/>
            <w:bookmarkStart w:id="7906" w:name="_Caption9213"/>
            <w:bookmarkStart w:id="7907" w:name="_Caption2454"/>
            <w:bookmarkStart w:id="7908" w:name="_Caption9761"/>
            <w:bookmarkStart w:id="7909" w:name="_Caption7705"/>
            <w:bookmarkStart w:id="7910" w:name="_Caption6408"/>
            <w:bookmarkStart w:id="7911" w:name="_Caption7598"/>
            <w:bookmarkStart w:id="7912" w:name="_Caption7264"/>
            <w:bookmarkStart w:id="7913" w:name="_Caption0083"/>
            <w:bookmarkStart w:id="7914" w:name="_Caption4116"/>
            <w:bookmarkStart w:id="7915" w:name="_Caption3355"/>
            <w:bookmarkStart w:id="7916" w:name="_Caption3520"/>
            <w:bookmarkStart w:id="7917" w:name="_Caption3945"/>
            <w:bookmarkStart w:id="7918" w:name="_Caption6883"/>
            <w:bookmarkStart w:id="7919" w:name="_Caption0604"/>
            <w:bookmarkStart w:id="7920" w:name="_Caption8939"/>
            <w:bookmarkStart w:id="7921" w:name="_Caption3202"/>
            <w:bookmarkStart w:id="7922" w:name="_Caption0629"/>
            <w:bookmarkStart w:id="7923" w:name="_Caption4778"/>
            <w:bookmarkStart w:id="7924" w:name="_Caption1861"/>
            <w:bookmarkStart w:id="7925" w:name="_Caption4357"/>
            <w:bookmarkStart w:id="7926" w:name="_Caption9001"/>
            <w:bookmarkStart w:id="7927" w:name="_Caption9513"/>
            <w:bookmarkStart w:id="7928" w:name="_Caption0503"/>
            <w:bookmarkStart w:id="7929" w:name="_Caption1316"/>
            <w:bookmarkStart w:id="7930" w:name="_Caption9724"/>
            <w:bookmarkStart w:id="7931" w:name="_Caption0398"/>
            <w:bookmarkStart w:id="7932" w:name="_Caption8292"/>
            <w:bookmarkStart w:id="7933" w:name="_Caption4203"/>
            <w:bookmarkStart w:id="7934" w:name="_Caption6915"/>
            <w:bookmarkStart w:id="7935" w:name="_Caption6127"/>
            <w:bookmarkStart w:id="7936" w:name="_Caption7881"/>
            <w:bookmarkStart w:id="7937" w:name="_Caption0491"/>
            <w:bookmarkStart w:id="7938" w:name="_Caption2962"/>
            <w:bookmarkStart w:id="7939" w:name="_Caption5381"/>
            <w:bookmarkStart w:id="7940" w:name="_Caption1077"/>
            <w:bookmarkStart w:id="7941" w:name="_Caption6799"/>
            <w:bookmarkStart w:id="7942" w:name="_Caption6053"/>
            <w:bookmarkStart w:id="7943" w:name="_Caption2427"/>
            <w:bookmarkStart w:id="7944" w:name="_Caption0223"/>
            <w:bookmarkStart w:id="7945" w:name="_Caption1457"/>
            <w:bookmarkStart w:id="7946" w:name="_Caption4978"/>
            <w:bookmarkStart w:id="7947" w:name="_Caption5365"/>
            <w:bookmarkStart w:id="7948" w:name="_Caption3753"/>
            <w:bookmarkStart w:id="7949" w:name="_Caption3986"/>
            <w:bookmarkStart w:id="7950" w:name="_Caption9911"/>
            <w:bookmarkStart w:id="7951" w:name="_Caption9374"/>
            <w:bookmarkStart w:id="7952" w:name="_Caption1319"/>
            <w:bookmarkStart w:id="7953" w:name="_Caption0390"/>
            <w:bookmarkStart w:id="7954" w:name="_Caption2647"/>
            <w:bookmarkStart w:id="7955" w:name="_Caption0792"/>
            <w:bookmarkStart w:id="7956" w:name="_Caption5540"/>
            <w:bookmarkStart w:id="7957" w:name="_Caption1772"/>
            <w:bookmarkStart w:id="7958" w:name="_Caption6147"/>
            <w:bookmarkStart w:id="7959" w:name="_Toc44598602"/>
            <w:bookmarkStart w:id="7960" w:name="_Toc45654233"/>
            <w:r w:rsidR="00272AF3">
              <w:rPr>
                <w:noProof/>
              </w:rPr>
              <w:t>G</w:t>
            </w:r>
            <w:r w:rsidR="00272AF3" w:rsidRPr="00E05C8C">
              <w:rPr>
                <w:noProof/>
              </w:rPr>
              <w:t>.</w:t>
            </w:r>
            <w:r w:rsidR="00272AF3">
              <w:rPr>
                <w:noProof/>
              </w:rPr>
              <w:t>8</w:t>
            </w:r>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r w:rsidRPr="00E05C8C">
              <w:fldChar w:fldCharType="end"/>
            </w:r>
            <w:r w:rsidRPr="00E05C8C">
              <w:tab/>
            </w:r>
            <w:r>
              <w:t>Royal Commission into Aged Care Quality and Safety</w:t>
            </w:r>
            <w:bookmarkEnd w:id="7959"/>
            <w:bookmarkEnd w:id="7960"/>
          </w:p>
        </w:tc>
      </w:tr>
      <w:tr w:rsidR="007C6A5F" w:rsidTr="00B5160B">
        <w:tc>
          <w:tcPr>
            <w:tcW w:w="7938" w:type="dxa"/>
            <w:tcBorders>
              <w:bottom w:val="single" w:sz="4" w:space="0" w:color="9B917E" w:themeColor="accent4"/>
            </w:tcBorders>
            <w:shd w:val="clear" w:color="auto" w:fill="E9E8E5" w:themeFill="background2"/>
          </w:tcPr>
          <w:p w:rsidR="007C6A5F" w:rsidRDefault="007C6A5F" w:rsidP="00C36DA4">
            <w:pPr>
              <w:pStyle w:val="BodyText"/>
            </w:pPr>
            <w:r>
              <w:t>A Royal Commission into Aged Care Quality and Safety was established on 8 October 2018. The Royal Commission has gathered evidence through a range of methods including: public hearings; notices requiring the production of documents, things, information or statements in writing; public submissions; community forums; expert roundtable discussions; service visits; and research conducted by both the Royal Commission staff and commissioned from external providers.</w:t>
            </w:r>
          </w:p>
          <w:p w:rsidR="007C6A5F" w:rsidRPr="00BF2F67" w:rsidRDefault="007C6A5F" w:rsidP="000F1718">
            <w:pPr>
              <w:pStyle w:val="BodyText"/>
              <w:spacing w:after="120"/>
            </w:pPr>
            <w:r>
              <w:t>The Commissioners delivered an interim on 31 October 2019 a will provide a final report by 12 November 2020.</w:t>
            </w:r>
            <w:r>
              <w:rPr>
                <w:rStyle w:val="FootnoteReference"/>
              </w:rPr>
              <w:footnoteReference w:id="107"/>
            </w:r>
            <w:r>
              <w:t xml:space="preserve">. </w:t>
            </w:r>
          </w:p>
        </w:tc>
      </w:tr>
    </w:tbl>
    <w:p w:rsidR="007C6A5F" w:rsidRDefault="007C6A5F" w:rsidP="007C6A5F">
      <w:pPr>
        <w:pStyle w:val="BodyText"/>
      </w:pPr>
      <w:r>
        <w:rPr>
          <w:lang w:bidi="fa-IR"/>
        </w:rPr>
        <w:t xml:space="preserve">The wellbeing of people in residential aged care (relative to remaining at home) is likely to be at least partly related to the quality of the care receive. </w:t>
      </w:r>
      <w:r>
        <w:t>In the interim report of the Royal Commission, the Commissioners stated:</w:t>
      </w:r>
    </w:p>
    <w:p w:rsidR="007C6A5F" w:rsidRDefault="007C6A5F" w:rsidP="007C6A5F">
      <w:pPr>
        <w:pStyle w:val="Quote"/>
      </w:pPr>
      <w:r>
        <w:t>“The Royal Commission has heard compelling evidence that the system designed to care for older Australians is woefully inadequate. Many people receiving aged care services have their basic human rights denied. Their dignity is not respected and their identity is ignored. It most certainly is not a full life. It is a shocking tale of neglect.”</w:t>
      </w:r>
      <w:r>
        <w:rPr>
          <w:rStyle w:val="FootnoteReference"/>
        </w:rPr>
        <w:footnoteReference w:id="108"/>
      </w:r>
    </w:p>
    <w:p w:rsidR="007C6A5F" w:rsidRDefault="007C6A5F" w:rsidP="007C6A5F">
      <w:pPr>
        <w:pStyle w:val="BodyText"/>
      </w:pPr>
      <w:r>
        <w:t>The Royal Commission concluded that substandard care (care that does not meet relevant quality standards or other legislative obligations, or which otherwise does not meet community expectations) is widespread and is more serious than had been anticipated.</w:t>
      </w:r>
      <w:r>
        <w:rPr>
          <w:rStyle w:val="FootnoteReference"/>
        </w:rPr>
        <w:footnoteReference w:id="109"/>
      </w:r>
      <w:r>
        <w:t xml:space="preserve"> </w:t>
      </w:r>
      <w:r>
        <w:rPr>
          <w:lang w:bidi="fa-IR"/>
        </w:rPr>
        <w:t xml:space="preserve">Discussions with the Disability Discrimination Commissioner also highlighted that people in closed care systems are vulnerable to neglect, abuse and exploitation. </w:t>
      </w:r>
    </w:p>
    <w:p w:rsidR="007C6A5F" w:rsidRDefault="007C6A5F" w:rsidP="007C6A5F">
      <w:pPr>
        <w:pStyle w:val="BodyText"/>
      </w:pPr>
      <w:r>
        <w:rPr>
          <w:lang w:bidi="fa-IR"/>
        </w:rPr>
        <w:t>It is reasonable to expect further reforms to address the safety and quality issues in response to the Royal Commission’s recommendations (although the specific recommendations are not yet known).</w:t>
      </w:r>
      <w:r>
        <w:t xml:space="preserve"> </w:t>
      </w:r>
    </w:p>
    <w:p w:rsidR="007C6A5F" w:rsidRDefault="007C6A5F" w:rsidP="007C6A5F">
      <w:pPr>
        <w:pStyle w:val="BodyText"/>
      </w:pPr>
      <w:r>
        <w:t>One study from AIHW report on consumer experiences with residential aged care presents a much more positive view of the quality of care provided in residential aged care facilities.</w:t>
      </w:r>
      <w:r w:rsidRPr="003362FB">
        <w:rPr>
          <w:rStyle w:val="FootnoteReference"/>
        </w:rPr>
        <w:t xml:space="preserve"> </w:t>
      </w:r>
      <w:r>
        <w:rPr>
          <w:rStyle w:val="FootnoteReference"/>
        </w:rPr>
        <w:footnoteReference w:id="110"/>
      </w:r>
      <w:r>
        <w:t xml:space="preserve"> For most questions, more than 90 per cent of responses were positive, </w:t>
      </w:r>
      <w:r>
        <w:lastRenderedPageBreak/>
        <w:t>although responses across all questions were slightly less positive for those with restricted mobility. The responses for the remaining questions were mostly more than 80 per cent positive. Responses from people with restricted mobility on ‘staff to talk to’ was the only question with a positive response rate less than 80 per cent.</w:t>
      </w:r>
    </w:p>
    <w:p w:rsidR="007C6A5F" w:rsidRDefault="007C6A5F" w:rsidP="007C6A5F">
      <w:pPr>
        <w:pStyle w:val="BodyText"/>
        <w:rPr>
          <w:lang w:bidi="fa-IR"/>
        </w:rPr>
      </w:pPr>
      <w:r>
        <w:rPr>
          <w:lang w:bidi="fa-IR"/>
        </w:rPr>
        <w:t>The findings of the Royal Commission suggest that there may nevertheless be a significant number of people that receive sub</w:t>
      </w:r>
      <w:r>
        <w:rPr>
          <w:lang w:bidi="fa-IR"/>
        </w:rPr>
        <w:noBreakHyphen/>
        <w:t>standard care. However, there is currently no publicly available data from the Royal Commission on the proportion of residential aged care users that have receive sub-standard care.</w:t>
      </w:r>
      <w:r w:rsidRPr="00143411">
        <w:rPr>
          <w:lang w:bidi="fa-IR"/>
        </w:rPr>
        <w:t xml:space="preserve"> </w:t>
      </w:r>
      <w:r>
        <w:rPr>
          <w:lang w:bidi="fa-IR"/>
        </w:rPr>
        <w:t>The impact of inappropriate or premature entry into residential aged care could be very high for people who receive sub</w:t>
      </w:r>
      <w:r>
        <w:rPr>
          <w:lang w:bidi="fa-IR"/>
        </w:rPr>
        <w:noBreakHyphen/>
        <w:t>standard care (and even higher for those that are the victim of violence or abuse).</w:t>
      </w:r>
    </w:p>
    <w:p w:rsidR="007C6A5F" w:rsidRDefault="007C6A5F" w:rsidP="007C6A5F">
      <w:pPr>
        <w:pStyle w:val="BodyText"/>
        <w:rPr>
          <w:lang w:bidi="fa-IR"/>
        </w:rPr>
      </w:pPr>
      <w:r>
        <w:rPr>
          <w:lang w:bidi="fa-IR"/>
        </w:rPr>
        <w:t>We also note recent aged care reforms, including:</w:t>
      </w:r>
      <w:r>
        <w:rPr>
          <w:rStyle w:val="FootnoteReference"/>
          <w:lang w:bidi="fa-IR"/>
        </w:rPr>
        <w:footnoteReference w:id="111"/>
      </w:r>
    </w:p>
    <w:p w:rsidR="007C6A5F" w:rsidRDefault="007C6A5F" w:rsidP="005A6F87">
      <w:pPr>
        <w:pStyle w:val="ListBullet"/>
        <w:numPr>
          <w:ilvl w:val="0"/>
          <w:numId w:val="17"/>
        </w:numPr>
        <w:rPr>
          <w:lang w:bidi="fa-IR"/>
        </w:rPr>
      </w:pPr>
      <w:r>
        <w:rPr>
          <w:lang w:bidi="fa-IR"/>
        </w:rPr>
        <w:t>a new set of 8 Aged Care Quality Standards that become effective in July 2019</w:t>
      </w:r>
    </w:p>
    <w:p w:rsidR="007C6A5F" w:rsidRDefault="007C6A5F" w:rsidP="005A6F87">
      <w:pPr>
        <w:pStyle w:val="ListBullet"/>
        <w:numPr>
          <w:ilvl w:val="0"/>
          <w:numId w:val="17"/>
        </w:numPr>
        <w:rPr>
          <w:lang w:bidi="fa-IR"/>
        </w:rPr>
      </w:pPr>
      <w:r>
        <w:rPr>
          <w:lang w:bidi="fa-IR"/>
        </w:rPr>
        <w:t xml:space="preserve">the establishment of the Aged Care Quality and Safety Commission </w:t>
      </w:r>
      <w:r>
        <w:rPr>
          <w:shd w:val="clear" w:color="auto" w:fill="FFFFFF"/>
        </w:rPr>
        <w:t>to protect and enhance the safety, health, well-being and quality of life of people receiving aged care.</w:t>
      </w:r>
    </w:p>
    <w:p w:rsidR="007C6A5F" w:rsidRDefault="007C6A5F" w:rsidP="007C6A5F">
      <w:pPr>
        <w:pStyle w:val="BodyText"/>
        <w:rPr>
          <w:lang w:bidi="fa-IR"/>
        </w:rPr>
      </w:pPr>
      <w:r>
        <w:rPr>
          <w:lang w:bidi="fa-IR"/>
        </w:rPr>
        <w:t>That a significant number of people in residential aged care receive sub</w:t>
      </w:r>
      <w:r>
        <w:rPr>
          <w:lang w:bidi="fa-IR"/>
        </w:rPr>
        <w:noBreakHyphen/>
        <w:t>standard care (including instances of neglect, violence and abuse) is clearly an important issue. However, this reflects current failings of the aged care system, rather than residential aged care as a type of care. Changes to the NCC can address this issue only to the extent that it may prevent some people for entering residential aged care.</w:t>
      </w:r>
    </w:p>
    <w:p w:rsidR="007C6A5F" w:rsidRDefault="007C6A5F" w:rsidP="007C6A5F">
      <w:pPr>
        <w:pStyle w:val="BodyText"/>
        <w:rPr>
          <w:lang w:bidi="fa-IR"/>
        </w:rPr>
      </w:pPr>
      <w:r>
        <w:rPr>
          <w:lang w:bidi="fa-IR"/>
        </w:rPr>
        <w:t>Furthermore, we would hope that the issues identified through by the Royal Commission are addressed in the years ahead. We have therefore not tried to specifically quantify the costs associated with sub</w:t>
      </w:r>
      <w:r>
        <w:rPr>
          <w:lang w:bidi="fa-IR"/>
        </w:rPr>
        <w:noBreakHyphen/>
        <w:t>standard care (although sub</w:t>
      </w:r>
      <w:r>
        <w:rPr>
          <w:lang w:bidi="fa-IR"/>
        </w:rPr>
        <w:noBreakHyphen/>
        <w:t>standard care may be partly reflected in the increased incidence of depression — see below).</w:t>
      </w:r>
    </w:p>
    <w:p w:rsidR="007C6A5F" w:rsidRDefault="007C6A5F" w:rsidP="007C6A5F">
      <w:pPr>
        <w:pStyle w:val="BodyText"/>
        <w:rPr>
          <w:lang w:bidi="fa-IR"/>
        </w:rPr>
      </w:pPr>
      <w:r>
        <w:rPr>
          <w:lang w:bidi="fa-IR"/>
        </w:rPr>
        <w:t>That said, even if the quality of care is of an acceptable standard in all aged care facilities, many older Australians in residential aged care would have preferred to have remained at home if that were possible.</w:t>
      </w:r>
    </w:p>
    <w:p w:rsidR="007C6A5F" w:rsidRDefault="007C6A5F" w:rsidP="007C6A5F">
      <w:pPr>
        <w:pStyle w:val="BodyText"/>
        <w:rPr>
          <w:lang w:bidi="fa-IR"/>
        </w:rPr>
      </w:pPr>
      <w:r>
        <w:rPr>
          <w:lang w:bidi="fa-IR"/>
        </w:rPr>
        <w:t>The AIHW reports higher rates of depression among permanent aged care residents relative to older Australians living in the community (although the AIHW acknowledges that this could reflect people in residential aged care generally having more complex care needs).</w:t>
      </w:r>
      <w:r>
        <w:rPr>
          <w:rStyle w:val="FootnoteReference"/>
          <w:lang w:bidi="fa-IR"/>
        </w:rPr>
        <w:footnoteReference w:id="112"/>
      </w:r>
      <w:r>
        <w:rPr>
          <w:lang w:bidi="fa-IR"/>
        </w:rPr>
        <w:t xml:space="preserve"> Despite this caveat, a comparison of depression rates may provide a reasonable indicator of the cost to those who have been inappropriately or prematurely admitted to residential aged care.</w:t>
      </w:r>
    </w:p>
    <w:p w:rsidR="007C6A5F" w:rsidRDefault="007C6A5F" w:rsidP="007C6A5F">
      <w:pPr>
        <w:pStyle w:val="BodyText"/>
        <w:rPr>
          <w:lang w:bidi="fa-IR"/>
        </w:rPr>
      </w:pPr>
      <w:r>
        <w:rPr>
          <w:lang w:bidi="fa-IR"/>
        </w:rPr>
        <w:t>The AIHW reports that around 52 per cent of permanent aged care residents have symptoms of depression, compared to 10</w:t>
      </w:r>
      <w:r>
        <w:rPr>
          <w:lang w:bidi="fa-IR"/>
        </w:rPr>
        <w:noBreakHyphen/>
        <w:t>15 per cent of older Australians in the community (table </w:t>
      </w:r>
      <w:r>
        <w:rPr>
          <w:lang w:bidi="fa-IR"/>
        </w:rPr>
        <w:fldChar w:fldCharType="begin"/>
      </w:r>
      <w:r>
        <w:rPr>
          <w:lang w:bidi="fa-IR"/>
        </w:rPr>
        <w:instrText xml:space="preserve"> REF _Caption9510 </w:instrText>
      </w:r>
      <w:r>
        <w:rPr>
          <w:lang w:bidi="fa-IR"/>
        </w:rPr>
        <w:fldChar w:fldCharType="separate"/>
      </w:r>
      <w:r>
        <w:rPr>
          <w:noProof/>
        </w:rPr>
        <w:t>G</w:t>
      </w:r>
      <w:r w:rsidRPr="00695C93">
        <w:rPr>
          <w:noProof/>
        </w:rPr>
        <w:t>.</w:t>
      </w:r>
      <w:r>
        <w:rPr>
          <w:noProof/>
        </w:rPr>
        <w:t>9</w:t>
      </w:r>
      <w:r>
        <w:rPr>
          <w:lang w:bidi="fa-IR"/>
        </w:rPr>
        <w:fldChar w:fldCharType="end"/>
      </w:r>
      <w:r>
        <w:rPr>
          <w:lang w:bidi="fa-IR"/>
        </w:rPr>
        <w:t>).</w:t>
      </w:r>
      <w:r>
        <w:rPr>
          <w:rStyle w:val="FootnoteReference"/>
          <w:lang w:bidi="fa-IR"/>
        </w:rPr>
        <w:footnoteReference w:id="113"/>
      </w:r>
      <w:r>
        <w:rPr>
          <w:lang w:bidi="fa-IR"/>
        </w:rPr>
        <w:t xml:space="preserve"> From this information we infer that around 39.7 per cent of permanent aged care residents have symptoms of depression as a result of living in aged </w:t>
      </w:r>
      <w:r>
        <w:rPr>
          <w:lang w:bidi="fa-IR"/>
        </w:rPr>
        <w:lastRenderedPageBreak/>
        <w:t>care. Note that this is an upper bound assumption because as noted above, higher rates of depression for residents in residential aged care may reflect the fact that aged care residents generally have more complex care needs.</w:t>
      </w:r>
    </w:p>
    <w:p w:rsidR="007C6A5F" w:rsidRDefault="007C6A5F" w:rsidP="007C6A5F">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G</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G</w:instrText>
      </w:r>
      <w:r>
        <w:rPr>
          <w:noProof/>
        </w:rPr>
        <w:fldChar w:fldCharType="end"/>
      </w:r>
      <w:r w:rsidRPr="00695C93">
        <w:instrText xml:space="preserve">." </w:instrText>
      </w:r>
      <w:r w:rsidRPr="00695C93">
        <w:fldChar w:fldCharType="separate"/>
      </w:r>
      <w:r>
        <w:rPr>
          <w:noProof/>
        </w:rPr>
        <w:instrText>G</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G</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9</w:instrText>
      </w:r>
      <w:r w:rsidRPr="00695C93">
        <w:fldChar w:fldCharType="end"/>
      </w:r>
      <w:r w:rsidRPr="00695C93">
        <w:instrText xml:space="preserve">" "" </w:instrText>
      </w:r>
      <w:r w:rsidRPr="00695C93">
        <w:fldChar w:fldCharType="separate"/>
      </w:r>
      <w:bookmarkStart w:id="7961" w:name="_Caption8288"/>
      <w:bookmarkStart w:id="7962" w:name="_Caption0579"/>
      <w:bookmarkStart w:id="7963" w:name="_Caption5566"/>
      <w:bookmarkStart w:id="7964" w:name="_Caption2224"/>
      <w:bookmarkStart w:id="7965" w:name="_Caption3120"/>
      <w:bookmarkStart w:id="7966" w:name="_Caption0909"/>
      <w:bookmarkStart w:id="7967" w:name="_Caption1279"/>
      <w:bookmarkStart w:id="7968" w:name="_Caption2334"/>
      <w:bookmarkStart w:id="7969" w:name="_Caption9482"/>
      <w:bookmarkStart w:id="7970" w:name="_Caption2015"/>
      <w:bookmarkStart w:id="7971" w:name="_Caption0775"/>
      <w:bookmarkStart w:id="7972" w:name="_Caption2355"/>
      <w:bookmarkStart w:id="7973" w:name="_Caption0030"/>
      <w:bookmarkStart w:id="7974" w:name="_Caption9782"/>
      <w:bookmarkStart w:id="7975" w:name="_Caption9752"/>
      <w:bookmarkStart w:id="7976" w:name="_Caption4572"/>
      <w:bookmarkStart w:id="7977" w:name="_Caption3810"/>
      <w:bookmarkStart w:id="7978" w:name="_Caption0523"/>
      <w:bookmarkStart w:id="7979" w:name="_Caption4343"/>
      <w:bookmarkStart w:id="7980" w:name="_Caption7595"/>
      <w:bookmarkStart w:id="7981" w:name="_Caption7190"/>
      <w:bookmarkStart w:id="7982" w:name="_Caption5659"/>
      <w:bookmarkStart w:id="7983" w:name="_Caption9355"/>
      <w:bookmarkStart w:id="7984" w:name="_Caption4617"/>
      <w:bookmarkStart w:id="7985" w:name="_Caption2146"/>
      <w:bookmarkStart w:id="7986" w:name="_Caption9523"/>
      <w:bookmarkStart w:id="7987" w:name="_Caption8609"/>
      <w:bookmarkStart w:id="7988" w:name="_Caption8638"/>
      <w:bookmarkStart w:id="7989" w:name="_Caption6337"/>
      <w:bookmarkStart w:id="7990" w:name="_Caption0428"/>
      <w:bookmarkStart w:id="7991" w:name="_Caption2084"/>
      <w:bookmarkStart w:id="7992" w:name="_Caption7049"/>
      <w:bookmarkStart w:id="7993" w:name="_Caption7477"/>
      <w:bookmarkStart w:id="7994" w:name="_Caption2289"/>
      <w:bookmarkStart w:id="7995" w:name="_Caption7667"/>
      <w:bookmarkStart w:id="7996" w:name="_Caption3481"/>
      <w:bookmarkStart w:id="7997" w:name="_Caption8843"/>
      <w:bookmarkStart w:id="7998" w:name="_Caption0463"/>
      <w:bookmarkStart w:id="7999" w:name="_Caption5048"/>
      <w:bookmarkStart w:id="8000" w:name="_Caption2094"/>
      <w:bookmarkStart w:id="8001" w:name="_Caption9094"/>
      <w:bookmarkStart w:id="8002" w:name="_Caption9149"/>
      <w:bookmarkStart w:id="8003" w:name="_Caption5806"/>
      <w:bookmarkStart w:id="8004" w:name="_Caption5837"/>
      <w:bookmarkStart w:id="8005" w:name="_Caption5220"/>
      <w:bookmarkStart w:id="8006" w:name="_Caption2943"/>
      <w:bookmarkStart w:id="8007" w:name="_Caption9779"/>
      <w:bookmarkStart w:id="8008" w:name="_Caption3299"/>
      <w:bookmarkStart w:id="8009" w:name="_Caption1716"/>
      <w:bookmarkStart w:id="8010" w:name="_Caption6031"/>
      <w:bookmarkStart w:id="8011" w:name="_Caption5914"/>
      <w:bookmarkStart w:id="8012" w:name="_Caption6240"/>
      <w:bookmarkStart w:id="8013" w:name="_Caption7635"/>
      <w:bookmarkStart w:id="8014" w:name="_Caption9510"/>
      <w:bookmarkStart w:id="8015" w:name="_Caption4618"/>
      <w:bookmarkStart w:id="8016" w:name="_Caption0348"/>
      <w:bookmarkStart w:id="8017" w:name="_Caption7423"/>
      <w:bookmarkStart w:id="8018" w:name="_Caption2606"/>
      <w:bookmarkStart w:id="8019" w:name="_Caption5924"/>
      <w:bookmarkStart w:id="8020" w:name="_Caption3880"/>
      <w:bookmarkStart w:id="8021" w:name="_Caption3713"/>
      <w:bookmarkStart w:id="8022" w:name="_Caption2410"/>
      <w:bookmarkStart w:id="8023" w:name="_Caption3422"/>
      <w:bookmarkStart w:id="8024" w:name="_Caption1954"/>
      <w:bookmarkStart w:id="8025" w:name="_Caption3215"/>
      <w:bookmarkStart w:id="8026" w:name="_Caption7535"/>
      <w:bookmarkStart w:id="8027" w:name="_Caption7930"/>
      <w:bookmarkStart w:id="8028" w:name="_Caption5898"/>
      <w:bookmarkStart w:id="8029" w:name="_Caption8290"/>
      <w:bookmarkStart w:id="8030" w:name="_Caption5701"/>
      <w:bookmarkStart w:id="8031" w:name="_Caption4866"/>
      <w:bookmarkStart w:id="8032" w:name="_Caption1421"/>
      <w:bookmarkStart w:id="8033" w:name="_Caption4487"/>
      <w:bookmarkStart w:id="8034" w:name="_Caption7525"/>
      <w:bookmarkStart w:id="8035" w:name="_Caption2085"/>
      <w:bookmarkStart w:id="8036" w:name="_Caption2901"/>
      <w:bookmarkStart w:id="8037" w:name="_Caption1686"/>
      <w:bookmarkStart w:id="8038" w:name="_Caption5003"/>
      <w:bookmarkStart w:id="8039" w:name="_Caption7234"/>
      <w:bookmarkStart w:id="8040" w:name="_Caption1381"/>
      <w:bookmarkStart w:id="8041" w:name="_Toc32321890"/>
      <w:bookmarkStart w:id="8042" w:name="_Toc44598603"/>
      <w:bookmarkStart w:id="8043" w:name="_Toc45654234"/>
      <w:r w:rsidR="00272AF3">
        <w:rPr>
          <w:noProof/>
        </w:rPr>
        <w:t>G</w:t>
      </w:r>
      <w:r w:rsidR="00272AF3" w:rsidRPr="00695C93">
        <w:rPr>
          <w:noProof/>
        </w:rPr>
        <w:t>.</w:t>
      </w:r>
      <w:r w:rsidR="00272AF3">
        <w:rPr>
          <w:noProof/>
        </w:rPr>
        <w:t>9</w:t>
      </w:r>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r w:rsidRPr="00695C93">
        <w:fldChar w:fldCharType="end"/>
      </w:r>
      <w:r w:rsidRPr="00695C93">
        <w:tab/>
      </w:r>
      <w:r>
        <w:t>Incidence of depression</w:t>
      </w:r>
      <w:bookmarkEnd w:id="8041"/>
      <w:bookmarkEnd w:id="8042"/>
      <w:bookmarkEnd w:id="8043"/>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G.9"/>
        <w:tblDescription w:val="Incidence of depression"/>
      </w:tblPr>
      <w:tblGrid>
        <w:gridCol w:w="2835"/>
        <w:gridCol w:w="2055"/>
        <w:gridCol w:w="1523"/>
        <w:gridCol w:w="1523"/>
      </w:tblGrid>
      <w:tr w:rsidR="007C6A5F" w:rsidRPr="00E8116F" w:rsidTr="00D051B6">
        <w:trPr>
          <w:trHeight w:val="68"/>
          <w:tblHeader/>
        </w:trPr>
        <w:tc>
          <w:tcPr>
            <w:tcW w:w="2835" w:type="dxa"/>
            <w:shd w:val="clear" w:color="auto" w:fill="6F6652" w:themeFill="accent5"/>
          </w:tcPr>
          <w:p w:rsidR="007C6A5F" w:rsidRPr="00E8116F" w:rsidRDefault="008C2369" w:rsidP="00C36DA4">
            <w:pPr>
              <w:pStyle w:val="TableDataColumnHeading"/>
              <w:jc w:val="left"/>
              <w:rPr>
                <w:lang w:val="en-GB"/>
              </w:rPr>
            </w:pPr>
            <w:r>
              <w:rPr>
                <w:lang w:val="en-GB"/>
              </w:rPr>
              <w:t>Depression type</w:t>
            </w:r>
          </w:p>
        </w:tc>
        <w:tc>
          <w:tcPr>
            <w:tcW w:w="2055" w:type="dxa"/>
            <w:shd w:val="clear" w:color="auto" w:fill="6F6652" w:themeFill="accent5"/>
          </w:tcPr>
          <w:p w:rsidR="007C6A5F" w:rsidRDefault="007C6A5F" w:rsidP="00C36DA4">
            <w:pPr>
              <w:pStyle w:val="TableDataColumnHeading"/>
              <w:rPr>
                <w:rStyle w:val="NoteLabel"/>
                <w:color w:val="FFFFFF" w:themeColor="background1"/>
              </w:rPr>
            </w:pPr>
            <w:r w:rsidRPr="00E8116F">
              <w:rPr>
                <w:lang w:val="en-GB"/>
              </w:rPr>
              <w:t xml:space="preserve">Permanent residential aged care </w:t>
            </w:r>
            <w:r w:rsidRPr="00A96B1A">
              <w:rPr>
                <w:rStyle w:val="NoteLabel"/>
                <w:color w:val="FFFFFF" w:themeColor="background1"/>
              </w:rPr>
              <w:t>a</w:t>
            </w:r>
          </w:p>
          <w:p w:rsidR="008C121C" w:rsidRPr="00E8116F" w:rsidRDefault="008C121C" w:rsidP="00C36DA4">
            <w:pPr>
              <w:pStyle w:val="TableDataColumnHeading"/>
              <w:rPr>
                <w:lang w:val="en-GB"/>
              </w:rPr>
            </w:pPr>
            <w:r w:rsidRPr="008C121C">
              <w:rPr>
                <w:lang w:val="en-GB"/>
              </w:rPr>
              <w:t>(Per cent)</w:t>
            </w:r>
          </w:p>
        </w:tc>
        <w:tc>
          <w:tcPr>
            <w:tcW w:w="1523" w:type="dxa"/>
            <w:shd w:val="clear" w:color="auto" w:fill="6F6652" w:themeFill="accent5"/>
          </w:tcPr>
          <w:p w:rsidR="007C6A5F" w:rsidRDefault="007C6A5F" w:rsidP="00C36DA4">
            <w:pPr>
              <w:pStyle w:val="TableDataColumnHeading"/>
              <w:rPr>
                <w:lang w:val="en-GB"/>
              </w:rPr>
            </w:pPr>
            <w:r w:rsidRPr="00E8116F">
              <w:rPr>
                <w:lang w:val="en-GB"/>
              </w:rPr>
              <w:t>Older people in the community</w:t>
            </w:r>
          </w:p>
          <w:p w:rsidR="008C121C" w:rsidRPr="00E8116F" w:rsidRDefault="008C121C" w:rsidP="00C36DA4">
            <w:pPr>
              <w:pStyle w:val="TableDataColumnHeading"/>
              <w:rPr>
                <w:lang w:val="en-GB"/>
              </w:rPr>
            </w:pPr>
            <w:r w:rsidRPr="008C121C">
              <w:rPr>
                <w:lang w:val="en-GB"/>
              </w:rPr>
              <w:t>(Per cent)</w:t>
            </w:r>
          </w:p>
        </w:tc>
        <w:tc>
          <w:tcPr>
            <w:tcW w:w="1523" w:type="dxa"/>
            <w:shd w:val="clear" w:color="auto" w:fill="6F6652" w:themeFill="accent5"/>
          </w:tcPr>
          <w:p w:rsidR="007C6A5F" w:rsidRDefault="007C6A5F" w:rsidP="00C36DA4">
            <w:pPr>
              <w:pStyle w:val="TableDataColumnHeading"/>
              <w:rPr>
                <w:lang w:val="en-GB"/>
              </w:rPr>
            </w:pPr>
            <w:r w:rsidRPr="00E8116F">
              <w:rPr>
                <w:lang w:val="en-GB"/>
              </w:rPr>
              <w:t>Attributable to aged care</w:t>
            </w:r>
          </w:p>
          <w:p w:rsidR="008C121C" w:rsidRPr="00E8116F" w:rsidRDefault="008C121C" w:rsidP="00C36DA4">
            <w:pPr>
              <w:pStyle w:val="TableDataColumnHeading"/>
              <w:rPr>
                <w:lang w:val="en-GB"/>
              </w:rPr>
            </w:pPr>
            <w:r w:rsidRPr="008C121C">
              <w:rPr>
                <w:lang w:val="en-GB"/>
              </w:rPr>
              <w:t>(Per cent)</w:t>
            </w:r>
          </w:p>
        </w:tc>
      </w:tr>
      <w:tr w:rsidR="007C6A5F" w:rsidTr="00D051B6">
        <w:trPr>
          <w:trHeight w:val="230"/>
        </w:trPr>
        <w:tc>
          <w:tcPr>
            <w:tcW w:w="28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Mild</w:t>
            </w:r>
          </w:p>
        </w:tc>
        <w:tc>
          <w:tcPr>
            <w:tcW w:w="205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23.8</w:t>
            </w:r>
          </w:p>
        </w:tc>
        <w:tc>
          <w:tcPr>
            <w:tcW w:w="152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5.7 </w:t>
            </w:r>
            <w:r w:rsidRPr="00A96B1A">
              <w:rPr>
                <w:rStyle w:val="NoteLabel"/>
                <w:color w:val="000000" w:themeColor="text1"/>
              </w:rPr>
              <w:t>b</w:t>
            </w:r>
          </w:p>
        </w:tc>
        <w:tc>
          <w:tcPr>
            <w:tcW w:w="152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18.1</w:t>
            </w:r>
          </w:p>
        </w:tc>
      </w:tr>
      <w:tr w:rsidR="007C6A5F" w:rsidTr="00D051B6">
        <w:trPr>
          <w:trHeight w:val="230"/>
        </w:trPr>
        <w:tc>
          <w:tcPr>
            <w:tcW w:w="28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Moderate</w:t>
            </w:r>
          </w:p>
        </w:tc>
        <w:tc>
          <w:tcPr>
            <w:tcW w:w="205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15.5</w:t>
            </w:r>
          </w:p>
        </w:tc>
        <w:tc>
          <w:tcPr>
            <w:tcW w:w="152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3.7 </w:t>
            </w:r>
            <w:r w:rsidRPr="00A96B1A">
              <w:rPr>
                <w:rStyle w:val="NoteLabel"/>
                <w:color w:val="000000" w:themeColor="text1"/>
              </w:rPr>
              <w:t>b</w:t>
            </w:r>
          </w:p>
        </w:tc>
        <w:tc>
          <w:tcPr>
            <w:tcW w:w="152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11.8</w:t>
            </w:r>
          </w:p>
        </w:tc>
      </w:tr>
      <w:tr w:rsidR="007C6A5F" w:rsidTr="00D051B6">
        <w:trPr>
          <w:trHeight w:val="230"/>
        </w:trPr>
        <w:tc>
          <w:tcPr>
            <w:tcW w:w="28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Major</w:t>
            </w:r>
          </w:p>
        </w:tc>
        <w:tc>
          <w:tcPr>
            <w:tcW w:w="205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12.9</w:t>
            </w:r>
          </w:p>
        </w:tc>
        <w:tc>
          <w:tcPr>
            <w:tcW w:w="152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3.1 </w:t>
            </w:r>
            <w:r w:rsidRPr="00A96B1A">
              <w:rPr>
                <w:rStyle w:val="NoteLabel"/>
                <w:color w:val="000000" w:themeColor="text1"/>
              </w:rPr>
              <w:t>b</w:t>
            </w:r>
          </w:p>
        </w:tc>
        <w:tc>
          <w:tcPr>
            <w:tcW w:w="152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9.8</w:t>
            </w:r>
          </w:p>
        </w:tc>
      </w:tr>
      <w:tr w:rsidR="007C6A5F" w:rsidRPr="006E4A1B" w:rsidTr="00D051B6">
        <w:trPr>
          <w:trHeight w:val="230"/>
        </w:trPr>
        <w:tc>
          <w:tcPr>
            <w:tcW w:w="2835" w:type="dxa"/>
            <w:tcBorders>
              <w:top w:val="single" w:sz="8" w:space="0" w:color="FFFFFF" w:themeColor="background1"/>
              <w:bottom w:val="single" w:sz="4" w:space="0" w:color="6F6652" w:themeColor="accent5"/>
            </w:tcBorders>
            <w:shd w:val="clear" w:color="auto" w:fill="C2DADB" w:themeFill="accent6" w:themeFillTint="99"/>
          </w:tcPr>
          <w:p w:rsidR="007C6A5F" w:rsidRPr="006E4A1B" w:rsidRDefault="007C6A5F" w:rsidP="00C36DA4">
            <w:pPr>
              <w:pStyle w:val="TableDataEntries"/>
              <w:jc w:val="left"/>
              <w:rPr>
                <w:rFonts w:ascii="Franklin Gothic Demi" w:hAnsi="Franklin Gothic Demi"/>
                <w:lang w:val="en-GB"/>
              </w:rPr>
            </w:pPr>
            <w:r w:rsidRPr="006E4A1B">
              <w:rPr>
                <w:rFonts w:ascii="Franklin Gothic Demi" w:hAnsi="Franklin Gothic Demi"/>
                <w:lang w:val="en-GB"/>
              </w:rPr>
              <w:t>Total</w:t>
            </w:r>
          </w:p>
        </w:tc>
        <w:tc>
          <w:tcPr>
            <w:tcW w:w="2055" w:type="dxa"/>
            <w:tcBorders>
              <w:top w:val="single" w:sz="8" w:space="0" w:color="FFFFFF" w:themeColor="background1"/>
              <w:bottom w:val="single" w:sz="4" w:space="0" w:color="6F6652" w:themeColor="accent5"/>
            </w:tcBorders>
            <w:shd w:val="clear" w:color="auto" w:fill="C2DADB" w:themeFill="accent6" w:themeFillTint="99"/>
          </w:tcPr>
          <w:p w:rsidR="007C6A5F" w:rsidRPr="006E4A1B" w:rsidRDefault="007C6A5F" w:rsidP="00C36DA4">
            <w:pPr>
              <w:pStyle w:val="TableDataEntries"/>
              <w:rPr>
                <w:rFonts w:ascii="Franklin Gothic Demi" w:hAnsi="Franklin Gothic Demi"/>
                <w:lang w:val="en-GB"/>
              </w:rPr>
            </w:pPr>
            <w:r w:rsidRPr="006E4A1B">
              <w:rPr>
                <w:rFonts w:ascii="Franklin Gothic Demi" w:hAnsi="Franklin Gothic Demi"/>
                <w:lang w:val="en-GB"/>
              </w:rPr>
              <w:t>52.2</w:t>
            </w:r>
          </w:p>
        </w:tc>
        <w:tc>
          <w:tcPr>
            <w:tcW w:w="1523" w:type="dxa"/>
            <w:tcBorders>
              <w:top w:val="single" w:sz="8" w:space="0" w:color="FFFFFF" w:themeColor="background1"/>
              <w:bottom w:val="single" w:sz="4" w:space="0" w:color="6F6652" w:themeColor="accent5"/>
            </w:tcBorders>
            <w:shd w:val="clear" w:color="auto" w:fill="C2DADB" w:themeFill="accent6" w:themeFillTint="99"/>
          </w:tcPr>
          <w:p w:rsidR="007C6A5F" w:rsidRPr="006E4A1B" w:rsidRDefault="007C6A5F" w:rsidP="00C36DA4">
            <w:pPr>
              <w:pStyle w:val="TableDataEntries"/>
              <w:rPr>
                <w:rFonts w:ascii="Franklin Gothic Demi" w:hAnsi="Franklin Gothic Demi"/>
                <w:lang w:val="en-GB"/>
              </w:rPr>
            </w:pPr>
            <w:r w:rsidRPr="006E4A1B">
              <w:rPr>
                <w:rFonts w:ascii="Franklin Gothic Demi" w:hAnsi="Franklin Gothic Demi"/>
                <w:lang w:val="en-GB"/>
              </w:rPr>
              <w:t xml:space="preserve">12.5 </w:t>
            </w:r>
            <w:r w:rsidRPr="006E4A1B">
              <w:rPr>
                <w:rStyle w:val="NoteLabel"/>
                <w:color w:val="auto"/>
                <w:position w:val="0"/>
                <w:sz w:val="16"/>
              </w:rPr>
              <w:t>c</w:t>
            </w:r>
          </w:p>
        </w:tc>
        <w:tc>
          <w:tcPr>
            <w:tcW w:w="1523" w:type="dxa"/>
            <w:tcBorders>
              <w:top w:val="single" w:sz="8" w:space="0" w:color="FFFFFF" w:themeColor="background1"/>
              <w:bottom w:val="single" w:sz="4" w:space="0" w:color="6F6652" w:themeColor="accent5"/>
            </w:tcBorders>
            <w:shd w:val="clear" w:color="auto" w:fill="C2DADB" w:themeFill="accent6" w:themeFillTint="99"/>
          </w:tcPr>
          <w:p w:rsidR="007C6A5F" w:rsidRPr="006E4A1B" w:rsidRDefault="007C6A5F" w:rsidP="00C36DA4">
            <w:pPr>
              <w:pStyle w:val="TableDataEntries"/>
              <w:rPr>
                <w:rFonts w:ascii="Franklin Gothic Demi" w:hAnsi="Franklin Gothic Demi"/>
                <w:lang w:val="en-GB"/>
              </w:rPr>
            </w:pPr>
            <w:r w:rsidRPr="006E4A1B">
              <w:rPr>
                <w:rFonts w:ascii="Franklin Gothic Demi" w:hAnsi="Franklin Gothic Demi"/>
                <w:lang w:val="en-GB"/>
              </w:rPr>
              <w:t>39.7</w:t>
            </w:r>
          </w:p>
        </w:tc>
      </w:tr>
    </w:tbl>
    <w:p w:rsidR="007C6A5F" w:rsidRPr="00E4232C" w:rsidRDefault="007C6A5F" w:rsidP="007C6A5F">
      <w:pPr>
        <w:pStyle w:val="Note"/>
      </w:pPr>
      <w:r w:rsidRPr="00A96B1A">
        <w:rPr>
          <w:rStyle w:val="NoteLabel"/>
          <w:color w:val="000000" w:themeColor="text1"/>
        </w:rPr>
        <w:t>a</w:t>
      </w:r>
      <w:r>
        <w:t xml:space="preserve"> Reported in AIHW (2013, p. 6). </w:t>
      </w:r>
      <w:r w:rsidR="00A96B1A">
        <w:rPr>
          <w:rStyle w:val="NoteLabel"/>
          <w:color w:val="000000" w:themeColor="text1"/>
        </w:rPr>
        <w:t>b</w:t>
      </w:r>
      <w:r>
        <w:t xml:space="preserve"> The distribution between severity of symptoms of depression for older people in the community are not reported. These estimates are inferred from the share of the total population with symptoms of depression in permanent residential aged care. c The total share of older people in the community with symptoms of depression is based on the mid-point of the 10</w:t>
      </w:r>
      <w:r>
        <w:noBreakHyphen/>
        <w:t>15 per cent range reported in AIHW (2013, p. 6).</w:t>
      </w:r>
    </w:p>
    <w:p w:rsidR="007C6A5F" w:rsidRDefault="007C6A5F" w:rsidP="007C6A5F">
      <w:pPr>
        <w:pStyle w:val="Source"/>
        <w:rPr>
          <w:lang w:bidi="fa-IR"/>
        </w:rPr>
      </w:pPr>
      <w:r w:rsidRPr="005128C9">
        <w:rPr>
          <w:i/>
          <w:lang w:bidi="fa-IR"/>
        </w:rPr>
        <w:t>Source:</w:t>
      </w:r>
      <w:r>
        <w:rPr>
          <w:lang w:bidi="fa-IR"/>
        </w:rPr>
        <w:t xml:space="preserve"> </w:t>
      </w:r>
      <w:r>
        <w:rPr>
          <w:lang w:val="en-US"/>
        </w:rPr>
        <w:t>Australian Institute of Health and Welfare, 2013, Depression in residential aged care 2008</w:t>
      </w:r>
      <w:r>
        <w:rPr>
          <w:lang w:val="en-US"/>
        </w:rPr>
        <w:noBreakHyphen/>
        <w:t>2012, Aged Care Statistics Series Number 39, p. 6; CIE.</w:t>
      </w:r>
    </w:p>
    <w:p w:rsidR="007C6A5F" w:rsidRDefault="007C6A5F" w:rsidP="007C6A5F">
      <w:pPr>
        <w:pStyle w:val="BodyText"/>
        <w:rPr>
          <w:lang w:bidi="fa-IR"/>
        </w:rPr>
      </w:pPr>
      <w:r>
        <w:rPr>
          <w:lang w:bidi="fa-IR"/>
        </w:rPr>
        <w:t>Estimates of the annual morbidity cost of depression is shown in table </w:t>
      </w:r>
      <w:r w:rsidR="009B7E72">
        <w:rPr>
          <w:lang w:bidi="fa-IR"/>
        </w:rPr>
        <w:t>G.10</w:t>
      </w:r>
      <w:r>
        <w:rPr>
          <w:lang w:bidi="fa-IR"/>
        </w:rPr>
        <w:t>. These estimates are based on:</w:t>
      </w:r>
    </w:p>
    <w:p w:rsidR="007C6A5F" w:rsidRDefault="007C6A5F" w:rsidP="005A6F87">
      <w:pPr>
        <w:pStyle w:val="ListBullet"/>
        <w:numPr>
          <w:ilvl w:val="0"/>
          <w:numId w:val="17"/>
        </w:numPr>
        <w:rPr>
          <w:lang w:bidi="fa-IR"/>
        </w:rPr>
      </w:pPr>
      <w:r>
        <w:rPr>
          <w:lang w:bidi="fa-IR"/>
        </w:rPr>
        <w:t>disability weights for mild, moderate and major depressive disorders used in the World Health Organisation’s Global Burden of Disease study</w:t>
      </w:r>
    </w:p>
    <w:p w:rsidR="007C6A5F" w:rsidRDefault="007C6A5F" w:rsidP="005A6F87">
      <w:pPr>
        <w:pStyle w:val="ListBullet"/>
        <w:numPr>
          <w:ilvl w:val="0"/>
          <w:numId w:val="17"/>
        </w:numPr>
        <w:rPr>
          <w:lang w:bidi="fa-IR"/>
        </w:rPr>
      </w:pPr>
      <w:r>
        <w:rPr>
          <w:lang w:bidi="fa-IR"/>
        </w:rPr>
        <w:t>a value of a life year of $195 000 based on OBPR recommendations.</w:t>
      </w:r>
    </w:p>
    <w:p w:rsidR="007C6A5F" w:rsidRDefault="007C6A5F" w:rsidP="007C6A5F">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G</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G</w:instrText>
      </w:r>
      <w:r>
        <w:rPr>
          <w:noProof/>
        </w:rPr>
        <w:fldChar w:fldCharType="end"/>
      </w:r>
      <w:r w:rsidRPr="00695C93">
        <w:instrText xml:space="preserve">." </w:instrText>
      </w:r>
      <w:r w:rsidRPr="00695C93">
        <w:fldChar w:fldCharType="separate"/>
      </w:r>
      <w:r>
        <w:rPr>
          <w:noProof/>
        </w:rPr>
        <w:instrText>G</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G</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10</w:instrText>
      </w:r>
      <w:r w:rsidRPr="00695C93">
        <w:fldChar w:fldCharType="end"/>
      </w:r>
      <w:r w:rsidRPr="00695C93">
        <w:instrText xml:space="preserve">" "" </w:instrText>
      </w:r>
      <w:r w:rsidRPr="00695C93">
        <w:fldChar w:fldCharType="separate"/>
      </w:r>
      <w:bookmarkStart w:id="8044" w:name="_Caption4976"/>
      <w:bookmarkStart w:id="8045" w:name="_Caption6110"/>
      <w:bookmarkStart w:id="8046" w:name="_Caption4189"/>
      <w:bookmarkStart w:id="8047" w:name="_Caption5321"/>
      <w:bookmarkStart w:id="8048" w:name="_Caption5401"/>
      <w:bookmarkStart w:id="8049" w:name="_Caption8813"/>
      <w:bookmarkStart w:id="8050" w:name="_Caption2763"/>
      <w:bookmarkStart w:id="8051" w:name="_Caption9744"/>
      <w:bookmarkStart w:id="8052" w:name="_Caption3448"/>
      <w:bookmarkStart w:id="8053" w:name="_Caption4010"/>
      <w:bookmarkStart w:id="8054" w:name="_Caption9681"/>
      <w:bookmarkStart w:id="8055" w:name="_Caption3140"/>
      <w:bookmarkStart w:id="8056" w:name="_Caption3127"/>
      <w:bookmarkStart w:id="8057" w:name="_Caption2772"/>
      <w:bookmarkStart w:id="8058" w:name="_Caption0392"/>
      <w:bookmarkStart w:id="8059" w:name="_Caption3331"/>
      <w:bookmarkStart w:id="8060" w:name="_Caption1541"/>
      <w:bookmarkStart w:id="8061" w:name="_Caption4092"/>
      <w:bookmarkStart w:id="8062" w:name="_Caption0071"/>
      <w:bookmarkStart w:id="8063" w:name="_Caption1587"/>
      <w:bookmarkStart w:id="8064" w:name="_Caption3798"/>
      <w:bookmarkStart w:id="8065" w:name="_Caption0933"/>
      <w:bookmarkStart w:id="8066" w:name="_Caption0250"/>
      <w:bookmarkStart w:id="8067" w:name="_Caption3349"/>
      <w:bookmarkStart w:id="8068" w:name="_Caption2120"/>
      <w:bookmarkStart w:id="8069" w:name="_Caption8002"/>
      <w:bookmarkStart w:id="8070" w:name="_Caption4123"/>
      <w:bookmarkStart w:id="8071" w:name="_Caption7224"/>
      <w:bookmarkStart w:id="8072" w:name="_Caption3279"/>
      <w:bookmarkStart w:id="8073" w:name="_Caption0977"/>
      <w:bookmarkStart w:id="8074" w:name="_Caption6914"/>
      <w:bookmarkStart w:id="8075" w:name="_Caption4328"/>
      <w:bookmarkStart w:id="8076" w:name="_Caption9581"/>
      <w:bookmarkStart w:id="8077" w:name="_Caption5132"/>
      <w:bookmarkStart w:id="8078" w:name="_Caption7575"/>
      <w:bookmarkStart w:id="8079" w:name="_Caption0168"/>
      <w:bookmarkStart w:id="8080" w:name="_Caption9723"/>
      <w:bookmarkStart w:id="8081" w:name="_Caption0087"/>
      <w:bookmarkStart w:id="8082" w:name="_Caption8309"/>
      <w:bookmarkStart w:id="8083" w:name="_Caption6438"/>
      <w:bookmarkStart w:id="8084" w:name="_Caption7363"/>
      <w:bookmarkStart w:id="8085" w:name="_Caption2420"/>
      <w:bookmarkStart w:id="8086" w:name="_Caption1121"/>
      <w:bookmarkStart w:id="8087" w:name="_Caption0172"/>
      <w:bookmarkStart w:id="8088" w:name="_Caption3894"/>
      <w:bookmarkStart w:id="8089" w:name="_Caption2406"/>
      <w:bookmarkStart w:id="8090" w:name="_Caption8774"/>
      <w:bookmarkStart w:id="8091" w:name="_Caption4188"/>
      <w:bookmarkStart w:id="8092" w:name="_Caption5230"/>
      <w:bookmarkStart w:id="8093" w:name="_Caption6473"/>
      <w:bookmarkStart w:id="8094" w:name="_Caption1336"/>
      <w:bookmarkStart w:id="8095" w:name="_Caption2628"/>
      <w:bookmarkStart w:id="8096" w:name="_Caption7284"/>
      <w:bookmarkStart w:id="8097" w:name="_Caption2807"/>
      <w:bookmarkStart w:id="8098" w:name="_Caption7543"/>
      <w:bookmarkStart w:id="8099" w:name="_Caption7291"/>
      <w:bookmarkStart w:id="8100" w:name="_Caption1136"/>
      <w:bookmarkStart w:id="8101" w:name="_Caption2993"/>
      <w:bookmarkStart w:id="8102" w:name="_Caption8941"/>
      <w:bookmarkStart w:id="8103" w:name="_Caption1931"/>
      <w:bookmarkStart w:id="8104" w:name="_Caption3764"/>
      <w:bookmarkStart w:id="8105" w:name="_Caption9887"/>
      <w:bookmarkStart w:id="8106" w:name="_Caption3621"/>
      <w:bookmarkStart w:id="8107" w:name="_Caption3423"/>
      <w:bookmarkStart w:id="8108" w:name="_Caption1340"/>
      <w:bookmarkStart w:id="8109" w:name="_Caption8323"/>
      <w:bookmarkStart w:id="8110" w:name="_Caption6994"/>
      <w:bookmarkStart w:id="8111" w:name="_Caption0705"/>
      <w:bookmarkStart w:id="8112" w:name="_Caption0319"/>
      <w:bookmarkStart w:id="8113" w:name="_Caption6769"/>
      <w:bookmarkStart w:id="8114" w:name="_Caption8671"/>
      <w:bookmarkStart w:id="8115" w:name="_Caption6290"/>
      <w:bookmarkStart w:id="8116" w:name="_Caption2656"/>
      <w:bookmarkStart w:id="8117" w:name="_Caption9006"/>
      <w:bookmarkStart w:id="8118" w:name="_Caption5142"/>
      <w:bookmarkStart w:id="8119" w:name="_Caption5958"/>
      <w:bookmarkStart w:id="8120" w:name="_Caption1701"/>
      <w:bookmarkStart w:id="8121" w:name="_Caption9717"/>
      <w:bookmarkStart w:id="8122" w:name="_Caption3813"/>
      <w:bookmarkStart w:id="8123" w:name="_Caption2261"/>
      <w:bookmarkStart w:id="8124" w:name="_Toc32321891"/>
      <w:bookmarkStart w:id="8125" w:name="_Toc44598604"/>
      <w:bookmarkStart w:id="8126" w:name="_Toc45654235"/>
      <w:r w:rsidR="00272AF3">
        <w:rPr>
          <w:noProof/>
        </w:rPr>
        <w:t>G</w:t>
      </w:r>
      <w:r w:rsidR="00272AF3" w:rsidRPr="00695C93">
        <w:rPr>
          <w:noProof/>
        </w:rPr>
        <w:t>.</w:t>
      </w:r>
      <w:r w:rsidR="00272AF3">
        <w:rPr>
          <w:noProof/>
        </w:rPr>
        <w:t>10</w:t>
      </w:r>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r w:rsidRPr="00695C93">
        <w:fldChar w:fldCharType="end"/>
      </w:r>
      <w:r w:rsidRPr="00695C93">
        <w:tab/>
      </w:r>
      <w:r>
        <w:t>Morbidity cost of depression</w:t>
      </w:r>
      <w:bookmarkEnd w:id="8124"/>
      <w:bookmarkEnd w:id="8125"/>
      <w:bookmarkEnd w:id="8126"/>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G.10"/>
        <w:tblDescription w:val="Morbidity cost of depression"/>
      </w:tblPr>
      <w:tblGrid>
        <w:gridCol w:w="3800"/>
        <w:gridCol w:w="2068"/>
        <w:gridCol w:w="2068"/>
      </w:tblGrid>
      <w:tr w:rsidR="007C6A5F" w:rsidRPr="00E8116F" w:rsidTr="009126C5">
        <w:trPr>
          <w:trHeight w:val="230"/>
          <w:tblHeader/>
        </w:trPr>
        <w:tc>
          <w:tcPr>
            <w:tcW w:w="3800" w:type="dxa"/>
            <w:shd w:val="clear" w:color="auto" w:fill="6F6652" w:themeFill="accent5"/>
          </w:tcPr>
          <w:p w:rsidR="007C6A5F" w:rsidRPr="00E8116F" w:rsidRDefault="008C2369" w:rsidP="00C36DA4">
            <w:pPr>
              <w:pStyle w:val="TableDataColumnHeading"/>
              <w:jc w:val="left"/>
              <w:rPr>
                <w:lang w:val="en-GB"/>
              </w:rPr>
            </w:pPr>
            <w:r>
              <w:rPr>
                <w:lang w:val="en-GB"/>
              </w:rPr>
              <w:t>Depression type</w:t>
            </w:r>
          </w:p>
        </w:tc>
        <w:tc>
          <w:tcPr>
            <w:tcW w:w="2068" w:type="dxa"/>
            <w:shd w:val="clear" w:color="auto" w:fill="6F6652" w:themeFill="accent5"/>
          </w:tcPr>
          <w:p w:rsidR="007C6A5F" w:rsidRPr="00E8116F" w:rsidRDefault="007C6A5F" w:rsidP="00C36DA4">
            <w:pPr>
              <w:pStyle w:val="TableDataColumnHeading"/>
              <w:rPr>
                <w:lang w:val="en-GB"/>
              </w:rPr>
            </w:pPr>
            <w:r w:rsidRPr="00E8116F">
              <w:rPr>
                <w:lang w:val="en-GB"/>
              </w:rPr>
              <w:t xml:space="preserve">Disability weight </w:t>
            </w:r>
            <w:r w:rsidRPr="00A96B1A">
              <w:rPr>
                <w:rStyle w:val="NoteLabel"/>
                <w:color w:val="FFFFFF" w:themeColor="background1"/>
              </w:rPr>
              <w:t>a</w:t>
            </w:r>
          </w:p>
        </w:tc>
        <w:tc>
          <w:tcPr>
            <w:tcW w:w="2068" w:type="dxa"/>
            <w:shd w:val="clear" w:color="auto" w:fill="6F6652" w:themeFill="accent5"/>
          </w:tcPr>
          <w:p w:rsidR="008C121C" w:rsidRPr="00E8116F" w:rsidRDefault="007C6A5F" w:rsidP="009126C5">
            <w:pPr>
              <w:pStyle w:val="TableDataColumnHeading"/>
              <w:rPr>
                <w:lang w:val="en-GB"/>
              </w:rPr>
            </w:pPr>
            <w:r w:rsidRPr="00E8116F">
              <w:rPr>
                <w:lang w:val="en-GB"/>
              </w:rPr>
              <w:t xml:space="preserve">Annual cost </w:t>
            </w:r>
            <w:r w:rsidRPr="00A96B1A">
              <w:rPr>
                <w:rStyle w:val="NoteLabel"/>
                <w:color w:val="FFFFFF" w:themeColor="background1"/>
              </w:rPr>
              <w:t>b</w:t>
            </w:r>
            <w:r w:rsidR="009126C5">
              <w:rPr>
                <w:lang w:val="en-GB"/>
              </w:rPr>
              <w:t xml:space="preserve"> </w:t>
            </w:r>
            <w:r w:rsidR="008C121C" w:rsidRPr="008C121C">
              <w:rPr>
                <w:lang w:val="en-GB"/>
              </w:rPr>
              <w:t>(</w:t>
            </w:r>
            <w:r w:rsidR="008C121C">
              <w:rPr>
                <w:lang w:val="en-GB"/>
              </w:rPr>
              <w:t>$</w:t>
            </w:r>
            <w:r w:rsidR="008C121C" w:rsidRPr="008C121C">
              <w:rPr>
                <w:lang w:val="en-GB"/>
              </w:rPr>
              <w:t>)</w:t>
            </w:r>
          </w:p>
        </w:tc>
      </w:tr>
      <w:tr w:rsidR="007C6A5F" w:rsidTr="000F1718">
        <w:trPr>
          <w:trHeight w:val="230"/>
        </w:trPr>
        <w:tc>
          <w:tcPr>
            <w:tcW w:w="380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792FBF">
            <w:pPr>
              <w:pStyle w:val="TableDataEntries"/>
              <w:spacing w:before="20"/>
              <w:jc w:val="left"/>
              <w:rPr>
                <w:lang w:val="en-GB"/>
              </w:rPr>
            </w:pPr>
            <w:r>
              <w:rPr>
                <w:lang w:val="en-GB"/>
              </w:rPr>
              <w:t>Mild major depressive disorder</w:t>
            </w:r>
          </w:p>
        </w:tc>
        <w:tc>
          <w:tcPr>
            <w:tcW w:w="20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792FBF">
            <w:pPr>
              <w:pStyle w:val="TableDataEntries"/>
              <w:spacing w:before="20"/>
              <w:rPr>
                <w:lang w:val="en-GB"/>
              </w:rPr>
            </w:pPr>
            <w:r>
              <w:rPr>
                <w:lang w:val="en-GB"/>
              </w:rPr>
              <w:t xml:space="preserve"> 0.145</w:t>
            </w:r>
          </w:p>
        </w:tc>
        <w:tc>
          <w:tcPr>
            <w:tcW w:w="20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792FBF">
            <w:pPr>
              <w:pStyle w:val="TableDataEntries"/>
              <w:spacing w:before="20"/>
              <w:rPr>
                <w:lang w:val="en-GB"/>
              </w:rPr>
            </w:pPr>
            <w:r>
              <w:rPr>
                <w:lang w:val="en-GB"/>
              </w:rPr>
              <w:t>28 275</w:t>
            </w:r>
          </w:p>
        </w:tc>
      </w:tr>
      <w:tr w:rsidR="007C6A5F" w:rsidTr="00B5160B">
        <w:trPr>
          <w:trHeight w:val="230"/>
        </w:trPr>
        <w:tc>
          <w:tcPr>
            <w:tcW w:w="380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792FBF">
            <w:pPr>
              <w:pStyle w:val="TableDataEntries"/>
              <w:spacing w:before="20"/>
              <w:jc w:val="left"/>
              <w:rPr>
                <w:lang w:val="en-GB"/>
              </w:rPr>
            </w:pPr>
            <w:r>
              <w:rPr>
                <w:lang w:val="en-GB"/>
              </w:rPr>
              <w:t>Moderate major depressive disorder</w:t>
            </w:r>
          </w:p>
        </w:tc>
        <w:tc>
          <w:tcPr>
            <w:tcW w:w="20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792FBF">
            <w:pPr>
              <w:pStyle w:val="TableDataEntries"/>
              <w:spacing w:before="20"/>
              <w:rPr>
                <w:lang w:val="en-GB"/>
              </w:rPr>
            </w:pPr>
            <w:r>
              <w:rPr>
                <w:lang w:val="en-GB"/>
              </w:rPr>
              <w:t xml:space="preserve"> 0.396</w:t>
            </w:r>
          </w:p>
        </w:tc>
        <w:tc>
          <w:tcPr>
            <w:tcW w:w="2068" w:type="dxa"/>
            <w:tcBorders>
              <w:top w:val="single" w:sz="8" w:space="0" w:color="FFFFFF" w:themeColor="background1"/>
              <w:bottom w:val="single" w:sz="8" w:space="0" w:color="FFFFFF" w:themeColor="background1"/>
            </w:tcBorders>
            <w:shd w:val="clear" w:color="auto" w:fill="E9E8E5" w:themeFill="background2"/>
          </w:tcPr>
          <w:p w:rsidR="007C6A5F" w:rsidRDefault="007C6A5F" w:rsidP="00792FBF">
            <w:pPr>
              <w:pStyle w:val="TableDataEntries"/>
              <w:spacing w:before="20"/>
              <w:rPr>
                <w:lang w:val="en-GB"/>
              </w:rPr>
            </w:pPr>
            <w:r>
              <w:rPr>
                <w:lang w:val="en-GB"/>
              </w:rPr>
              <w:t>77 220</w:t>
            </w:r>
          </w:p>
        </w:tc>
      </w:tr>
      <w:tr w:rsidR="007C6A5F" w:rsidTr="00B5160B">
        <w:trPr>
          <w:trHeight w:val="230"/>
        </w:trPr>
        <w:tc>
          <w:tcPr>
            <w:tcW w:w="3800" w:type="dxa"/>
            <w:tcBorders>
              <w:top w:val="single" w:sz="8" w:space="0" w:color="FFFFFF" w:themeColor="background1"/>
              <w:bottom w:val="single" w:sz="4" w:space="0" w:color="6F6652" w:themeColor="accent5"/>
            </w:tcBorders>
            <w:shd w:val="clear" w:color="auto" w:fill="E9E8E5" w:themeFill="background2"/>
          </w:tcPr>
          <w:p w:rsidR="007C6A5F" w:rsidRDefault="007C6A5F" w:rsidP="00792FBF">
            <w:pPr>
              <w:pStyle w:val="TableDataEntries"/>
              <w:spacing w:before="20"/>
              <w:jc w:val="left"/>
              <w:rPr>
                <w:lang w:val="en-GB"/>
              </w:rPr>
            </w:pPr>
            <w:r>
              <w:rPr>
                <w:lang w:val="en-GB"/>
              </w:rPr>
              <w:t>Severe major depressive disorder</w:t>
            </w:r>
          </w:p>
        </w:tc>
        <w:tc>
          <w:tcPr>
            <w:tcW w:w="2068" w:type="dxa"/>
            <w:tcBorders>
              <w:top w:val="single" w:sz="8" w:space="0" w:color="FFFFFF" w:themeColor="background1"/>
              <w:bottom w:val="single" w:sz="4" w:space="0" w:color="6F6652" w:themeColor="accent5"/>
            </w:tcBorders>
            <w:shd w:val="clear" w:color="auto" w:fill="E9E8E5" w:themeFill="background2"/>
          </w:tcPr>
          <w:p w:rsidR="007C6A5F" w:rsidRDefault="007C6A5F" w:rsidP="00792FBF">
            <w:pPr>
              <w:pStyle w:val="TableDataEntries"/>
              <w:spacing w:before="20"/>
              <w:rPr>
                <w:lang w:val="en-GB"/>
              </w:rPr>
            </w:pPr>
            <w:r>
              <w:rPr>
                <w:lang w:val="en-GB"/>
              </w:rPr>
              <w:t xml:space="preserve"> 0.658</w:t>
            </w:r>
          </w:p>
        </w:tc>
        <w:tc>
          <w:tcPr>
            <w:tcW w:w="2068" w:type="dxa"/>
            <w:tcBorders>
              <w:top w:val="single" w:sz="8" w:space="0" w:color="FFFFFF" w:themeColor="background1"/>
              <w:bottom w:val="single" w:sz="4" w:space="0" w:color="6F6652" w:themeColor="accent5"/>
            </w:tcBorders>
            <w:shd w:val="clear" w:color="auto" w:fill="E9E8E5" w:themeFill="background2"/>
          </w:tcPr>
          <w:p w:rsidR="007C6A5F" w:rsidRDefault="007C6A5F" w:rsidP="00792FBF">
            <w:pPr>
              <w:pStyle w:val="TableDataEntries"/>
              <w:spacing w:before="20"/>
              <w:rPr>
                <w:lang w:val="en-GB"/>
              </w:rPr>
            </w:pPr>
            <w:r>
              <w:rPr>
                <w:lang w:val="en-GB"/>
              </w:rPr>
              <w:t>128 310</w:t>
            </w:r>
          </w:p>
        </w:tc>
      </w:tr>
    </w:tbl>
    <w:p w:rsidR="007C6A5F" w:rsidRPr="00E4232C" w:rsidRDefault="007C6A5F" w:rsidP="007C6A5F">
      <w:pPr>
        <w:pStyle w:val="Note"/>
      </w:pPr>
      <w:r w:rsidRPr="00A96B1A">
        <w:rPr>
          <w:rStyle w:val="NoteLabel"/>
          <w:color w:val="000000" w:themeColor="text1"/>
        </w:rPr>
        <w:t>a</w:t>
      </w:r>
      <w:r>
        <w:t xml:space="preserve"> From Global Burden of Disease 2017. </w:t>
      </w:r>
      <w:r w:rsidRPr="00A96B1A">
        <w:rPr>
          <w:rStyle w:val="NoteLabel"/>
          <w:color w:val="000000" w:themeColor="text1"/>
        </w:rPr>
        <w:t>b</w:t>
      </w:r>
      <w:r>
        <w:t xml:space="preserve"> Uses a value of life year of $195 000 based on OBPR recommendations.</w:t>
      </w:r>
    </w:p>
    <w:p w:rsidR="007C6A5F" w:rsidRDefault="007C6A5F" w:rsidP="007C6A5F">
      <w:pPr>
        <w:pStyle w:val="Source"/>
        <w:rPr>
          <w:lang w:bidi="fa-IR"/>
        </w:rPr>
      </w:pPr>
      <w:r w:rsidRPr="000107A5">
        <w:rPr>
          <w:i/>
          <w:lang w:bidi="fa-IR"/>
        </w:rPr>
        <w:t>Source:</w:t>
      </w:r>
      <w:r>
        <w:rPr>
          <w:lang w:bidi="fa-IR"/>
        </w:rPr>
        <w:t xml:space="preserve"> </w:t>
      </w:r>
      <w:r>
        <w:t xml:space="preserve">Global Burden of Disease 2017, </w:t>
      </w:r>
      <w:hyperlink r:id="rId52" w:history="1">
        <w:r w:rsidRPr="00F875E9">
          <w:rPr>
            <w:rStyle w:val="Hyperlink"/>
          </w:rPr>
          <w:t>http://ghdx.healthdata.org/record/ihme-data/gbd-2017-disability-weights</w:t>
        </w:r>
      </w:hyperlink>
      <w:r>
        <w:t xml:space="preserve">, accessed 30 January 2020; Department of Prime Minister and Cabinet, Office of Best Practice Regulation, </w:t>
      </w:r>
      <w:hyperlink r:id="rId53" w:history="1">
        <w:r>
          <w:rPr>
            <w:rStyle w:val="Hyperlink"/>
          </w:rPr>
          <w:t>https://www.pmc.gov.au/sites/default/files/publications/value-of-statistical-life-guidance-note_0_0.pdf</w:t>
        </w:r>
      </w:hyperlink>
      <w:r>
        <w:t>, accessed 6 February 2020.</w:t>
      </w:r>
    </w:p>
    <w:p w:rsidR="007C6A5F" w:rsidRDefault="007C6A5F" w:rsidP="007C6A5F">
      <w:pPr>
        <w:pStyle w:val="BodyText"/>
        <w:rPr>
          <w:lang w:bidi="fa-IR"/>
        </w:rPr>
      </w:pPr>
      <w:r>
        <w:rPr>
          <w:lang w:bidi="fa-IR"/>
        </w:rPr>
        <w:t>Bringing the above information together suggests a weighted average cost of around $26 809 per year for each additional person admitted to residential aged care (table </w:t>
      </w:r>
      <w:r w:rsidR="002D379A">
        <w:rPr>
          <w:lang w:bidi="fa-IR"/>
        </w:rPr>
        <w:fldChar w:fldCharType="begin"/>
      </w:r>
      <w:r w:rsidR="002D379A">
        <w:rPr>
          <w:lang w:bidi="fa-IR"/>
        </w:rPr>
        <w:instrText xml:space="preserve"> REF _Caption6398 </w:instrText>
      </w:r>
      <w:r w:rsidR="002D379A">
        <w:rPr>
          <w:lang w:bidi="fa-IR"/>
        </w:rPr>
        <w:fldChar w:fldCharType="separate"/>
      </w:r>
      <w:r w:rsidR="002D379A">
        <w:rPr>
          <w:noProof/>
        </w:rPr>
        <w:t>G</w:t>
      </w:r>
      <w:r w:rsidR="002D379A" w:rsidRPr="00695C93">
        <w:rPr>
          <w:noProof/>
        </w:rPr>
        <w:t>.</w:t>
      </w:r>
      <w:r w:rsidR="002D379A">
        <w:rPr>
          <w:noProof/>
        </w:rPr>
        <w:t>11</w:t>
      </w:r>
      <w:r w:rsidR="002D379A">
        <w:rPr>
          <w:lang w:bidi="fa-IR"/>
        </w:rPr>
        <w:fldChar w:fldCharType="end"/>
      </w:r>
      <w:r>
        <w:rPr>
          <w:lang w:bidi="fa-IR"/>
        </w:rPr>
        <w:t>).</w:t>
      </w:r>
    </w:p>
    <w:p w:rsidR="007C6A5F" w:rsidRDefault="007C6A5F" w:rsidP="007C6A5F">
      <w:pPr>
        <w:pStyle w:val="Caption"/>
        <w:ind w:left="568" w:hanging="568"/>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G</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separate"/>
      </w:r>
      <w:r>
        <w:rPr>
          <w:noProof/>
        </w:rPr>
        <w:instrText>2</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G</w:instrText>
      </w:r>
      <w:r>
        <w:rPr>
          <w:noProof/>
        </w:rPr>
        <w:fldChar w:fldCharType="end"/>
      </w:r>
      <w:r w:rsidRPr="00695C93">
        <w:instrText xml:space="preserve">." </w:instrText>
      </w:r>
      <w:r w:rsidRPr="00695C93">
        <w:fldChar w:fldCharType="separate"/>
      </w:r>
      <w:r>
        <w:rPr>
          <w:noProof/>
        </w:rPr>
        <w:instrText>G</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G</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11</w:instrText>
      </w:r>
      <w:r w:rsidRPr="00695C93">
        <w:fldChar w:fldCharType="end"/>
      </w:r>
      <w:r w:rsidRPr="00695C93">
        <w:instrText xml:space="preserve">" "" </w:instrText>
      </w:r>
      <w:r w:rsidRPr="00695C93">
        <w:fldChar w:fldCharType="separate"/>
      </w:r>
      <w:bookmarkStart w:id="8127" w:name="_Caption4910"/>
      <w:bookmarkStart w:id="8128" w:name="_Caption3400"/>
      <w:bookmarkStart w:id="8129" w:name="_Caption6398"/>
      <w:bookmarkStart w:id="8130" w:name="_Caption4964"/>
      <w:bookmarkStart w:id="8131" w:name="_Toc44598605"/>
      <w:bookmarkStart w:id="8132" w:name="_Toc45654236"/>
      <w:r w:rsidR="00272AF3">
        <w:rPr>
          <w:noProof/>
        </w:rPr>
        <w:t>G</w:t>
      </w:r>
      <w:r w:rsidR="00272AF3" w:rsidRPr="00695C93">
        <w:rPr>
          <w:noProof/>
        </w:rPr>
        <w:t>.</w:t>
      </w:r>
      <w:r w:rsidR="00272AF3">
        <w:rPr>
          <w:noProof/>
        </w:rPr>
        <w:t>11</w:t>
      </w:r>
      <w:bookmarkEnd w:id="8127"/>
      <w:bookmarkEnd w:id="8128"/>
      <w:bookmarkEnd w:id="8129"/>
      <w:bookmarkEnd w:id="8130"/>
      <w:r w:rsidRPr="00695C93">
        <w:fldChar w:fldCharType="end"/>
      </w:r>
      <w:r w:rsidRPr="00695C93">
        <w:tab/>
      </w:r>
      <w:r>
        <w:t>Estimated morbidity cost of depression from inappropriate or premature entry into residential aged care</w:t>
      </w:r>
      <w:bookmarkEnd w:id="8131"/>
      <w:bookmarkEnd w:id="8132"/>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G.11"/>
        <w:tblDescription w:val="Estimated morbidity cost of depression from inappropriate or premature entry into residential aged care"/>
      </w:tblPr>
      <w:tblGrid>
        <w:gridCol w:w="3402"/>
        <w:gridCol w:w="2467"/>
        <w:gridCol w:w="2069"/>
      </w:tblGrid>
      <w:tr w:rsidR="007C6A5F" w:rsidTr="009126C5">
        <w:trPr>
          <w:trHeight w:val="105"/>
          <w:tblHeader/>
        </w:trPr>
        <w:tc>
          <w:tcPr>
            <w:tcW w:w="3402" w:type="dxa"/>
            <w:shd w:val="clear" w:color="auto" w:fill="6F6652" w:themeFill="accent5"/>
          </w:tcPr>
          <w:p w:rsidR="007C6A5F" w:rsidRDefault="008C2369" w:rsidP="00C36DA4">
            <w:pPr>
              <w:pStyle w:val="TableDataColumnHeading"/>
              <w:jc w:val="left"/>
              <w:rPr>
                <w:lang w:val="en-GB"/>
              </w:rPr>
            </w:pPr>
            <w:r>
              <w:rPr>
                <w:lang w:val="en-GB"/>
              </w:rPr>
              <w:t>Depression type</w:t>
            </w:r>
          </w:p>
        </w:tc>
        <w:tc>
          <w:tcPr>
            <w:tcW w:w="2467" w:type="dxa"/>
            <w:shd w:val="clear" w:color="auto" w:fill="6F6652" w:themeFill="accent5"/>
          </w:tcPr>
          <w:p w:rsidR="008C121C" w:rsidRPr="008222CC" w:rsidRDefault="007C6A5F" w:rsidP="009126C5">
            <w:pPr>
              <w:pStyle w:val="TableDataColumnHeading"/>
              <w:rPr>
                <w:color w:val="FFFFFF" w:themeColor="background1"/>
                <w:lang w:val="en-GB"/>
              </w:rPr>
            </w:pPr>
            <w:r w:rsidRPr="008222CC">
              <w:rPr>
                <w:color w:val="FFFFFF" w:themeColor="background1"/>
                <w:lang w:val="en-GB"/>
              </w:rPr>
              <w:t xml:space="preserve">Share of permanent aged care residents </w:t>
            </w:r>
            <w:r w:rsidRPr="008222CC">
              <w:rPr>
                <w:rStyle w:val="NoteLabel"/>
                <w:color w:val="FFFFFF" w:themeColor="background1"/>
              </w:rPr>
              <w:t>a</w:t>
            </w:r>
            <w:r w:rsidR="009126C5">
              <w:rPr>
                <w:lang w:val="en-GB"/>
              </w:rPr>
              <w:t xml:space="preserve"> </w:t>
            </w:r>
            <w:r w:rsidR="008C121C" w:rsidRPr="008C121C">
              <w:rPr>
                <w:lang w:val="en-GB"/>
              </w:rPr>
              <w:t>(</w:t>
            </w:r>
            <w:r w:rsidR="009126C5">
              <w:rPr>
                <w:lang w:val="en-GB"/>
              </w:rPr>
              <w:t>p</w:t>
            </w:r>
            <w:r w:rsidR="008C121C" w:rsidRPr="008C121C">
              <w:rPr>
                <w:lang w:val="en-GB"/>
              </w:rPr>
              <w:t>er cent)</w:t>
            </w:r>
          </w:p>
        </w:tc>
        <w:tc>
          <w:tcPr>
            <w:tcW w:w="2069" w:type="dxa"/>
            <w:shd w:val="clear" w:color="auto" w:fill="6F6652" w:themeFill="accent5"/>
          </w:tcPr>
          <w:p w:rsidR="008C121C" w:rsidRPr="008222CC" w:rsidRDefault="007C6A5F" w:rsidP="005F1EF2">
            <w:pPr>
              <w:pStyle w:val="TableDataColumnHeading"/>
              <w:rPr>
                <w:color w:val="FFFFFF" w:themeColor="background1"/>
                <w:lang w:val="en-GB"/>
              </w:rPr>
            </w:pPr>
            <w:r w:rsidRPr="008222CC">
              <w:rPr>
                <w:color w:val="FFFFFF" w:themeColor="background1"/>
                <w:lang w:val="en-GB"/>
              </w:rPr>
              <w:t xml:space="preserve">Annual cost </w:t>
            </w:r>
            <w:r w:rsidR="008222CC" w:rsidRPr="008222CC">
              <w:rPr>
                <w:rStyle w:val="NoteLabel"/>
                <w:color w:val="FFFFFF" w:themeColor="background1"/>
              </w:rPr>
              <w:t>b</w:t>
            </w:r>
            <w:r w:rsidR="005F1EF2">
              <w:rPr>
                <w:lang w:val="en-GB"/>
              </w:rPr>
              <w:br/>
              <w:t xml:space="preserve"> </w:t>
            </w:r>
            <w:r w:rsidR="008C121C" w:rsidRPr="008C121C">
              <w:rPr>
                <w:lang w:val="en-GB"/>
              </w:rPr>
              <w:t>(</w:t>
            </w:r>
            <w:r w:rsidR="008C121C">
              <w:rPr>
                <w:lang w:val="en-GB"/>
              </w:rPr>
              <w:t>$</w:t>
            </w:r>
            <w:r w:rsidR="008C121C" w:rsidRPr="008C121C">
              <w:rPr>
                <w:lang w:val="en-GB"/>
              </w:rPr>
              <w:t>)</w:t>
            </w:r>
          </w:p>
        </w:tc>
      </w:tr>
      <w:tr w:rsidR="007C6A5F" w:rsidTr="009126C5">
        <w:trPr>
          <w:trHeight w:val="230"/>
        </w:trPr>
        <w:tc>
          <w:tcPr>
            <w:tcW w:w="340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792FBF">
            <w:pPr>
              <w:pStyle w:val="TableDataEntries"/>
              <w:spacing w:before="0"/>
              <w:jc w:val="left"/>
              <w:rPr>
                <w:lang w:val="en-GB"/>
              </w:rPr>
            </w:pPr>
            <w:r>
              <w:rPr>
                <w:lang w:val="en-GB"/>
              </w:rPr>
              <w:t>Mild major depressive disorder</w:t>
            </w:r>
          </w:p>
        </w:tc>
        <w:tc>
          <w:tcPr>
            <w:tcW w:w="246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792FBF">
            <w:pPr>
              <w:pStyle w:val="TableDataEntries"/>
              <w:spacing w:before="0"/>
              <w:rPr>
                <w:lang w:val="en-GB"/>
              </w:rPr>
            </w:pPr>
            <w:r>
              <w:rPr>
                <w:lang w:val="en-GB"/>
              </w:rPr>
              <w:t xml:space="preserve"> 18.1</w:t>
            </w:r>
          </w:p>
        </w:tc>
        <w:tc>
          <w:tcPr>
            <w:tcW w:w="206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792FBF">
            <w:pPr>
              <w:pStyle w:val="TableDataEntries"/>
              <w:spacing w:before="0"/>
              <w:rPr>
                <w:lang w:val="en-GB"/>
              </w:rPr>
            </w:pPr>
            <w:r>
              <w:rPr>
                <w:lang w:val="en-GB"/>
              </w:rPr>
              <w:t>28 275</w:t>
            </w:r>
          </w:p>
        </w:tc>
      </w:tr>
      <w:tr w:rsidR="007C6A5F" w:rsidTr="009126C5">
        <w:trPr>
          <w:trHeight w:val="230"/>
        </w:trPr>
        <w:tc>
          <w:tcPr>
            <w:tcW w:w="340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792FBF">
            <w:pPr>
              <w:pStyle w:val="TableDataEntries"/>
              <w:spacing w:before="0"/>
              <w:jc w:val="left"/>
              <w:rPr>
                <w:lang w:val="en-GB"/>
              </w:rPr>
            </w:pPr>
            <w:r>
              <w:rPr>
                <w:lang w:val="en-GB"/>
              </w:rPr>
              <w:t>Moderate major depressive disorder</w:t>
            </w:r>
          </w:p>
        </w:tc>
        <w:tc>
          <w:tcPr>
            <w:tcW w:w="246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792FBF">
            <w:pPr>
              <w:pStyle w:val="TableDataEntries"/>
              <w:spacing w:before="0"/>
              <w:rPr>
                <w:lang w:val="en-GB"/>
              </w:rPr>
            </w:pPr>
            <w:r>
              <w:rPr>
                <w:lang w:val="en-GB"/>
              </w:rPr>
              <w:t xml:space="preserve"> 11.8</w:t>
            </w:r>
          </w:p>
        </w:tc>
        <w:tc>
          <w:tcPr>
            <w:tcW w:w="206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792FBF">
            <w:pPr>
              <w:pStyle w:val="TableDataEntries"/>
              <w:spacing w:before="0"/>
              <w:rPr>
                <w:lang w:val="en-GB"/>
              </w:rPr>
            </w:pPr>
            <w:r>
              <w:rPr>
                <w:lang w:val="en-GB"/>
              </w:rPr>
              <w:t>77 220</w:t>
            </w:r>
          </w:p>
        </w:tc>
      </w:tr>
      <w:tr w:rsidR="007C6A5F" w:rsidTr="009126C5">
        <w:trPr>
          <w:trHeight w:val="230"/>
        </w:trPr>
        <w:tc>
          <w:tcPr>
            <w:tcW w:w="340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792FBF">
            <w:pPr>
              <w:pStyle w:val="TableDataEntries"/>
              <w:spacing w:before="0"/>
              <w:jc w:val="left"/>
              <w:rPr>
                <w:lang w:val="en-GB"/>
              </w:rPr>
            </w:pPr>
            <w:r>
              <w:rPr>
                <w:lang w:val="en-GB"/>
              </w:rPr>
              <w:t>Severe major depressive disorder</w:t>
            </w:r>
          </w:p>
        </w:tc>
        <w:tc>
          <w:tcPr>
            <w:tcW w:w="246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792FBF">
            <w:pPr>
              <w:pStyle w:val="TableDataEntries"/>
              <w:spacing w:before="0"/>
              <w:rPr>
                <w:lang w:val="en-GB"/>
              </w:rPr>
            </w:pPr>
            <w:r>
              <w:rPr>
                <w:lang w:val="en-GB"/>
              </w:rPr>
              <w:t xml:space="preserve"> 9.8</w:t>
            </w:r>
          </w:p>
        </w:tc>
        <w:tc>
          <w:tcPr>
            <w:tcW w:w="206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792FBF">
            <w:pPr>
              <w:pStyle w:val="TableDataEntries"/>
              <w:spacing w:before="0"/>
              <w:rPr>
                <w:lang w:val="en-GB"/>
              </w:rPr>
            </w:pPr>
            <w:r>
              <w:rPr>
                <w:lang w:val="en-GB"/>
              </w:rPr>
              <w:t>128 310</w:t>
            </w:r>
          </w:p>
        </w:tc>
      </w:tr>
      <w:tr w:rsidR="007C6A5F" w:rsidRPr="00E03E4B" w:rsidTr="009126C5">
        <w:trPr>
          <w:trHeight w:val="230"/>
        </w:trPr>
        <w:tc>
          <w:tcPr>
            <w:tcW w:w="3402" w:type="dxa"/>
            <w:tcBorders>
              <w:top w:val="single" w:sz="8" w:space="0" w:color="FFFFFF" w:themeColor="background1"/>
              <w:bottom w:val="single" w:sz="4" w:space="0" w:color="6F6652" w:themeColor="accent5"/>
            </w:tcBorders>
            <w:shd w:val="clear" w:color="auto" w:fill="C2DADB" w:themeFill="accent6" w:themeFillTint="99"/>
          </w:tcPr>
          <w:p w:rsidR="007C6A5F" w:rsidRPr="00E03E4B" w:rsidRDefault="007C6A5F" w:rsidP="00792FBF">
            <w:pPr>
              <w:pStyle w:val="TableDataEntries"/>
              <w:spacing w:before="0"/>
              <w:jc w:val="left"/>
              <w:rPr>
                <w:rFonts w:ascii="Franklin Gothic Demi" w:hAnsi="Franklin Gothic Demi"/>
                <w:lang w:val="en-GB"/>
              </w:rPr>
            </w:pPr>
            <w:r>
              <w:rPr>
                <w:rFonts w:ascii="Franklin Gothic Demi" w:hAnsi="Franklin Gothic Demi"/>
                <w:lang w:val="en-GB"/>
              </w:rPr>
              <w:t>Weighted average cost per person</w:t>
            </w:r>
          </w:p>
        </w:tc>
        <w:tc>
          <w:tcPr>
            <w:tcW w:w="2467" w:type="dxa"/>
            <w:tcBorders>
              <w:top w:val="single" w:sz="8" w:space="0" w:color="FFFFFF" w:themeColor="background1"/>
              <w:bottom w:val="single" w:sz="4" w:space="0" w:color="6F6652" w:themeColor="accent5"/>
            </w:tcBorders>
            <w:shd w:val="clear" w:color="auto" w:fill="C2DADB" w:themeFill="accent6" w:themeFillTint="99"/>
          </w:tcPr>
          <w:p w:rsidR="007C6A5F" w:rsidRPr="00E03E4B" w:rsidRDefault="007C6A5F" w:rsidP="00792FBF">
            <w:pPr>
              <w:pStyle w:val="TableDataEntries"/>
              <w:spacing w:before="0"/>
              <w:rPr>
                <w:rFonts w:ascii="Franklin Gothic Demi" w:hAnsi="Franklin Gothic Demi"/>
                <w:lang w:val="en-GB"/>
              </w:rPr>
            </w:pPr>
          </w:p>
        </w:tc>
        <w:tc>
          <w:tcPr>
            <w:tcW w:w="2069" w:type="dxa"/>
            <w:tcBorders>
              <w:top w:val="single" w:sz="8" w:space="0" w:color="FFFFFF" w:themeColor="background1"/>
              <w:bottom w:val="single" w:sz="4" w:space="0" w:color="6F6652" w:themeColor="accent5"/>
            </w:tcBorders>
            <w:shd w:val="clear" w:color="auto" w:fill="C2DADB" w:themeFill="accent6" w:themeFillTint="99"/>
          </w:tcPr>
          <w:p w:rsidR="007C6A5F" w:rsidRPr="00E03E4B" w:rsidRDefault="007C6A5F" w:rsidP="00792FBF">
            <w:pPr>
              <w:pStyle w:val="TableDataEntries"/>
              <w:spacing w:before="0"/>
              <w:rPr>
                <w:rFonts w:ascii="Franklin Gothic Demi" w:hAnsi="Franklin Gothic Demi"/>
                <w:lang w:val="en-GB"/>
              </w:rPr>
            </w:pPr>
            <w:r>
              <w:rPr>
                <w:rFonts w:ascii="Franklin Gothic Demi" w:hAnsi="Franklin Gothic Demi"/>
                <w:lang w:val="en-GB"/>
              </w:rPr>
              <w:t>26 809</w:t>
            </w:r>
          </w:p>
        </w:tc>
      </w:tr>
    </w:tbl>
    <w:p w:rsidR="007C6A5F" w:rsidRPr="00E4232C" w:rsidRDefault="007C6A5F" w:rsidP="007C6A5F">
      <w:pPr>
        <w:pStyle w:val="Note"/>
      </w:pPr>
      <w:r w:rsidRPr="00A96B1A">
        <w:rPr>
          <w:rStyle w:val="NoteLabel"/>
          <w:color w:val="000000" w:themeColor="text1"/>
        </w:rPr>
        <w:t>a</w:t>
      </w:r>
      <w:r>
        <w:t xml:space="preserve"> See table </w:t>
      </w:r>
      <w:r>
        <w:rPr>
          <w:noProof/>
        </w:rPr>
        <w:fldChar w:fldCharType="begin"/>
      </w:r>
      <w:r>
        <w:rPr>
          <w:noProof/>
        </w:rPr>
        <w:instrText xml:space="preserve"> REF _Caption0348 </w:instrText>
      </w:r>
      <w:r>
        <w:rPr>
          <w:noProof/>
        </w:rPr>
        <w:fldChar w:fldCharType="separate"/>
      </w:r>
      <w:r>
        <w:rPr>
          <w:noProof/>
        </w:rPr>
        <w:t>G</w:t>
      </w:r>
      <w:r w:rsidRPr="00695C93">
        <w:rPr>
          <w:noProof/>
        </w:rPr>
        <w:t>.</w:t>
      </w:r>
      <w:r>
        <w:rPr>
          <w:noProof/>
        </w:rPr>
        <w:t>9</w:t>
      </w:r>
      <w:r>
        <w:rPr>
          <w:noProof/>
        </w:rPr>
        <w:fldChar w:fldCharType="end"/>
      </w:r>
      <w:r>
        <w:t xml:space="preserve"> above. </w:t>
      </w:r>
      <w:r w:rsidRPr="00A96B1A">
        <w:rPr>
          <w:rStyle w:val="NoteLabel"/>
          <w:color w:val="000000" w:themeColor="text1"/>
        </w:rPr>
        <w:t>b</w:t>
      </w:r>
      <w:r>
        <w:t xml:space="preserve"> See table </w:t>
      </w:r>
      <w:r>
        <w:rPr>
          <w:noProof/>
        </w:rPr>
        <w:fldChar w:fldCharType="begin"/>
      </w:r>
      <w:r>
        <w:rPr>
          <w:noProof/>
        </w:rPr>
        <w:instrText xml:space="preserve"> REF _Caption2993 </w:instrText>
      </w:r>
      <w:r>
        <w:rPr>
          <w:noProof/>
        </w:rPr>
        <w:fldChar w:fldCharType="separate"/>
      </w:r>
      <w:r>
        <w:rPr>
          <w:noProof/>
        </w:rPr>
        <w:t>G</w:t>
      </w:r>
      <w:r w:rsidRPr="00695C93">
        <w:rPr>
          <w:noProof/>
        </w:rPr>
        <w:t>.</w:t>
      </w:r>
      <w:r>
        <w:rPr>
          <w:noProof/>
        </w:rPr>
        <w:t>10</w:t>
      </w:r>
      <w:r>
        <w:rPr>
          <w:noProof/>
        </w:rPr>
        <w:fldChar w:fldCharType="end"/>
      </w:r>
      <w:r>
        <w:t xml:space="preserve"> above.</w:t>
      </w:r>
    </w:p>
    <w:p w:rsidR="007C6A5F" w:rsidRDefault="007C6A5F" w:rsidP="007C6A5F">
      <w:pPr>
        <w:pStyle w:val="Source"/>
        <w:rPr>
          <w:lang w:bidi="fa-IR"/>
        </w:rPr>
      </w:pPr>
      <w:r w:rsidRPr="006E2F3E">
        <w:rPr>
          <w:i/>
          <w:lang w:bidi="fa-IR"/>
        </w:rPr>
        <w:t>Source:</w:t>
      </w:r>
      <w:r>
        <w:rPr>
          <w:lang w:bidi="fa-IR"/>
        </w:rPr>
        <w:t xml:space="preserve"> CIE estimates.</w:t>
      </w:r>
    </w:p>
    <w:p w:rsidR="007C6A5F" w:rsidRDefault="007C6A5F" w:rsidP="007C6A5F">
      <w:pPr>
        <w:pStyle w:val="Heading8"/>
        <w:numPr>
          <w:ilvl w:val="7"/>
          <w:numId w:val="5"/>
        </w:numPr>
        <w:rPr>
          <w:lang w:bidi="fa-IR"/>
        </w:rPr>
      </w:pPr>
      <w:r>
        <w:rPr>
          <w:lang w:bidi="fa-IR"/>
        </w:rPr>
        <w:lastRenderedPageBreak/>
        <w:t>Cost impact of inappropriate or premature entry into residential aged care</w:t>
      </w:r>
    </w:p>
    <w:p w:rsidR="007C6A5F" w:rsidRDefault="007C6A5F" w:rsidP="007C6A5F">
      <w:pPr>
        <w:pStyle w:val="BodyText"/>
        <w:rPr>
          <w:lang w:bidi="fa-IR"/>
        </w:rPr>
      </w:pPr>
      <w:r>
        <w:rPr>
          <w:lang w:bidi="fa-IR"/>
        </w:rPr>
        <w:t>These cost impacts estimated below relate specifically to older people in residential aged care. Cost impacts may be somewhat different for younger people, reflecting the different services available to different age groups and possibly some other impacts. However, younger people make up a relatively small share of the total.</w:t>
      </w:r>
    </w:p>
    <w:p w:rsidR="007C6A5F" w:rsidRDefault="007C6A5F" w:rsidP="007C6A5F">
      <w:pPr>
        <w:pStyle w:val="BodyText"/>
        <w:rPr>
          <w:lang w:bidi="fa-IR"/>
        </w:rPr>
      </w:pPr>
      <w:r>
        <w:rPr>
          <w:lang w:bidi="fa-IR"/>
        </w:rPr>
        <w:t>Government subsidies associated with residential aged care are significantly higher than other types of care.</w:t>
      </w:r>
    </w:p>
    <w:p w:rsidR="007C6A5F" w:rsidRDefault="007C6A5F" w:rsidP="005A6F87">
      <w:pPr>
        <w:pStyle w:val="ListBullet"/>
        <w:numPr>
          <w:ilvl w:val="0"/>
          <w:numId w:val="17"/>
        </w:numPr>
        <w:rPr>
          <w:lang w:bidi="fa-IR"/>
        </w:rPr>
      </w:pPr>
      <w:r>
        <w:rPr>
          <w:lang w:bidi="fa-IR"/>
        </w:rPr>
        <w:t>AIHW reports that the average annual Australian Government subsidy per client for residential aged care was estimated at $69 114 in 2018</w:t>
      </w:r>
      <w:r>
        <w:rPr>
          <w:lang w:bidi="fa-IR"/>
        </w:rPr>
        <w:noBreakHyphen/>
        <w:t>19.</w:t>
      </w:r>
    </w:p>
    <w:p w:rsidR="007C6A5F" w:rsidRDefault="007C6A5F" w:rsidP="005A6F87">
      <w:pPr>
        <w:pStyle w:val="ListBullet"/>
        <w:numPr>
          <w:ilvl w:val="0"/>
          <w:numId w:val="17"/>
        </w:numPr>
        <w:rPr>
          <w:lang w:bidi="fa-IR"/>
        </w:rPr>
      </w:pPr>
      <w:r>
        <w:rPr>
          <w:lang w:bidi="fa-IR"/>
        </w:rPr>
        <w:t>By contrast, the average cost for Home Care is around $23 140 in 2018</w:t>
      </w:r>
      <w:r>
        <w:rPr>
          <w:lang w:bidi="fa-IR"/>
        </w:rPr>
        <w:noBreakHyphen/>
        <w:t>19.</w:t>
      </w:r>
    </w:p>
    <w:p w:rsidR="007C6A5F" w:rsidRDefault="007C6A5F" w:rsidP="007C6A5F">
      <w:pPr>
        <w:pStyle w:val="BodyText"/>
        <w:rPr>
          <w:lang w:bidi="fa-IR"/>
        </w:rPr>
      </w:pPr>
      <w:r>
        <w:rPr>
          <w:lang w:bidi="fa-IR"/>
        </w:rPr>
        <w:t>However, this does not take into account client contributions. This could significantly distort the relative cost of different types of care. Furthermore, if someone is inappropriately or prematurely admitted into aged care, it is not clear:</w:t>
      </w:r>
    </w:p>
    <w:p w:rsidR="007C6A5F" w:rsidRDefault="007C6A5F" w:rsidP="005A6F87">
      <w:pPr>
        <w:pStyle w:val="ListBullet"/>
        <w:numPr>
          <w:ilvl w:val="0"/>
          <w:numId w:val="17"/>
        </w:numPr>
        <w:rPr>
          <w:lang w:bidi="fa-IR"/>
        </w:rPr>
      </w:pPr>
      <w:r>
        <w:rPr>
          <w:lang w:bidi="fa-IR"/>
        </w:rPr>
        <w:t>what their care needs would be if they remained at home (i.e. it is not clear if they would need a Home Care Package)</w:t>
      </w:r>
    </w:p>
    <w:p w:rsidR="007C6A5F" w:rsidRDefault="007C6A5F" w:rsidP="005A6F87">
      <w:pPr>
        <w:pStyle w:val="ListBullet"/>
        <w:numPr>
          <w:ilvl w:val="0"/>
          <w:numId w:val="17"/>
        </w:numPr>
        <w:rPr>
          <w:lang w:bidi="fa-IR"/>
        </w:rPr>
      </w:pPr>
      <w:r>
        <w:rPr>
          <w:lang w:bidi="fa-IR"/>
        </w:rPr>
        <w:t>the extent to which residential aged care costs substitute for other costs or are additional (for example, if a partner or other family members of the person inappropriately or prematurely admitted into aged care remains in the family home, accommodation</w:t>
      </w:r>
      <w:r>
        <w:rPr>
          <w:lang w:bidi="fa-IR"/>
        </w:rPr>
        <w:noBreakHyphen/>
        <w:t>related costs in residential aged care are additional).</w:t>
      </w:r>
    </w:p>
    <w:p w:rsidR="007C6A5F" w:rsidRDefault="007C6A5F" w:rsidP="007C6A5F">
      <w:pPr>
        <w:pStyle w:val="BodyText"/>
        <w:rPr>
          <w:lang w:bidi="fa-IR"/>
        </w:rPr>
      </w:pPr>
      <w:r>
        <w:rPr>
          <w:lang w:bidi="fa-IR"/>
        </w:rPr>
        <w:t>Estimating the additional resource costs of inappropriate or premature entry into aged care is therefore not straightforward. We estimate these costs could be around $34 696 per person per year (table </w:t>
      </w:r>
      <w:r>
        <w:rPr>
          <w:lang w:bidi="fa-IR"/>
        </w:rPr>
        <w:fldChar w:fldCharType="begin"/>
      </w:r>
      <w:r>
        <w:rPr>
          <w:lang w:bidi="fa-IR"/>
        </w:rPr>
        <w:instrText xml:space="preserve"> REF _Caption5428 </w:instrText>
      </w:r>
      <w:r>
        <w:rPr>
          <w:lang w:bidi="fa-IR"/>
        </w:rPr>
        <w:fldChar w:fldCharType="separate"/>
      </w:r>
      <w:r>
        <w:rPr>
          <w:noProof/>
        </w:rPr>
        <w:t>G</w:t>
      </w:r>
      <w:r w:rsidRPr="00695C93">
        <w:rPr>
          <w:noProof/>
        </w:rPr>
        <w:t>.</w:t>
      </w:r>
      <w:r>
        <w:rPr>
          <w:noProof/>
        </w:rPr>
        <w:t>12</w:t>
      </w:r>
      <w:r>
        <w:rPr>
          <w:lang w:bidi="fa-IR"/>
        </w:rPr>
        <w:fldChar w:fldCharType="end"/>
      </w:r>
      <w:r>
        <w:rPr>
          <w:lang w:bidi="fa-IR"/>
        </w:rPr>
        <w:t>).</w:t>
      </w:r>
    </w:p>
    <w:p w:rsidR="007C6A5F" w:rsidRDefault="007C6A5F" w:rsidP="005A6F87">
      <w:pPr>
        <w:pStyle w:val="ListBullet"/>
        <w:numPr>
          <w:ilvl w:val="0"/>
          <w:numId w:val="17"/>
        </w:numPr>
        <w:rPr>
          <w:lang w:bidi="fa-IR"/>
        </w:rPr>
      </w:pPr>
      <w:r>
        <w:rPr>
          <w:lang w:bidi="fa-IR"/>
        </w:rPr>
        <w:t>The Aged Care Funding Authority reports that in 2017</w:t>
      </w:r>
      <w:r>
        <w:rPr>
          <w:lang w:bidi="fa-IR"/>
        </w:rPr>
        <w:noBreakHyphen/>
        <w:t>18, total expenses per resident per day in residential aged care is $265.62.</w:t>
      </w:r>
      <w:r>
        <w:rPr>
          <w:rStyle w:val="FootnoteReference"/>
          <w:lang w:bidi="fa-IR"/>
        </w:rPr>
        <w:footnoteReference w:id="114"/>
      </w:r>
      <w:r>
        <w:rPr>
          <w:lang w:bidi="fa-IR"/>
        </w:rPr>
        <w:t xml:space="preserve"> This equates to $96 951 per year (based on 365 days).</w:t>
      </w:r>
    </w:p>
    <w:p w:rsidR="007C6A5F" w:rsidRDefault="007C6A5F" w:rsidP="005A6F87">
      <w:pPr>
        <w:pStyle w:val="ListBullet"/>
        <w:numPr>
          <w:ilvl w:val="0"/>
          <w:numId w:val="17"/>
        </w:numPr>
        <w:rPr>
          <w:lang w:bidi="fa-IR"/>
        </w:rPr>
      </w:pPr>
      <w:r>
        <w:rPr>
          <w:lang w:bidi="fa-IR"/>
        </w:rPr>
        <w:t>Around 67 per cent of these costs relate to care and administration. We assume that these care and administration costs are additional (i.e. would not have been incurred had that person remained at home).</w:t>
      </w:r>
      <w:r>
        <w:rPr>
          <w:rStyle w:val="FootnoteReference"/>
          <w:lang w:bidi="fa-IR"/>
        </w:rPr>
        <w:footnoteReference w:id="115"/>
      </w:r>
      <w:r>
        <w:rPr>
          <w:lang w:bidi="fa-IR"/>
        </w:rPr>
        <w:t xml:space="preserve"> The remaining 33 per cent or $32 102, largely relate to accommodation and daily living expenses, which we assume would have been incurred at home (this implicitly assumes that accommodation and daily living expenses are broadly the same in residential aged as they are at home).</w:t>
      </w:r>
    </w:p>
    <w:p w:rsidR="007C6A5F" w:rsidRDefault="007C6A5F" w:rsidP="005A6F87">
      <w:pPr>
        <w:pStyle w:val="ListBullet"/>
        <w:numPr>
          <w:ilvl w:val="0"/>
          <w:numId w:val="17"/>
        </w:numPr>
        <w:rPr>
          <w:lang w:bidi="fa-IR"/>
        </w:rPr>
      </w:pPr>
      <w:r>
        <w:rPr>
          <w:lang w:bidi="fa-IR"/>
        </w:rPr>
        <w:t>Furthermore, data from AIHW indicates that very few people enter residential aged without first using other aged care programs. The available data suggests that in 2013</w:t>
      </w:r>
      <w:r>
        <w:rPr>
          <w:lang w:bidi="fa-IR"/>
        </w:rPr>
        <w:noBreakHyphen/>
        <w:t>14, only around 10 per cent of new entrants into residential aged care had not previously used another aged care program. We therefore assume that someone entering residential aged care, would have required home support had they remained at home and accordingly subtract $23 141 based on the average cost of a Home Care Package.</w:t>
      </w:r>
    </w:p>
    <w:p w:rsidR="007C6A5F" w:rsidRDefault="007C6A5F" w:rsidP="005A6F87">
      <w:pPr>
        <w:pStyle w:val="ListBullet"/>
        <w:numPr>
          <w:ilvl w:val="0"/>
          <w:numId w:val="17"/>
        </w:numPr>
        <w:rPr>
          <w:lang w:bidi="fa-IR"/>
        </w:rPr>
      </w:pPr>
      <w:r>
        <w:rPr>
          <w:lang w:bidi="fa-IR"/>
        </w:rPr>
        <w:lastRenderedPageBreak/>
        <w:t xml:space="preserve">Many people may have also required informal care had they stayed at home. The modelling results presented above suggested that people are significantly less likely to be in residential aged care if they are married (see table </w:t>
      </w:r>
      <w:r w:rsidRPr="00F36A14">
        <w:rPr>
          <w:lang w:bidi="fa-IR"/>
        </w:rPr>
        <w:t>G.4</w:t>
      </w:r>
      <w:r>
        <w:rPr>
          <w:lang w:bidi="fa-IR"/>
        </w:rPr>
        <w:t xml:space="preserve"> above). This is presumably due to the informal care provided by their spouse. We estimate the value of informal care received by people who remain at home is around $7000 per year. This is based on:</w:t>
      </w:r>
    </w:p>
    <w:p w:rsidR="007C6A5F" w:rsidRDefault="007C6A5F" w:rsidP="005A6F87">
      <w:pPr>
        <w:pStyle w:val="ListBullet2"/>
        <w:numPr>
          <w:ilvl w:val="1"/>
          <w:numId w:val="17"/>
        </w:numPr>
        <w:ind w:left="568" w:hanging="284"/>
        <w:rPr>
          <w:lang w:bidi="fa-IR"/>
        </w:rPr>
      </w:pPr>
      <w:r>
        <w:rPr>
          <w:lang w:bidi="fa-IR"/>
        </w:rPr>
        <w:t>an estimated 6.92 hours of informal care per week, based on the estimates from Carnemolla and Bridge (2019) received by people in accessible homes (although it is not clear whether these estimates are representative of the amount of formal care provided to people at risk of entering residential aged care)</w:t>
      </w:r>
    </w:p>
    <w:p w:rsidR="007C6A5F" w:rsidRDefault="007C6A5F" w:rsidP="005A6F87">
      <w:pPr>
        <w:pStyle w:val="ListBullet2"/>
        <w:numPr>
          <w:ilvl w:val="1"/>
          <w:numId w:val="17"/>
        </w:numPr>
        <w:ind w:left="568" w:hanging="284"/>
        <w:rPr>
          <w:lang w:bidi="fa-IR"/>
        </w:rPr>
      </w:pPr>
      <w:r>
        <w:rPr>
          <w:lang w:bidi="fa-IR"/>
        </w:rPr>
        <w:t>informal care is valued at the Australian Minimum Wage of $19.49 per year.</w:t>
      </w:r>
    </w:p>
    <w:p w:rsidR="007C6A5F" w:rsidRPr="008C2369" w:rsidRDefault="007C6A5F" w:rsidP="007C6A5F">
      <w:pPr>
        <w:pStyle w:val="Caption"/>
      </w:pPr>
      <w:r w:rsidRPr="003C5A56">
        <w:fldChar w:fldCharType="begin"/>
      </w:r>
      <w:r w:rsidRPr="003C5A56">
        <w:instrText xml:space="preserve"> IF 1 = 1 "</w:instrText>
      </w:r>
      <w:r w:rsidRPr="003C5A56">
        <w:fldChar w:fldCharType="begin"/>
      </w:r>
      <w:r w:rsidRPr="003C5A56">
        <w:instrText xml:space="preserve"> IF </w:instrText>
      </w:r>
      <w:r w:rsidRPr="003C5A56">
        <w:rPr>
          <w:noProof/>
        </w:rPr>
        <w:fldChar w:fldCharType="begin"/>
      </w:r>
      <w:r w:rsidRPr="003C5A56">
        <w:rPr>
          <w:noProof/>
        </w:rPr>
        <w:instrText xml:space="preserve"> STYLEREF "Heading 6" \l \n </w:instrText>
      </w:r>
      <w:r w:rsidRPr="003C5A56">
        <w:rPr>
          <w:noProof/>
        </w:rPr>
        <w:fldChar w:fldCharType="separate"/>
      </w:r>
      <w:r w:rsidRPr="003C5A56">
        <w:rPr>
          <w:noProof/>
        </w:rPr>
        <w:instrText>G</w:instrText>
      </w:r>
      <w:r w:rsidRPr="003C5A56">
        <w:rPr>
          <w:noProof/>
        </w:rPr>
        <w:fldChar w:fldCharType="end"/>
      </w:r>
      <w:r w:rsidRPr="003C5A56">
        <w:instrText xml:space="preserve"> = 0 "</w:instrText>
      </w:r>
      <w:r w:rsidRPr="003C5A56">
        <w:fldChar w:fldCharType="begin"/>
      </w:r>
      <w:r w:rsidRPr="003C5A56">
        <w:instrText xml:space="preserve"> IF </w:instrText>
      </w:r>
      <w:r w:rsidRPr="003C5A56">
        <w:rPr>
          <w:noProof/>
        </w:rPr>
        <w:fldChar w:fldCharType="begin"/>
      </w:r>
      <w:r w:rsidRPr="003C5A56">
        <w:rPr>
          <w:noProof/>
        </w:rPr>
        <w:instrText xml:space="preserve"> STYLEREF "Heading 1" \l \n </w:instrText>
      </w:r>
      <w:r w:rsidRPr="003C5A56">
        <w:rPr>
          <w:noProof/>
        </w:rPr>
        <w:fldChar w:fldCharType="separate"/>
      </w:r>
      <w:r w:rsidRPr="003C5A56">
        <w:rPr>
          <w:noProof/>
        </w:rPr>
        <w:instrText>2</w:instrText>
      </w:r>
      <w:r w:rsidRPr="003C5A56">
        <w:rPr>
          <w:noProof/>
        </w:rPr>
        <w:fldChar w:fldCharType="end"/>
      </w:r>
      <w:r w:rsidRPr="003C5A56">
        <w:instrText xml:space="preserve"> = 0 "" "</w:instrText>
      </w:r>
      <w:r w:rsidRPr="003C5A56">
        <w:rPr>
          <w:noProof/>
        </w:rPr>
        <w:fldChar w:fldCharType="begin"/>
      </w:r>
      <w:r w:rsidRPr="003C5A56">
        <w:rPr>
          <w:noProof/>
        </w:rPr>
        <w:instrText xml:space="preserve"> STYLEREF "Heading 1" \l \n </w:instrText>
      </w:r>
      <w:r w:rsidRPr="003C5A56">
        <w:rPr>
          <w:noProof/>
        </w:rPr>
        <w:fldChar w:fldCharType="separate"/>
      </w:r>
      <w:r w:rsidRPr="003C5A56">
        <w:rPr>
          <w:noProof/>
        </w:rPr>
        <w:instrText>2</w:instrText>
      </w:r>
      <w:r w:rsidRPr="003C5A56">
        <w:rPr>
          <w:noProof/>
        </w:rPr>
        <w:fldChar w:fldCharType="end"/>
      </w:r>
      <w:r w:rsidRPr="003C5A56">
        <w:instrText xml:space="preserve">." </w:instrText>
      </w:r>
      <w:r w:rsidRPr="003C5A56">
        <w:fldChar w:fldCharType="separate"/>
      </w:r>
      <w:r w:rsidRPr="003C5A56">
        <w:rPr>
          <w:noProof/>
        </w:rPr>
        <w:instrText>2.</w:instrText>
      </w:r>
      <w:r w:rsidRPr="003C5A56">
        <w:fldChar w:fldCharType="end"/>
      </w:r>
      <w:r w:rsidRPr="003C5A56">
        <w:instrText>" "</w:instrText>
      </w:r>
      <w:r w:rsidRPr="003C5A56">
        <w:rPr>
          <w:noProof/>
        </w:rPr>
        <w:fldChar w:fldCharType="begin"/>
      </w:r>
      <w:r w:rsidRPr="003C5A56">
        <w:rPr>
          <w:noProof/>
        </w:rPr>
        <w:instrText xml:space="preserve"> STYLEREF "Heading 6" \l \n </w:instrText>
      </w:r>
      <w:r w:rsidRPr="003C5A56">
        <w:rPr>
          <w:noProof/>
        </w:rPr>
        <w:fldChar w:fldCharType="separate"/>
      </w:r>
      <w:r w:rsidRPr="003C5A56">
        <w:rPr>
          <w:noProof/>
        </w:rPr>
        <w:instrText>G</w:instrText>
      </w:r>
      <w:r w:rsidRPr="003C5A56">
        <w:rPr>
          <w:noProof/>
        </w:rPr>
        <w:fldChar w:fldCharType="end"/>
      </w:r>
      <w:r w:rsidRPr="003C5A56">
        <w:instrText xml:space="preserve">." </w:instrText>
      </w:r>
      <w:r w:rsidRPr="003C5A56">
        <w:fldChar w:fldCharType="separate"/>
      </w:r>
      <w:r w:rsidRPr="003C5A56">
        <w:rPr>
          <w:noProof/>
        </w:rPr>
        <w:instrText>G.</w:instrText>
      </w:r>
      <w:r w:rsidRPr="003C5A56">
        <w:fldChar w:fldCharType="end"/>
      </w:r>
      <w:r w:rsidRPr="003C5A56">
        <w:fldChar w:fldCharType="begin"/>
      </w:r>
      <w:r w:rsidRPr="003C5A56">
        <w:instrText xml:space="preserve"> SEQ Item \* ARABIC \s </w:instrText>
      </w:r>
      <w:r w:rsidRPr="003C5A56">
        <w:fldChar w:fldCharType="begin"/>
      </w:r>
      <w:r w:rsidRPr="003C5A56">
        <w:instrText xml:space="preserve"> IF </w:instrText>
      </w:r>
      <w:r w:rsidRPr="003C5A56">
        <w:rPr>
          <w:noProof/>
        </w:rPr>
        <w:fldChar w:fldCharType="begin"/>
      </w:r>
      <w:r w:rsidRPr="003C5A56">
        <w:rPr>
          <w:noProof/>
        </w:rPr>
        <w:instrText xml:space="preserve"> STYLEREF "Heading 6" \l \n </w:instrText>
      </w:r>
      <w:r w:rsidRPr="003C5A56">
        <w:rPr>
          <w:noProof/>
        </w:rPr>
        <w:fldChar w:fldCharType="separate"/>
      </w:r>
      <w:r w:rsidRPr="003C5A56">
        <w:rPr>
          <w:noProof/>
        </w:rPr>
        <w:instrText>G</w:instrText>
      </w:r>
      <w:r w:rsidRPr="003C5A56">
        <w:rPr>
          <w:noProof/>
        </w:rPr>
        <w:fldChar w:fldCharType="end"/>
      </w:r>
      <w:r w:rsidRPr="003C5A56">
        <w:instrText xml:space="preserve"> = 0 "</w:instrText>
      </w:r>
      <w:r w:rsidRPr="003C5A56">
        <w:fldChar w:fldCharType="begin"/>
      </w:r>
      <w:r w:rsidRPr="003C5A56">
        <w:instrText xml:space="preserve"> IF </w:instrText>
      </w:r>
      <w:r w:rsidRPr="003C5A56">
        <w:rPr>
          <w:noProof/>
        </w:rPr>
        <w:fldChar w:fldCharType="begin"/>
      </w:r>
      <w:r w:rsidRPr="003C5A56">
        <w:rPr>
          <w:noProof/>
        </w:rPr>
        <w:instrText xml:space="preserve"> STYLEREF "Heading 1" \l \n </w:instrText>
      </w:r>
      <w:r w:rsidRPr="003C5A56">
        <w:rPr>
          <w:noProof/>
        </w:rPr>
        <w:fldChar w:fldCharType="separate"/>
      </w:r>
      <w:r w:rsidRPr="003C5A56">
        <w:rPr>
          <w:noProof/>
        </w:rPr>
        <w:instrText>2</w:instrText>
      </w:r>
      <w:r w:rsidRPr="003C5A56">
        <w:rPr>
          <w:noProof/>
        </w:rPr>
        <w:fldChar w:fldCharType="end"/>
      </w:r>
      <w:r w:rsidRPr="003C5A56">
        <w:instrText xml:space="preserve"> = 0 "" "1" </w:instrText>
      </w:r>
      <w:r w:rsidRPr="003C5A56">
        <w:fldChar w:fldCharType="separate"/>
      </w:r>
      <w:r w:rsidRPr="003C5A56">
        <w:rPr>
          <w:noProof/>
        </w:rPr>
        <w:instrText>1</w:instrText>
      </w:r>
      <w:r w:rsidRPr="003C5A56">
        <w:fldChar w:fldCharType="end"/>
      </w:r>
      <w:r w:rsidRPr="003C5A56">
        <w:instrText xml:space="preserve">" "6" </w:instrText>
      </w:r>
      <w:r w:rsidRPr="003C5A56">
        <w:fldChar w:fldCharType="separate"/>
      </w:r>
      <w:r w:rsidRPr="003C5A56">
        <w:rPr>
          <w:noProof/>
        </w:rPr>
        <w:instrText>6</w:instrText>
      </w:r>
      <w:r w:rsidRPr="003C5A56">
        <w:fldChar w:fldCharType="end"/>
      </w:r>
      <w:r w:rsidRPr="003C5A56">
        <w:instrText xml:space="preserve"> </w:instrText>
      </w:r>
      <w:r w:rsidRPr="003C5A56">
        <w:fldChar w:fldCharType="separate"/>
      </w:r>
      <w:r w:rsidRPr="003C5A56">
        <w:rPr>
          <w:noProof/>
        </w:rPr>
        <w:instrText>12</w:instrText>
      </w:r>
      <w:r w:rsidRPr="003C5A56">
        <w:fldChar w:fldCharType="end"/>
      </w:r>
      <w:r w:rsidRPr="003C5A56">
        <w:instrText xml:space="preserve">" "" </w:instrText>
      </w:r>
      <w:r w:rsidRPr="003C5A56">
        <w:fldChar w:fldCharType="separate"/>
      </w:r>
      <w:bookmarkStart w:id="8133" w:name="_Caption0265"/>
      <w:bookmarkStart w:id="8134" w:name="_Caption2291"/>
      <w:bookmarkStart w:id="8135" w:name="_Caption7613"/>
      <w:bookmarkStart w:id="8136" w:name="_Caption6825"/>
      <w:bookmarkStart w:id="8137" w:name="_Caption3604"/>
      <w:bookmarkStart w:id="8138" w:name="_Caption4843"/>
      <w:bookmarkStart w:id="8139" w:name="_Caption5161"/>
      <w:bookmarkStart w:id="8140" w:name="_Caption5214"/>
      <w:bookmarkStart w:id="8141" w:name="_Caption1411"/>
      <w:bookmarkStart w:id="8142" w:name="_Caption7145"/>
      <w:bookmarkStart w:id="8143" w:name="_Caption8606"/>
      <w:bookmarkStart w:id="8144" w:name="_Caption8695"/>
      <w:bookmarkStart w:id="8145" w:name="_Caption0790"/>
      <w:bookmarkStart w:id="8146" w:name="_Caption3881"/>
      <w:bookmarkStart w:id="8147" w:name="_Caption5800"/>
      <w:bookmarkStart w:id="8148" w:name="_Caption6767"/>
      <w:bookmarkStart w:id="8149" w:name="_Caption5893"/>
      <w:bookmarkStart w:id="8150" w:name="_Caption6655"/>
      <w:bookmarkStart w:id="8151" w:name="_Caption6421"/>
      <w:bookmarkStart w:id="8152" w:name="_Caption8062"/>
      <w:bookmarkStart w:id="8153" w:name="_Caption0426"/>
      <w:bookmarkStart w:id="8154" w:name="_Caption6034"/>
      <w:bookmarkStart w:id="8155" w:name="_Caption3749"/>
      <w:bookmarkStart w:id="8156" w:name="_Caption8878"/>
      <w:bookmarkStart w:id="8157" w:name="_Caption6201"/>
      <w:bookmarkStart w:id="8158" w:name="_Caption7465"/>
      <w:bookmarkStart w:id="8159" w:name="_Caption1249"/>
      <w:bookmarkStart w:id="8160" w:name="_Caption7283"/>
      <w:bookmarkStart w:id="8161" w:name="_Caption0248"/>
      <w:bookmarkStart w:id="8162" w:name="_Caption3087"/>
      <w:bookmarkStart w:id="8163" w:name="_Caption0118"/>
      <w:bookmarkStart w:id="8164" w:name="_Caption9680"/>
      <w:bookmarkStart w:id="8165" w:name="_Caption6911"/>
      <w:bookmarkStart w:id="8166" w:name="_Caption5906"/>
      <w:bookmarkStart w:id="8167" w:name="_Caption6599"/>
      <w:bookmarkStart w:id="8168" w:name="_Caption9224"/>
      <w:bookmarkStart w:id="8169" w:name="_Caption9039"/>
      <w:bookmarkStart w:id="8170" w:name="_Caption4345"/>
      <w:bookmarkStart w:id="8171" w:name="_Caption5811"/>
      <w:bookmarkStart w:id="8172" w:name="_Caption7813"/>
      <w:bookmarkStart w:id="8173" w:name="_Caption6411"/>
      <w:bookmarkStart w:id="8174" w:name="_Caption9669"/>
      <w:bookmarkStart w:id="8175" w:name="_Caption4255"/>
      <w:bookmarkStart w:id="8176" w:name="_Caption8144"/>
      <w:bookmarkStart w:id="8177" w:name="_Caption1383"/>
      <w:bookmarkStart w:id="8178" w:name="_Caption3089"/>
      <w:bookmarkStart w:id="8179" w:name="_Caption7743"/>
      <w:bookmarkStart w:id="8180" w:name="_Caption7981"/>
      <w:bookmarkStart w:id="8181" w:name="_Caption3346"/>
      <w:bookmarkStart w:id="8182" w:name="_Caption5607"/>
      <w:bookmarkStart w:id="8183" w:name="_Caption4396"/>
      <w:bookmarkStart w:id="8184" w:name="_Caption7637"/>
      <w:bookmarkStart w:id="8185" w:name="_Caption5497"/>
      <w:bookmarkStart w:id="8186" w:name="_Caption3263"/>
      <w:bookmarkStart w:id="8187" w:name="_Caption4261"/>
      <w:bookmarkStart w:id="8188" w:name="_Caption3301"/>
      <w:bookmarkStart w:id="8189" w:name="_Caption2049"/>
      <w:bookmarkStart w:id="8190" w:name="_Caption7436"/>
      <w:bookmarkStart w:id="8191" w:name="_Caption5428"/>
      <w:bookmarkStart w:id="8192" w:name="_Caption0981"/>
      <w:bookmarkStart w:id="8193" w:name="_Caption7292"/>
      <w:bookmarkStart w:id="8194" w:name="_Caption8822"/>
      <w:bookmarkStart w:id="8195" w:name="_Caption5691"/>
      <w:bookmarkStart w:id="8196" w:name="_Caption3917"/>
      <w:bookmarkStart w:id="8197" w:name="_Caption6894"/>
      <w:bookmarkStart w:id="8198" w:name="_Caption0525"/>
      <w:bookmarkStart w:id="8199" w:name="_Caption4619"/>
      <w:bookmarkStart w:id="8200" w:name="_Caption6112"/>
      <w:bookmarkStart w:id="8201" w:name="_Caption7031"/>
      <w:bookmarkStart w:id="8202" w:name="_Caption5403"/>
      <w:bookmarkStart w:id="8203" w:name="_Caption2392"/>
      <w:bookmarkStart w:id="8204" w:name="_Caption9852"/>
      <w:bookmarkStart w:id="8205" w:name="_Caption1910"/>
      <w:bookmarkStart w:id="8206" w:name="_Caption5778"/>
      <w:bookmarkStart w:id="8207" w:name="_Caption5581"/>
      <w:bookmarkStart w:id="8208" w:name="_Caption9479"/>
      <w:bookmarkStart w:id="8209" w:name="_Caption1863"/>
      <w:bookmarkStart w:id="8210" w:name="_Caption2538"/>
      <w:bookmarkStart w:id="8211" w:name="_Caption4535"/>
      <w:bookmarkStart w:id="8212" w:name="_Caption3852"/>
      <w:bookmarkStart w:id="8213" w:name="_Toc32321893"/>
      <w:bookmarkStart w:id="8214" w:name="_Toc44598606"/>
      <w:bookmarkStart w:id="8215" w:name="_Toc45654237"/>
      <w:r w:rsidR="00272AF3" w:rsidRPr="003C5A56">
        <w:rPr>
          <w:noProof/>
        </w:rPr>
        <w:t>G.12</w:t>
      </w:r>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r w:rsidRPr="003C5A56">
        <w:fldChar w:fldCharType="end"/>
      </w:r>
      <w:r w:rsidRPr="003C5A56">
        <w:tab/>
        <w:t>Estimated additional financial cost of residential aged care</w:t>
      </w:r>
      <w:bookmarkEnd w:id="8213"/>
      <w:r w:rsidRPr="003C5A56">
        <w:t xml:space="preserve"> per person</w:t>
      </w:r>
      <w:bookmarkEnd w:id="8214"/>
      <w:bookmarkEnd w:id="8215"/>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G.12"/>
        <w:tblDescription w:val="Estimated additional financial cost of residential aged care per person"/>
      </w:tblPr>
      <w:tblGrid>
        <w:gridCol w:w="5677"/>
        <w:gridCol w:w="2260"/>
      </w:tblGrid>
      <w:tr w:rsidR="007C6A5F" w:rsidTr="00DF01AA">
        <w:trPr>
          <w:trHeight w:val="461"/>
          <w:tblHeader/>
        </w:trPr>
        <w:tc>
          <w:tcPr>
            <w:tcW w:w="5677" w:type="dxa"/>
            <w:shd w:val="clear" w:color="auto" w:fill="6F6652" w:themeFill="accent5"/>
          </w:tcPr>
          <w:p w:rsidR="007C6A5F" w:rsidRDefault="003C5A56" w:rsidP="00C36DA4">
            <w:pPr>
              <w:pStyle w:val="TableDataColumnHeading"/>
              <w:jc w:val="left"/>
              <w:rPr>
                <w:lang w:val="en-GB"/>
              </w:rPr>
            </w:pPr>
            <w:r>
              <w:rPr>
                <w:lang w:val="en-GB"/>
              </w:rPr>
              <w:t>Cost item</w:t>
            </w:r>
          </w:p>
        </w:tc>
        <w:tc>
          <w:tcPr>
            <w:tcW w:w="2260" w:type="dxa"/>
            <w:shd w:val="clear" w:color="auto" w:fill="6F6652" w:themeFill="accent5"/>
          </w:tcPr>
          <w:p w:rsidR="007C6A5F" w:rsidRDefault="007C6A5F" w:rsidP="00C36DA4">
            <w:pPr>
              <w:pStyle w:val="TableDataColumnHeading"/>
              <w:rPr>
                <w:lang w:val="en-GB"/>
              </w:rPr>
            </w:pPr>
            <w:r>
              <w:rPr>
                <w:lang w:val="en-GB"/>
              </w:rPr>
              <w:t>Estimated additional costs</w:t>
            </w:r>
          </w:p>
          <w:p w:rsidR="008C121C" w:rsidRDefault="008C121C" w:rsidP="00C36DA4">
            <w:pPr>
              <w:pStyle w:val="TableDataColumnHeading"/>
              <w:rPr>
                <w:lang w:val="en-GB"/>
              </w:rPr>
            </w:pPr>
            <w:r>
              <w:rPr>
                <w:lang w:val="en-GB"/>
              </w:rPr>
              <w:t>($ per person)</w:t>
            </w:r>
          </w:p>
        </w:tc>
      </w:tr>
      <w:tr w:rsidR="007C6A5F" w:rsidTr="000F1718">
        <w:trPr>
          <w:trHeight w:val="230"/>
        </w:trPr>
        <w:tc>
          <w:tcPr>
            <w:tcW w:w="567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Total annual cost of residential aged care per person</w:t>
            </w:r>
          </w:p>
        </w:tc>
        <w:tc>
          <w:tcPr>
            <w:tcW w:w="226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96 951</w:t>
            </w:r>
            <w:r w:rsidRPr="00A96B1A">
              <w:rPr>
                <w:rStyle w:val="NoteLabel"/>
                <w:color w:val="000000" w:themeColor="text1"/>
              </w:rPr>
              <w:t>a</w:t>
            </w:r>
          </w:p>
        </w:tc>
      </w:tr>
      <w:tr w:rsidR="007C6A5F" w:rsidTr="000F1718">
        <w:trPr>
          <w:trHeight w:val="322"/>
        </w:trPr>
        <w:tc>
          <w:tcPr>
            <w:tcW w:w="567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Less: accommodation and daily living-related expenses</w:t>
            </w:r>
          </w:p>
        </w:tc>
        <w:tc>
          <w:tcPr>
            <w:tcW w:w="226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32 102 </w:t>
            </w:r>
            <w:r w:rsidRPr="00A96B1A">
              <w:rPr>
                <w:rStyle w:val="NoteLabel"/>
                <w:color w:val="000000" w:themeColor="text1"/>
              </w:rPr>
              <w:t>b</w:t>
            </w:r>
          </w:p>
        </w:tc>
      </w:tr>
      <w:tr w:rsidR="007C6A5F" w:rsidTr="000F1718">
        <w:trPr>
          <w:trHeight w:val="230"/>
        </w:trPr>
        <w:tc>
          <w:tcPr>
            <w:tcW w:w="567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Less: Home care package</w:t>
            </w:r>
          </w:p>
        </w:tc>
        <w:tc>
          <w:tcPr>
            <w:tcW w:w="226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 xml:space="preserve">23 141 </w:t>
            </w:r>
            <w:r w:rsidRPr="00A96B1A">
              <w:rPr>
                <w:rStyle w:val="NoteLabel"/>
                <w:color w:val="000000" w:themeColor="text1"/>
              </w:rPr>
              <w:t>c</w:t>
            </w:r>
          </w:p>
        </w:tc>
      </w:tr>
      <w:tr w:rsidR="007C6A5F" w:rsidTr="008819BB">
        <w:trPr>
          <w:trHeight w:val="230"/>
        </w:trPr>
        <w:tc>
          <w:tcPr>
            <w:tcW w:w="5677"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Less: Informal care</w:t>
            </w:r>
          </w:p>
        </w:tc>
        <w:tc>
          <w:tcPr>
            <w:tcW w:w="2260"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7 013</w:t>
            </w:r>
          </w:p>
        </w:tc>
      </w:tr>
      <w:tr w:rsidR="007C6A5F" w:rsidRPr="00E03E4B" w:rsidTr="008819BB">
        <w:trPr>
          <w:trHeight w:val="230"/>
        </w:trPr>
        <w:tc>
          <w:tcPr>
            <w:tcW w:w="5677" w:type="dxa"/>
            <w:tcBorders>
              <w:top w:val="single" w:sz="8" w:space="0" w:color="FFFFFF" w:themeColor="background1"/>
              <w:bottom w:val="single" w:sz="4" w:space="0" w:color="6F6652" w:themeColor="accent5"/>
            </w:tcBorders>
            <w:shd w:val="clear" w:color="auto" w:fill="C2DADB" w:themeFill="accent6" w:themeFillTint="99"/>
          </w:tcPr>
          <w:p w:rsidR="007C6A5F" w:rsidRPr="00E03E4B" w:rsidRDefault="007C6A5F" w:rsidP="00C36DA4">
            <w:pPr>
              <w:pStyle w:val="TableDataEntries"/>
              <w:jc w:val="left"/>
              <w:rPr>
                <w:rFonts w:ascii="Franklin Gothic Demi" w:hAnsi="Franklin Gothic Demi"/>
                <w:lang w:val="en-GB"/>
              </w:rPr>
            </w:pPr>
            <w:r w:rsidRPr="00E03E4B">
              <w:rPr>
                <w:rFonts w:ascii="Franklin Gothic Demi" w:hAnsi="Franklin Gothic Demi"/>
                <w:lang w:val="en-GB"/>
              </w:rPr>
              <w:t>Additional cost of residential aged care</w:t>
            </w:r>
          </w:p>
        </w:tc>
        <w:tc>
          <w:tcPr>
            <w:tcW w:w="2260" w:type="dxa"/>
            <w:tcBorders>
              <w:top w:val="single" w:sz="8" w:space="0" w:color="FFFFFF" w:themeColor="background1"/>
              <w:bottom w:val="single" w:sz="4" w:space="0" w:color="6F6652" w:themeColor="accent5"/>
            </w:tcBorders>
            <w:shd w:val="clear" w:color="auto" w:fill="C2DADB" w:themeFill="accent6" w:themeFillTint="99"/>
          </w:tcPr>
          <w:p w:rsidR="007C6A5F" w:rsidRPr="00E03E4B" w:rsidRDefault="007C6A5F" w:rsidP="00C36DA4">
            <w:pPr>
              <w:pStyle w:val="TableDataEntries"/>
              <w:rPr>
                <w:rFonts w:ascii="Franklin Gothic Demi" w:hAnsi="Franklin Gothic Demi"/>
                <w:lang w:val="en-GB"/>
              </w:rPr>
            </w:pPr>
            <w:r>
              <w:rPr>
                <w:rFonts w:ascii="Franklin Gothic Demi" w:hAnsi="Franklin Gothic Demi"/>
                <w:lang w:val="en-GB"/>
              </w:rPr>
              <w:t>34 696</w:t>
            </w:r>
          </w:p>
        </w:tc>
      </w:tr>
    </w:tbl>
    <w:p w:rsidR="007C6A5F" w:rsidRPr="00E4232C" w:rsidRDefault="007C6A5F" w:rsidP="007C6A5F">
      <w:pPr>
        <w:pStyle w:val="Note"/>
      </w:pPr>
      <w:r w:rsidRPr="00A96B1A">
        <w:rPr>
          <w:rStyle w:val="NoteLabel"/>
          <w:color w:val="000000" w:themeColor="text1"/>
        </w:rPr>
        <w:t>a</w:t>
      </w:r>
      <w:r>
        <w:t xml:space="preserve"> See ACFA (2019, p. 77). </w:t>
      </w:r>
      <w:r w:rsidRPr="00A96B1A">
        <w:rPr>
          <w:rStyle w:val="NoteLabel"/>
          <w:color w:val="000000" w:themeColor="text1"/>
        </w:rPr>
        <w:t>b</w:t>
      </w:r>
      <w:r>
        <w:t xml:space="preserve"> See ACFA (2019, p. 78). </w:t>
      </w:r>
      <w:r w:rsidRPr="00A96B1A">
        <w:rPr>
          <w:rStyle w:val="NoteLabel"/>
          <w:color w:val="000000" w:themeColor="text1"/>
        </w:rPr>
        <w:t>c</w:t>
      </w:r>
      <w:r>
        <w:t xml:space="preserve"> Data published by AIHW.</w:t>
      </w:r>
    </w:p>
    <w:p w:rsidR="007C6A5F" w:rsidRDefault="007C6A5F" w:rsidP="007C6A5F">
      <w:pPr>
        <w:pStyle w:val="Source"/>
        <w:rPr>
          <w:lang w:bidi="fa-IR"/>
        </w:rPr>
      </w:pPr>
      <w:r w:rsidRPr="00257A63">
        <w:rPr>
          <w:i/>
          <w:lang w:bidi="fa-IR"/>
        </w:rPr>
        <w:t>Source:</w:t>
      </w:r>
      <w:r>
        <w:rPr>
          <w:lang w:bidi="fa-IR"/>
        </w:rPr>
        <w:t xml:space="preserve"> </w:t>
      </w:r>
      <w:r>
        <w:rPr>
          <w:lang w:val="en-US"/>
        </w:rPr>
        <w:t>Aged Care Financing Authority, Seventh report on the Funding and Financing of the Aged Care Industry, July 2019, pp. 77</w:t>
      </w:r>
      <w:r>
        <w:rPr>
          <w:lang w:val="en-US"/>
        </w:rPr>
        <w:noBreakHyphen/>
        <w:t>78; AIHW, CIE.</w:t>
      </w:r>
    </w:p>
    <w:p w:rsidR="007C6A5F" w:rsidRDefault="007C6A5F" w:rsidP="007C6A5F">
      <w:pPr>
        <w:pStyle w:val="BodyText"/>
      </w:pPr>
    </w:p>
    <w:p w:rsidR="007C6A5F" w:rsidRDefault="007C6A5F" w:rsidP="007C6A5F">
      <w:pPr>
        <w:pStyle w:val="Heading6"/>
        <w:numPr>
          <w:ilvl w:val="5"/>
          <w:numId w:val="5"/>
        </w:numPr>
      </w:pPr>
      <w:bookmarkStart w:id="8216" w:name="_Toc44598470"/>
      <w:bookmarkStart w:id="8217" w:name="_Toc45654101"/>
      <w:r>
        <w:lastRenderedPageBreak/>
        <w:t>The impacts of accessible housing on employment outcomes</w:t>
      </w:r>
      <w:bookmarkEnd w:id="8216"/>
      <w:bookmarkEnd w:id="8217"/>
    </w:p>
    <w:p w:rsidR="007C6A5F" w:rsidRDefault="007C6A5F" w:rsidP="007C6A5F">
      <w:pPr>
        <w:pStyle w:val="Heading7"/>
        <w:numPr>
          <w:ilvl w:val="6"/>
          <w:numId w:val="5"/>
        </w:numPr>
      </w:pPr>
      <w:r>
        <w:t>Employment outcomes for people with mobility-related disabilities</w:t>
      </w:r>
    </w:p>
    <w:p w:rsidR="007C6A5F" w:rsidRDefault="007C6A5F" w:rsidP="007C6A5F">
      <w:pPr>
        <w:pStyle w:val="BodyText"/>
      </w:pPr>
      <w:r>
        <w:t>There is evidence of poorer employment outcomes for working age (15</w:t>
      </w:r>
      <w:r>
        <w:noBreakHyphen/>
        <w:t>64 years) people with a mobility</w:t>
      </w:r>
      <w:r>
        <w:noBreakHyphen/>
        <w:t>related disability, relative to the broader economy.</w:t>
      </w:r>
    </w:p>
    <w:p w:rsidR="007C6A5F" w:rsidRDefault="007C6A5F" w:rsidP="005A6F87">
      <w:pPr>
        <w:pStyle w:val="ListBullet"/>
        <w:numPr>
          <w:ilvl w:val="0"/>
          <w:numId w:val="17"/>
        </w:numPr>
      </w:pPr>
      <w:r>
        <w:t>According to 2018 SDAC data, the unemployment rate (the proportion of people who are either employed or actively looking for work that are unemployed) for people with a mobility</w:t>
      </w:r>
      <w:r>
        <w:noBreakHyphen/>
        <w:t>related disability was around 11.3 per cent, more than double the rate in the broader economy (based on 2018 data).</w:t>
      </w:r>
    </w:p>
    <w:p w:rsidR="007C6A5F" w:rsidRDefault="007C6A5F" w:rsidP="005A6F87">
      <w:pPr>
        <w:pStyle w:val="ListBullet"/>
        <w:numPr>
          <w:ilvl w:val="0"/>
          <w:numId w:val="17"/>
        </w:numPr>
      </w:pPr>
      <w:r>
        <w:t>Perhaps more strikingly, the participation rate (the proportion of working age people that are either employed or looking for a job) for people with a mobility</w:t>
      </w:r>
      <w:r>
        <w:noBreakHyphen/>
        <w:t>related disability was 42 per cent, compared with 65.6 per cent for the broader economy (based on 2018 data).</w:t>
      </w:r>
    </w:p>
    <w:p w:rsidR="007C6A5F" w:rsidRDefault="007C6A5F" w:rsidP="007C6A5F">
      <w:pPr>
        <w:pStyle w:val="BodyText"/>
      </w:pPr>
      <w:r>
        <w:t>If people with a mobility</w:t>
      </w:r>
      <w:r>
        <w:noBreakHyphen/>
        <w:t>related disability had the same employment outcomes as the broader economy, there would have been around an additional 333 000 employed in 2018.</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H</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H</w:instrText>
      </w:r>
      <w:r>
        <w:rPr>
          <w:noProof/>
        </w:rPr>
        <w:fldChar w:fldCharType="end"/>
      </w:r>
      <w:r w:rsidRPr="00695C93">
        <w:instrText xml:space="preserve">." </w:instrText>
      </w:r>
      <w:r w:rsidRPr="00695C93">
        <w:fldChar w:fldCharType="separate"/>
      </w:r>
      <w:r>
        <w:rPr>
          <w:noProof/>
        </w:rPr>
        <w:instrText>H</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H</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w:instrText>
      </w:r>
      <w:r w:rsidRPr="00695C93">
        <w:fldChar w:fldCharType="end"/>
      </w:r>
      <w:r w:rsidRPr="00695C93">
        <w:instrText xml:space="preserve">" "" </w:instrText>
      </w:r>
      <w:r w:rsidRPr="00695C93">
        <w:fldChar w:fldCharType="separate"/>
      </w:r>
      <w:bookmarkStart w:id="8218" w:name="_Caption8215"/>
      <w:bookmarkStart w:id="8219" w:name="_Caption3922"/>
      <w:bookmarkStart w:id="8220" w:name="_Caption6155"/>
      <w:bookmarkStart w:id="8221" w:name="_Caption6496"/>
      <w:bookmarkStart w:id="8222" w:name="_Toc44598607"/>
      <w:bookmarkStart w:id="8223" w:name="_Toc45654238"/>
      <w:r w:rsidR="00272AF3">
        <w:rPr>
          <w:noProof/>
        </w:rPr>
        <w:t>H</w:t>
      </w:r>
      <w:r w:rsidR="00272AF3" w:rsidRPr="00695C93">
        <w:rPr>
          <w:noProof/>
        </w:rPr>
        <w:t>.</w:t>
      </w:r>
      <w:r w:rsidR="00272AF3">
        <w:rPr>
          <w:noProof/>
        </w:rPr>
        <w:t>1</w:t>
      </w:r>
      <w:bookmarkEnd w:id="8218"/>
      <w:bookmarkEnd w:id="8219"/>
      <w:bookmarkEnd w:id="8220"/>
      <w:bookmarkEnd w:id="8221"/>
      <w:r w:rsidRPr="00695C93">
        <w:fldChar w:fldCharType="end"/>
      </w:r>
      <w:r w:rsidRPr="00695C93">
        <w:tab/>
      </w:r>
      <w:r>
        <w:t>Key labour force indicators</w:t>
      </w:r>
      <w:bookmarkEnd w:id="8222"/>
      <w:bookmarkEnd w:id="8223"/>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H.1"/>
        <w:tblDescription w:val="Key labour force indicators"/>
      </w:tblPr>
      <w:tblGrid>
        <w:gridCol w:w="2793"/>
        <w:gridCol w:w="2572"/>
        <w:gridCol w:w="2572"/>
      </w:tblGrid>
      <w:tr w:rsidR="007C6A5F" w:rsidTr="006A161D">
        <w:trPr>
          <w:trHeight w:val="461"/>
          <w:tblHeader/>
        </w:trPr>
        <w:tc>
          <w:tcPr>
            <w:tcW w:w="2793" w:type="dxa"/>
            <w:shd w:val="clear" w:color="auto" w:fill="6F6652" w:themeFill="accent5"/>
          </w:tcPr>
          <w:p w:rsidR="007C6A5F" w:rsidRDefault="006A161D" w:rsidP="00C36DA4">
            <w:pPr>
              <w:pStyle w:val="TableDataColumnHeading"/>
              <w:jc w:val="left"/>
              <w:rPr>
                <w:lang w:val="en-GB"/>
              </w:rPr>
            </w:pPr>
            <w:r>
              <w:rPr>
                <w:lang w:val="en-GB"/>
              </w:rPr>
              <w:t>Indicator</w:t>
            </w:r>
          </w:p>
        </w:tc>
        <w:tc>
          <w:tcPr>
            <w:tcW w:w="2572" w:type="dxa"/>
            <w:shd w:val="clear" w:color="auto" w:fill="6F6652" w:themeFill="accent5"/>
          </w:tcPr>
          <w:p w:rsidR="007C6A5F" w:rsidRDefault="007C6A5F" w:rsidP="00C36DA4">
            <w:pPr>
              <w:pStyle w:val="TableDataColumnHeading"/>
              <w:rPr>
                <w:lang w:val="en-GB"/>
              </w:rPr>
            </w:pPr>
            <w:r>
              <w:rPr>
                <w:lang w:val="en-GB"/>
              </w:rPr>
              <w:t>People with a mobility limitation</w:t>
            </w:r>
          </w:p>
          <w:p w:rsidR="008C121C" w:rsidRDefault="008C121C" w:rsidP="00C36DA4">
            <w:pPr>
              <w:pStyle w:val="TableDataColumnHeading"/>
              <w:rPr>
                <w:lang w:val="en-GB"/>
              </w:rPr>
            </w:pPr>
            <w:r>
              <w:rPr>
                <w:lang w:val="en-GB"/>
              </w:rPr>
              <w:t>(Per cent)</w:t>
            </w:r>
          </w:p>
        </w:tc>
        <w:tc>
          <w:tcPr>
            <w:tcW w:w="2572" w:type="dxa"/>
            <w:shd w:val="clear" w:color="auto" w:fill="6F6652" w:themeFill="accent5"/>
          </w:tcPr>
          <w:p w:rsidR="007C6A5F" w:rsidRDefault="007C6A5F" w:rsidP="00C36DA4">
            <w:pPr>
              <w:pStyle w:val="TableDataColumnHeading"/>
              <w:rPr>
                <w:lang w:val="en-GB"/>
              </w:rPr>
            </w:pPr>
            <w:r>
              <w:rPr>
                <w:lang w:val="en-GB"/>
              </w:rPr>
              <w:t>Overall</w:t>
            </w:r>
          </w:p>
          <w:p w:rsidR="008C121C" w:rsidRDefault="008C121C" w:rsidP="00C36DA4">
            <w:pPr>
              <w:pStyle w:val="TableDataColumnHeading"/>
              <w:rPr>
                <w:lang w:val="en-GB"/>
              </w:rPr>
            </w:pPr>
            <w:r>
              <w:rPr>
                <w:lang w:val="en-GB"/>
              </w:rPr>
              <w:t>(Per cent)</w:t>
            </w:r>
          </w:p>
        </w:tc>
      </w:tr>
      <w:tr w:rsidR="007C6A5F" w:rsidTr="008819BB">
        <w:trPr>
          <w:trHeight w:val="230"/>
        </w:trPr>
        <w:tc>
          <w:tcPr>
            <w:tcW w:w="279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Unemployment rate</w:t>
            </w:r>
          </w:p>
        </w:tc>
        <w:tc>
          <w:tcPr>
            <w:tcW w:w="257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11.3</w:t>
            </w:r>
          </w:p>
        </w:tc>
        <w:tc>
          <w:tcPr>
            <w:tcW w:w="257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lang w:val="en-GB"/>
              </w:rPr>
            </w:pPr>
            <w:r>
              <w:rPr>
                <w:lang w:val="en-GB"/>
              </w:rPr>
              <w:t>5.3</w:t>
            </w:r>
          </w:p>
        </w:tc>
      </w:tr>
      <w:tr w:rsidR="007C6A5F" w:rsidTr="008819BB">
        <w:trPr>
          <w:trHeight w:val="230"/>
        </w:trPr>
        <w:tc>
          <w:tcPr>
            <w:tcW w:w="2793"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jc w:val="left"/>
              <w:rPr>
                <w:lang w:val="en-GB"/>
              </w:rPr>
            </w:pPr>
            <w:r>
              <w:rPr>
                <w:lang w:val="en-GB"/>
              </w:rPr>
              <w:t>Participation rate</w:t>
            </w:r>
          </w:p>
        </w:tc>
        <w:tc>
          <w:tcPr>
            <w:tcW w:w="2572"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rPr>
                <w:lang w:val="en-GB"/>
              </w:rPr>
              <w:t>42.0</w:t>
            </w:r>
          </w:p>
        </w:tc>
        <w:tc>
          <w:tcPr>
            <w:tcW w:w="2572"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DataEntries"/>
              <w:rPr>
                <w:lang w:val="en-GB"/>
              </w:rPr>
            </w:pPr>
            <w:r>
              <w:rPr>
                <w:lang w:val="en-GB"/>
              </w:rPr>
              <w:t>65.6</w:t>
            </w:r>
          </w:p>
        </w:tc>
      </w:tr>
    </w:tbl>
    <w:p w:rsidR="007C6A5F" w:rsidRDefault="007C6A5F" w:rsidP="007C6A5F">
      <w:pPr>
        <w:pStyle w:val="Source"/>
      </w:pPr>
      <w:r>
        <w:rPr>
          <w:i/>
        </w:rPr>
        <w:t>Source</w:t>
      </w:r>
      <w:r w:rsidRPr="00E4232C">
        <w:rPr>
          <w:i/>
        </w:rPr>
        <w:t>:</w:t>
      </w:r>
      <w:r>
        <w:t xml:space="preserve"> ABS, Labour Force, Australia, Catalogue No. 6202.0; ABS, 2018 Survey of Disabilities, Ageing and Carers, TableBuilder.</w:t>
      </w:r>
    </w:p>
    <w:p w:rsidR="007C6A5F" w:rsidRDefault="007C6A5F" w:rsidP="007C6A5F">
      <w:pPr>
        <w:pStyle w:val="Heading7"/>
        <w:numPr>
          <w:ilvl w:val="6"/>
          <w:numId w:val="5"/>
        </w:numPr>
      </w:pPr>
      <w:r>
        <w:t>Possible linkages between accessible housing and employment outcomes</w:t>
      </w:r>
    </w:p>
    <w:p w:rsidR="007C6A5F" w:rsidRDefault="007C6A5F" w:rsidP="007C6A5F">
      <w:pPr>
        <w:pStyle w:val="BodyText"/>
      </w:pPr>
      <w:r>
        <w:t>Several government reports note the importance of housing to support employment and wellbeing and assist people on their path to self</w:t>
      </w:r>
      <w:r>
        <w:noBreakHyphen/>
        <w:t>reliance.</w:t>
      </w:r>
      <w:r>
        <w:rPr>
          <w:rStyle w:val="FootnoteReference"/>
        </w:rPr>
        <w:footnoteReference w:id="116"/>
      </w:r>
      <w:r>
        <w:t xml:space="preserve"> These comments have been generally made in relation to housing assistance more generally, rather than specifically to accessible housing for people with disabilities. That said, the observation is clearly as relevant to people with disabilities as it is to recipients of housing assistance.</w:t>
      </w:r>
    </w:p>
    <w:p w:rsidR="007C6A5F" w:rsidRDefault="007C6A5F" w:rsidP="007C6A5F">
      <w:pPr>
        <w:pStyle w:val="BodyText"/>
      </w:pPr>
      <w:r>
        <w:lastRenderedPageBreak/>
        <w:t>During consultations, multiple stakeholders stressed the need for housing that is affordable and well</w:t>
      </w:r>
      <w:r>
        <w:noBreakHyphen/>
        <w:t>located, as well as accessible. As noted in a previous government paper on welfare reform, affordable housing with access to jobs and services is essential to allow people to participate socially and economically.</w:t>
      </w:r>
      <w:r>
        <w:rPr>
          <w:rStyle w:val="FootnoteReference"/>
        </w:rPr>
        <w:footnoteReference w:id="117"/>
      </w:r>
      <w:r>
        <w:t xml:space="preserve"> </w:t>
      </w:r>
    </w:p>
    <w:p w:rsidR="007C6A5F" w:rsidRDefault="007C6A5F" w:rsidP="007C6A5F">
      <w:pPr>
        <w:pStyle w:val="BodyText"/>
      </w:pPr>
      <w:r>
        <w:t>Although we did not identify any studies that look specifically at the links between accessible housing and employment, related literature provides some insights into how a lack of accessible housing could negatively affect employment outcomes for people with mobility</w:t>
      </w:r>
      <w:r>
        <w:noBreakHyphen/>
        <w:t>related disabilities.</w:t>
      </w:r>
    </w:p>
    <w:p w:rsidR="007C6A5F" w:rsidRDefault="007C6A5F" w:rsidP="007C6A5F">
      <w:pPr>
        <w:pStyle w:val="Heading8"/>
        <w:numPr>
          <w:ilvl w:val="7"/>
          <w:numId w:val="5"/>
        </w:numPr>
      </w:pPr>
      <w:r>
        <w:t>Direct impact of accessible housing on employment outcomes</w:t>
      </w:r>
    </w:p>
    <w:p w:rsidR="007C6A5F" w:rsidRDefault="007C6A5F" w:rsidP="007C6A5F">
      <w:pPr>
        <w:pStyle w:val="BodyText"/>
      </w:pPr>
      <w:r>
        <w:t>As employment mostly occurs outside of the home, the most direct way that living in inaccessible housing could contribute to poor employment outcomes is where a person with a mobility</w:t>
      </w:r>
      <w:r>
        <w:noBreakHyphen/>
        <w:t>related disability is able to work, but is unable to leave (and re</w:t>
      </w:r>
      <w:r>
        <w:noBreakHyphen/>
        <w:t>enter) their dwelling.</w:t>
      </w:r>
    </w:p>
    <w:p w:rsidR="007C6A5F" w:rsidRDefault="007C6A5F" w:rsidP="007C6A5F">
      <w:pPr>
        <w:pStyle w:val="BodyText"/>
      </w:pPr>
      <w:r>
        <w:t>According to 2018 SDAC data, there were around 18 900 working age people that do not leave their house. This is around 2 per cent of the total number of people with mobility</w:t>
      </w:r>
      <w:r>
        <w:noBreakHyphen/>
        <w:t>related disabilities that are not employed. All indicated that the main reason they do not leave their house is because they are prevented by their disability or condition or ‘fear and anxiety’.</w:t>
      </w:r>
    </w:p>
    <w:p w:rsidR="007C6A5F" w:rsidRDefault="007C6A5F" w:rsidP="007C6A5F">
      <w:pPr>
        <w:pStyle w:val="BodyText"/>
      </w:pPr>
      <w:r>
        <w:t>SDAC data also reports requirements that would enable workforce participation (the reported responses</w:t>
      </w:r>
      <w:r w:rsidR="00650B99">
        <w:t>)</w:t>
      </w:r>
      <w:r>
        <w:t xml:space="preserve"> include: training; equipment; working at home; time off; assistance with personal care tasks; other; or could not work at all). All people that do not leave their house are reported as being unable to work at all (or not applicable). That is, they may be unable to work even with the various supports in place.</w:t>
      </w:r>
    </w:p>
    <w:p w:rsidR="007C6A5F" w:rsidRDefault="007C6A5F" w:rsidP="007C6A5F">
      <w:pPr>
        <w:pStyle w:val="BodyText"/>
      </w:pPr>
      <w:r>
        <w:t>While it is possible that inaccessible housing contributes to some of these people not leaving their house and therefore the poor employment outcomes for people with mobility</w:t>
      </w:r>
      <w:r>
        <w:noBreakHyphen/>
        <w:t>related disabilities, it does not appear to be a major factor.</w:t>
      </w:r>
    </w:p>
    <w:p w:rsidR="007C6A5F" w:rsidRDefault="007C6A5F" w:rsidP="007C6A5F">
      <w:pPr>
        <w:pStyle w:val="Heading8"/>
        <w:numPr>
          <w:ilvl w:val="7"/>
          <w:numId w:val="5"/>
        </w:numPr>
      </w:pPr>
      <w:r>
        <w:t>More people with mobility limitations in social housing</w:t>
      </w:r>
    </w:p>
    <w:p w:rsidR="007C6A5F" w:rsidRDefault="007C6A5F" w:rsidP="007C6A5F">
      <w:pPr>
        <w:pStyle w:val="BodyText"/>
      </w:pPr>
      <w:r>
        <w:t>Another way that a lack of private accessible housing (particularly accessible rental housing) could affect employment outcomes is by forcing people with accessibility needs into social housing. If accessible private rental properties are not available, some people with mobility</w:t>
      </w:r>
      <w:r>
        <w:noBreakHyphen/>
        <w:t>related disabilities may have few alternative options to social housing.</w:t>
      </w:r>
    </w:p>
    <w:p w:rsidR="007C6A5F" w:rsidRDefault="007C6A5F" w:rsidP="007C6A5F">
      <w:pPr>
        <w:pStyle w:val="BodyText"/>
      </w:pPr>
      <w:r>
        <w:t>According to SDAC data, there were around 126 000 people with mobility</w:t>
      </w:r>
      <w:r>
        <w:noBreakHyphen/>
        <w:t>related disabilities living in social housing (i.e. where the landlord was either a State or Territory Government housing authority or a housing co</w:t>
      </w:r>
      <w:r>
        <w:noBreakHyphen/>
        <w:t>operative or church or community group). This is around 9.4 per cent of the total.</w:t>
      </w:r>
    </w:p>
    <w:p w:rsidR="007C6A5F" w:rsidRDefault="007C6A5F" w:rsidP="007C6A5F">
      <w:pPr>
        <w:pStyle w:val="BodyText"/>
      </w:pPr>
      <w:r>
        <w:lastRenderedPageBreak/>
        <w:t>A Productivity Commission research report identified several ways that social housing might affect the incentives and opportunities to work.</w:t>
      </w:r>
      <w:r>
        <w:rPr>
          <w:rStyle w:val="FootnoteReference"/>
        </w:rPr>
        <w:footnoteReference w:id="118"/>
      </w:r>
    </w:p>
    <w:p w:rsidR="007C6A5F" w:rsidRDefault="007C6A5F" w:rsidP="005A6F87">
      <w:pPr>
        <w:pStyle w:val="ListBullet"/>
        <w:numPr>
          <w:ilvl w:val="0"/>
          <w:numId w:val="17"/>
        </w:numPr>
      </w:pPr>
      <w:r w:rsidRPr="00F36A14">
        <w:rPr>
          <w:b/>
          <w:bCs/>
        </w:rPr>
        <w:t>Rent setting models</w:t>
      </w:r>
      <w:r>
        <w:t xml:space="preserve"> — for most social housing tenants, rent is linked to income (most pay about a quarter of their income). This has two potential effects on the incentive to work: </w:t>
      </w:r>
    </w:p>
    <w:p w:rsidR="007C6A5F" w:rsidRDefault="007C6A5F" w:rsidP="005A6F87">
      <w:pPr>
        <w:pStyle w:val="ListBullet2"/>
        <w:numPr>
          <w:ilvl w:val="1"/>
          <w:numId w:val="17"/>
        </w:numPr>
        <w:ind w:left="568" w:hanging="284"/>
      </w:pPr>
      <w:r>
        <w:t xml:space="preserve">A ‘price effect’ whereby any increase in income results in a rent increase (and possibly a reduction in welfare payments). This reduces the financial rewards from working (i.e. social housing tenants face high effective marginal tax rates). </w:t>
      </w:r>
    </w:p>
    <w:p w:rsidR="007C6A5F" w:rsidRDefault="007C6A5F" w:rsidP="005A6F87">
      <w:pPr>
        <w:pStyle w:val="ListBullet2"/>
        <w:numPr>
          <w:ilvl w:val="1"/>
          <w:numId w:val="17"/>
        </w:numPr>
        <w:ind w:left="568" w:hanging="284"/>
      </w:pPr>
      <w:r>
        <w:t xml:space="preserve">An ‘income effect’ — with rent set at 25 per cent of income, a tenant might consider they have enough income left after paying for housing to get by, and choose to spend their time on activities other than paid work, for example, caring for a child. </w:t>
      </w:r>
    </w:p>
    <w:p w:rsidR="007C6A5F" w:rsidRDefault="007C6A5F" w:rsidP="005A6F87">
      <w:pPr>
        <w:pStyle w:val="ListBullet2"/>
        <w:numPr>
          <w:ilvl w:val="1"/>
          <w:numId w:val="17"/>
        </w:numPr>
        <w:ind w:left="568" w:hanging="284"/>
      </w:pPr>
      <w:r>
        <w:t xml:space="preserve">The incentives for young people to work might be particularly affected by rent setting approaches in social housing because rents are based on household income. </w:t>
      </w:r>
    </w:p>
    <w:p w:rsidR="007C6A5F" w:rsidRDefault="007C6A5F" w:rsidP="005A6F87">
      <w:pPr>
        <w:pStyle w:val="ListBullet"/>
        <w:numPr>
          <w:ilvl w:val="0"/>
          <w:numId w:val="17"/>
        </w:numPr>
      </w:pPr>
      <w:r w:rsidRPr="00F36A14">
        <w:rPr>
          <w:b/>
          <w:bCs/>
        </w:rPr>
        <w:t>Stability effects</w:t>
      </w:r>
      <w:r>
        <w:t xml:space="preserve"> — the longer tenures typically favoured in social housing lease terms (compared to the private market) can provide stability for tenants. This might mean that a person is better able to work (and study) than would be the case in other housing tenures. The stress and uncertainty associated with a lack of stable housing are likely to negatively affect a person’s search for work. </w:t>
      </w:r>
    </w:p>
    <w:p w:rsidR="007C6A5F" w:rsidRDefault="007C6A5F" w:rsidP="005A6F87">
      <w:pPr>
        <w:pStyle w:val="ListBullet"/>
        <w:numPr>
          <w:ilvl w:val="0"/>
          <w:numId w:val="17"/>
        </w:numPr>
      </w:pPr>
      <w:r w:rsidRPr="00F36A14">
        <w:rPr>
          <w:b/>
          <w:bCs/>
        </w:rPr>
        <w:t>Mobility constraints</w:t>
      </w:r>
      <w:r>
        <w:t xml:space="preserve"> — as social housing places can be hard to obtain and transferring between social housing properties can be difficult (both within and between states), this can act as a disincentive for social housing tenants to move to take up a job opportunity. </w:t>
      </w:r>
    </w:p>
    <w:p w:rsidR="007C6A5F" w:rsidRDefault="007C6A5F" w:rsidP="005A6F87">
      <w:pPr>
        <w:pStyle w:val="ListBullet"/>
        <w:numPr>
          <w:ilvl w:val="0"/>
          <w:numId w:val="17"/>
        </w:numPr>
      </w:pPr>
      <w:r w:rsidRPr="00F36A14">
        <w:rPr>
          <w:b/>
          <w:bCs/>
        </w:rPr>
        <w:t>Location effects</w:t>
      </w:r>
      <w:r>
        <w:t xml:space="preserve"> — the Productivity Commission identified potential location effects associated with social housing.</w:t>
      </w:r>
    </w:p>
    <w:p w:rsidR="007C6A5F" w:rsidRDefault="007C6A5F" w:rsidP="005A6F87">
      <w:pPr>
        <w:pStyle w:val="ListBullet2"/>
        <w:numPr>
          <w:ilvl w:val="1"/>
          <w:numId w:val="17"/>
        </w:numPr>
        <w:ind w:left="568" w:hanging="284"/>
      </w:pPr>
      <w:r>
        <w:t xml:space="preserve">Some social housing might be located in areas with poor access to transport or jobs. A lack of </w:t>
      </w:r>
      <w:r w:rsidRPr="00F36A14">
        <w:rPr>
          <w:i/>
          <w:iCs/>
        </w:rPr>
        <w:t>accessible</w:t>
      </w:r>
      <w:r>
        <w:t xml:space="preserve"> transport could exacerbate this issue for people with a mobility</w:t>
      </w:r>
      <w:r>
        <w:noBreakHyphen/>
        <w:t>related disability.</w:t>
      </w:r>
    </w:p>
    <w:p w:rsidR="007C6A5F" w:rsidRDefault="007C6A5F" w:rsidP="005A6F87">
      <w:pPr>
        <w:pStyle w:val="ListBullet2"/>
        <w:numPr>
          <w:ilvl w:val="1"/>
          <w:numId w:val="17"/>
        </w:numPr>
        <w:ind w:left="568" w:hanging="284"/>
      </w:pPr>
      <w:r>
        <w:t>A concentration of social housing can lead to a concentration of disadvantaged people. The Productivity Commission suggested that employment outcomes might be affected, for example, if high rates of social exclusion in a neighbourhood mean that residents don’t have strong family and social networks to support them in accessing employment opportunities.</w:t>
      </w:r>
    </w:p>
    <w:p w:rsidR="007C6A5F" w:rsidRDefault="007C6A5F" w:rsidP="007C6A5F">
      <w:pPr>
        <w:pStyle w:val="Heading9"/>
      </w:pPr>
      <w:r>
        <w:t>Productivity Commission findings</w:t>
      </w:r>
    </w:p>
    <w:p w:rsidR="007C6A5F" w:rsidRDefault="007C6A5F" w:rsidP="007C6A5F">
      <w:pPr>
        <w:pStyle w:val="BodyText"/>
      </w:pPr>
      <w:r>
        <w:t>The Productivity Commission’s relevant key findings included the following.</w:t>
      </w:r>
      <w:r>
        <w:rPr>
          <w:rStyle w:val="FootnoteReference"/>
        </w:rPr>
        <w:footnoteReference w:id="119"/>
      </w:r>
    </w:p>
    <w:p w:rsidR="007C6A5F" w:rsidRDefault="007C6A5F" w:rsidP="005A6F87">
      <w:pPr>
        <w:pStyle w:val="ListBullet"/>
        <w:numPr>
          <w:ilvl w:val="0"/>
          <w:numId w:val="17"/>
        </w:numPr>
      </w:pPr>
      <w:r>
        <w:t>The incentive to avoid work to remain eligible for social housing (referred to as a ‘welfare lock’) is not particularly important for employment outcomes (based on data from Western Australia and South Australia).</w:t>
      </w:r>
    </w:p>
    <w:p w:rsidR="007C6A5F" w:rsidRDefault="007C6A5F" w:rsidP="005A6F87">
      <w:pPr>
        <w:pStyle w:val="ListBullet"/>
        <w:numPr>
          <w:ilvl w:val="0"/>
          <w:numId w:val="17"/>
        </w:numPr>
      </w:pPr>
      <w:r>
        <w:lastRenderedPageBreak/>
        <w:t>Stable housing is associated with better employment outcomes.</w:t>
      </w:r>
    </w:p>
    <w:p w:rsidR="007C6A5F" w:rsidRDefault="007C6A5F" w:rsidP="005A6F87">
      <w:pPr>
        <w:pStyle w:val="ListBullet"/>
        <w:numPr>
          <w:ilvl w:val="0"/>
          <w:numId w:val="17"/>
        </w:numPr>
      </w:pPr>
      <w:r>
        <w:t>Any disincentive to work is likely to be outweighed by the benefits of stable housing.</w:t>
      </w:r>
    </w:p>
    <w:p w:rsidR="007C6A5F" w:rsidRDefault="007C6A5F" w:rsidP="005A6F87">
      <w:pPr>
        <w:pStyle w:val="ListBullet"/>
        <w:numPr>
          <w:ilvl w:val="0"/>
          <w:numId w:val="17"/>
        </w:numPr>
      </w:pPr>
      <w:r>
        <w:t>Personal characteristics explain low employment rates among public housing tenants.</w:t>
      </w:r>
    </w:p>
    <w:p w:rsidR="007C6A5F" w:rsidRDefault="007C6A5F" w:rsidP="005A6F87">
      <w:pPr>
        <w:pStyle w:val="ListBullet"/>
        <w:numPr>
          <w:ilvl w:val="0"/>
          <w:numId w:val="17"/>
        </w:numPr>
      </w:pPr>
      <w:r>
        <w:t>There is little evidence of links between location and employment.</w:t>
      </w:r>
    </w:p>
    <w:p w:rsidR="007C6A5F" w:rsidRDefault="007C6A5F" w:rsidP="007C6A5F">
      <w:pPr>
        <w:pStyle w:val="Heading9"/>
      </w:pPr>
      <w:r>
        <w:t>Relevance to accessible housing</w:t>
      </w:r>
    </w:p>
    <w:p w:rsidR="007C6A5F" w:rsidRDefault="007C6A5F" w:rsidP="007C6A5F">
      <w:pPr>
        <w:pStyle w:val="BodyText"/>
      </w:pPr>
      <w:r>
        <w:t>The direct relevance of these findings is that, to the extent that a lack of accessible (and affordable) housing forces some people with mobility</w:t>
      </w:r>
      <w:r>
        <w:noBreakHyphen/>
        <w:t>related disabilities into social housing (where they may be able to live in a private rental property if an accessible option were available), this is unlikely to have a negative effect on employment outcomes.</w:t>
      </w:r>
    </w:p>
    <w:p w:rsidR="007C6A5F" w:rsidRDefault="007C6A5F" w:rsidP="007C6A5F">
      <w:pPr>
        <w:pStyle w:val="BodyText"/>
      </w:pPr>
      <w:r>
        <w:t>More generally, the Productivity Commission found that lower employment rates among social housing tenants is due to the characteristics of individuals in social housing, and not social housing per se. Among the relevant characteristics noted as leading to lower employment rates among social housing tenants was a higher proportion of Disability Support Pensioners.</w:t>
      </w:r>
      <w:r>
        <w:rPr>
          <w:rStyle w:val="FootnoteReference"/>
        </w:rPr>
        <w:footnoteReference w:id="120"/>
      </w:r>
    </w:p>
    <w:p w:rsidR="007C6A5F" w:rsidRDefault="007C6A5F" w:rsidP="007C6A5F">
      <w:pPr>
        <w:pStyle w:val="BodyText"/>
      </w:pPr>
      <w:r>
        <w:t>This finding relates specifically to social housing. However, if this finding applies more generally, the implication is that other factors related to disabilities (such as broader barriers to employment faced by people with disabilities) that are leading to low employment rates, rather than the housing arrangements. This finding tends not to support the proposition that a lack of accessible housing leads to lower levels of employment.</w:t>
      </w:r>
    </w:p>
    <w:p w:rsidR="007C6A5F" w:rsidRDefault="007C6A5F" w:rsidP="007C6A5F">
      <w:pPr>
        <w:pStyle w:val="Heading8"/>
        <w:numPr>
          <w:ilvl w:val="7"/>
          <w:numId w:val="5"/>
        </w:numPr>
      </w:pPr>
      <w:r>
        <w:t>Other possible impacts on employment outcomes</w:t>
      </w:r>
    </w:p>
    <w:p w:rsidR="007C6A5F" w:rsidRDefault="007C6A5F" w:rsidP="007C6A5F">
      <w:pPr>
        <w:pStyle w:val="BodyText"/>
      </w:pPr>
      <w:r>
        <w:t>Several of the potential impacts of social housing on employment outcomes may also be relevant to a lack of private accessible housing more generally.</w:t>
      </w:r>
    </w:p>
    <w:p w:rsidR="007C6A5F" w:rsidRDefault="007C6A5F" w:rsidP="005A6F87">
      <w:pPr>
        <w:pStyle w:val="ListBullet"/>
        <w:numPr>
          <w:ilvl w:val="0"/>
          <w:numId w:val="17"/>
        </w:numPr>
      </w:pPr>
      <w:r>
        <w:t>The mobility constraints described by the Productivity Commission in relation to social housing could potentially apply more generally in the context of a lack of accessible private housing (particularly a lack of accessible rental properties). Difficulties finding accessible housing could discourage people with accessibility needs from moving for employment.</w:t>
      </w:r>
    </w:p>
    <w:p w:rsidR="007C6A5F" w:rsidRDefault="007C6A5F" w:rsidP="005A6F87">
      <w:pPr>
        <w:pStyle w:val="ListBullet"/>
        <w:numPr>
          <w:ilvl w:val="0"/>
          <w:numId w:val="17"/>
        </w:numPr>
      </w:pPr>
      <w:r>
        <w:t>A lack of private housing that is accessible, as well as affordable and well-located could mean that people with mobility</w:t>
      </w:r>
      <w:r>
        <w:noBreakHyphen/>
        <w:t>related disabilities end up living in areas with poor access to accessible transport or jobs.</w:t>
      </w:r>
    </w:p>
    <w:p w:rsidR="007C6A5F" w:rsidRDefault="007C6A5F" w:rsidP="007C6A5F">
      <w:pPr>
        <w:pStyle w:val="Heading9"/>
      </w:pPr>
      <w:r>
        <w:t>Mobility constraints</w:t>
      </w:r>
    </w:p>
    <w:p w:rsidR="007C6A5F" w:rsidRDefault="007C6A5F" w:rsidP="007C6A5F">
      <w:pPr>
        <w:pStyle w:val="BodyText"/>
      </w:pPr>
      <w:r>
        <w:t xml:space="preserve">There is evidence to suggest that people with disabilities move less frequently than other members of the community; 2016 Census data suggests that 62 per cent of people with a </w:t>
      </w:r>
      <w:r>
        <w:lastRenderedPageBreak/>
        <w:t>need for assistance with core activities (not specifically mobility) were living at the same address as they were 5 years ago, compared with 51 per cent of people without a need for assistance with core activities. It is plausible that this is at least partly related to a lack of accessible housing.</w:t>
      </w:r>
    </w:p>
    <w:p w:rsidR="007C6A5F" w:rsidRDefault="007C6A5F" w:rsidP="007C6A5F">
      <w:pPr>
        <w:pStyle w:val="BodyText"/>
      </w:pPr>
      <w:r>
        <w:t>The empirical evidence from Australia suggests that moving can improve employment outcomes for unemployed people, although the impact may be relatively small. For example, descriptive analysis of HILDA data (2006) showed that unemployed people who move are more likely to find employment that unemployed persons who do not move (54.5 per cent of unemployed people who moved found employment, compared with 48.7 per cent of unemployed people who did not move).</w:t>
      </w:r>
      <w:r>
        <w:rPr>
          <w:rStyle w:val="FootnoteReference"/>
        </w:rPr>
        <w:footnoteReference w:id="121"/>
      </w:r>
      <w:r>
        <w:t xml:space="preserve"> Bill and Mitchell (2006) found that moving is not especially beneficial for the unemployed.</w:t>
      </w:r>
      <w:r>
        <w:rPr>
          <w:rStyle w:val="FootnoteReference"/>
        </w:rPr>
        <w:footnoteReference w:id="122"/>
      </w:r>
    </w:p>
    <w:p w:rsidR="007C6A5F" w:rsidRDefault="007C6A5F" w:rsidP="007C6A5F">
      <w:pPr>
        <w:pStyle w:val="BodyText"/>
      </w:pPr>
      <w:r>
        <w:t>It should also be noted that people looking for work (i.e. the unemployed) make up a relatively small share of those with a mobility</w:t>
      </w:r>
      <w:r>
        <w:noBreakHyphen/>
        <w:t>related disability that are not employed (around 7.6 per cent). A much larger share does not participate in the labour market at all.</w:t>
      </w:r>
    </w:p>
    <w:p w:rsidR="007C6A5F" w:rsidRDefault="007C6A5F" w:rsidP="007C6A5F">
      <w:pPr>
        <w:pStyle w:val="BodyText"/>
      </w:pPr>
      <w:r>
        <w:t>Overall, it is plausible that a lack of accessible housing is making some contribution to poorer employment among people with mobility limitations through the ‘mobility constraint’. However, there is limited supporting evidence and the impacts are unlikely to be large.</w:t>
      </w:r>
    </w:p>
    <w:p w:rsidR="007C6A5F" w:rsidRDefault="007C6A5F" w:rsidP="007C6A5F">
      <w:pPr>
        <w:pStyle w:val="Heading9"/>
      </w:pPr>
      <w:r>
        <w:t>Location effects</w:t>
      </w:r>
    </w:p>
    <w:p w:rsidR="007C6A5F" w:rsidRDefault="007C6A5F" w:rsidP="007C6A5F">
      <w:pPr>
        <w:pStyle w:val="BodyText"/>
      </w:pPr>
      <w:r>
        <w:t>As noted above, the Productivity Commission found there is little evidence of links between location and employment, although this was a general finding, not specifically related to people with a mobility</w:t>
      </w:r>
      <w:r>
        <w:noBreakHyphen/>
        <w:t>related disability. It is possible that location effects have a more significant impact on employment for people with a mobility</w:t>
      </w:r>
      <w:r>
        <w:noBreakHyphen/>
        <w:t xml:space="preserve">related disability than for the general community given the need for accessible transport. </w:t>
      </w:r>
    </w:p>
    <w:p w:rsidR="007C6A5F" w:rsidRDefault="007C6A5F" w:rsidP="007C6A5F">
      <w:pPr>
        <w:pStyle w:val="BodyText"/>
      </w:pPr>
      <w:r>
        <w:t>According to data from the 2018 SDAC:</w:t>
      </w:r>
    </w:p>
    <w:p w:rsidR="007C6A5F" w:rsidRDefault="007C6A5F" w:rsidP="005A6F87">
      <w:pPr>
        <w:pStyle w:val="ListBullet"/>
        <w:numPr>
          <w:ilvl w:val="0"/>
          <w:numId w:val="17"/>
        </w:numPr>
      </w:pPr>
      <w:r>
        <w:t>there were around 7200 working age people with a mobility</w:t>
      </w:r>
      <w:r>
        <w:noBreakHyphen/>
        <w:t>related disability for whom transport problems (or too far to travel) is given as a reason why they have difficulty finding work (around 0.9 per cent of the working age people with a mobility-related disability who were not employed)</w:t>
      </w:r>
      <w:r w:rsidR="0033389D">
        <w:t>,</w:t>
      </w:r>
      <w:r>
        <w:t xml:space="preserve"> and</w:t>
      </w:r>
    </w:p>
    <w:p w:rsidR="007C6A5F" w:rsidRDefault="007C6A5F" w:rsidP="005A6F87">
      <w:pPr>
        <w:pStyle w:val="ListBullet"/>
        <w:numPr>
          <w:ilvl w:val="0"/>
          <w:numId w:val="17"/>
        </w:numPr>
      </w:pPr>
      <w:r>
        <w:t xml:space="preserve">transport problems (or too far to travel) was the </w:t>
      </w:r>
      <w:r w:rsidRPr="00F36A14">
        <w:rPr>
          <w:b/>
          <w:bCs/>
        </w:rPr>
        <w:t>main</w:t>
      </w:r>
      <w:r>
        <w:t xml:space="preserve"> reason for having difficulty finding work for around 1500 people (0.2 per cent of the total number of working age people with a mobility-related disability who were not employed).</w:t>
      </w:r>
    </w:p>
    <w:p w:rsidR="007C6A5F" w:rsidRDefault="007C6A5F" w:rsidP="007C6A5F">
      <w:pPr>
        <w:pStyle w:val="BodyText"/>
      </w:pPr>
      <w:r>
        <w:lastRenderedPageBreak/>
        <w:t xml:space="preserve">Even where transport problems (or too far to travel) is identified as the main reason for having difficulty finding work, it is not necessarily the case that this can be attributed to a lack of accessible housing. </w:t>
      </w:r>
    </w:p>
    <w:p w:rsidR="007C6A5F" w:rsidRDefault="007C6A5F" w:rsidP="007C6A5F">
      <w:pPr>
        <w:pStyle w:val="Heading7"/>
        <w:numPr>
          <w:ilvl w:val="6"/>
          <w:numId w:val="5"/>
        </w:numPr>
      </w:pPr>
      <w:r>
        <w:t>Interpretation of available evidence</w:t>
      </w:r>
    </w:p>
    <w:p w:rsidR="007C6A5F" w:rsidRDefault="007C6A5F" w:rsidP="007C6A5F">
      <w:pPr>
        <w:pStyle w:val="BodyText"/>
      </w:pPr>
      <w:r>
        <w:t>There are several ways that a lack of accessible housing could be leading to relatively poor employment outcomes among working age people with mobility</w:t>
      </w:r>
      <w:r>
        <w:noBreakHyphen/>
        <w:t>related disabilities. However, we have been unable to identify any specific quantitative evidence on the extent to which a lack of accessible housing limits employment opportunities.</w:t>
      </w:r>
    </w:p>
    <w:p w:rsidR="007C6A5F" w:rsidRDefault="007C6A5F" w:rsidP="007C6A5F">
      <w:pPr>
        <w:pStyle w:val="BodyText"/>
      </w:pPr>
      <w:r>
        <w:t>The most plausible impact is through the ‘mobility constraint’ where people with accessibility needs are unable to easily move to pursue employment opportunities. However, there is limited supporting evidence and any impacts are likely to be relatively small.</w:t>
      </w:r>
    </w:p>
    <w:p w:rsidR="007C6A5F" w:rsidRDefault="007C6A5F" w:rsidP="007C6A5F">
      <w:pPr>
        <w:pStyle w:val="BodyText"/>
      </w:pPr>
      <w:r>
        <w:t>Overall, there is not sufficient evidence on the employment impacts of accessible housing to include these potential impacts in the CBA.</w:t>
      </w:r>
    </w:p>
    <w:p w:rsidR="007C6A5F" w:rsidRDefault="007C6A5F" w:rsidP="007C6A5F">
      <w:pPr>
        <w:pStyle w:val="Heading6"/>
        <w:numPr>
          <w:ilvl w:val="5"/>
          <w:numId w:val="5"/>
        </w:numPr>
      </w:pPr>
      <w:bookmarkStart w:id="8224" w:name="_Toc32321781"/>
      <w:bookmarkStart w:id="8225" w:name="_Ref32942755"/>
      <w:bookmarkStart w:id="8226" w:name="_Toc44598471"/>
      <w:bookmarkStart w:id="8227" w:name="_Toc45654102"/>
      <w:r>
        <w:lastRenderedPageBreak/>
        <w:t>Construction cost estimates</w:t>
      </w:r>
      <w:bookmarkEnd w:id="8224"/>
      <w:bookmarkEnd w:id="8225"/>
      <w:bookmarkEnd w:id="8226"/>
      <w:bookmarkEnd w:id="8227"/>
    </w:p>
    <w:p w:rsidR="007C6A5F" w:rsidRDefault="007C6A5F" w:rsidP="007C6A5F">
      <w:pPr>
        <w:pStyle w:val="BodyText"/>
      </w:pPr>
      <w:r>
        <w:t>DCWC, quantity surveyors, have provided estimates for the additional construction cost that would be incurred if the proposed changes to the NCC are implemented.</w:t>
      </w:r>
    </w:p>
    <w:p w:rsidR="007C6A5F" w:rsidRDefault="007C6A5F" w:rsidP="007C6A5F">
      <w:pPr>
        <w:pStyle w:val="BodyText"/>
      </w:pPr>
      <w:r>
        <w:t>These construction costs are the difference between the cost of building new homes where the proposed NCC changes are incorporated, against the baseline of existing practice. They are driven by 4 factors:</w:t>
      </w:r>
    </w:p>
    <w:p w:rsidR="007C6A5F" w:rsidRDefault="007C6A5F" w:rsidP="005A6F87">
      <w:pPr>
        <w:pStyle w:val="ListBullet"/>
        <w:numPr>
          <w:ilvl w:val="0"/>
          <w:numId w:val="17"/>
        </w:numPr>
      </w:pPr>
      <w:r>
        <w:t>The policy option being considered: in general it is less costly to achieve ‘Silver’ level design than ‘Gold’ or ‘Gold+’ because Silver has fewer or lower requirements.</w:t>
      </w:r>
    </w:p>
    <w:p w:rsidR="007C6A5F" w:rsidRDefault="007C6A5F" w:rsidP="005A6F87">
      <w:pPr>
        <w:pStyle w:val="ListBullet"/>
        <w:numPr>
          <w:ilvl w:val="0"/>
          <w:numId w:val="17"/>
        </w:numPr>
      </w:pPr>
      <w:r>
        <w:t>The size and the layout of the home where the changes are being implemented: in general (though not always) it is more costly to meet the changes in smaller homes with tighter layouts; it is more costly to meet the changes in two-storey homes relative to one-storey homes (as the requirement are greater for the former).</w:t>
      </w:r>
    </w:p>
    <w:p w:rsidR="007C6A5F" w:rsidRDefault="007C6A5F" w:rsidP="005A6F87">
      <w:pPr>
        <w:pStyle w:val="ListBullet"/>
        <w:numPr>
          <w:ilvl w:val="0"/>
          <w:numId w:val="17"/>
        </w:numPr>
      </w:pPr>
      <w:r>
        <w:t>The design options that are available for meeting the requirement. These design options reflect the choices that are available to the builder (in some cases, requirements can be met with a relatively low cost option) and the particular constrains of the situation.</w:t>
      </w:r>
    </w:p>
    <w:p w:rsidR="007C6A5F" w:rsidRDefault="007C6A5F" w:rsidP="005A6F87">
      <w:pPr>
        <w:pStyle w:val="ListBullet"/>
        <w:numPr>
          <w:ilvl w:val="0"/>
          <w:numId w:val="17"/>
        </w:numPr>
      </w:pPr>
      <w:r>
        <w:t>Whether or not the particular requirement is already provided in the baseline (if it is being provided in the baseline, then there is no cost to implementing the corresponding NCC change).</w:t>
      </w:r>
    </w:p>
    <w:p w:rsidR="007C6A5F" w:rsidRDefault="007C6A5F" w:rsidP="007C6A5F">
      <w:pPr>
        <w:pStyle w:val="Heading7"/>
        <w:numPr>
          <w:ilvl w:val="6"/>
          <w:numId w:val="5"/>
        </w:numPr>
      </w:pPr>
      <w:r>
        <w:t>The estimates and their interpretation</w:t>
      </w:r>
    </w:p>
    <w:p w:rsidR="007C6A5F" w:rsidRDefault="007C6A5F" w:rsidP="007C6A5F">
      <w:pPr>
        <w:pStyle w:val="BodyText"/>
      </w:pPr>
      <w:r>
        <w:t>Specifically, DCWC’s costings incorporate the following features:</w:t>
      </w:r>
    </w:p>
    <w:p w:rsidR="007C6A5F" w:rsidRDefault="007C6A5F" w:rsidP="005A6F87">
      <w:pPr>
        <w:pStyle w:val="ListBullet"/>
        <w:numPr>
          <w:ilvl w:val="0"/>
          <w:numId w:val="17"/>
        </w:numPr>
      </w:pPr>
      <w:r>
        <w:t>They have provided separate estimates for: a representative townhouse (with a floorspace of 90sqm-110sqm), a representative ‘volume build’ detached house (with a floorspace of 120sqm), a representative ‘custom build’ detached house (with a floorspace of 170sqm-200sqm), a representative apartment in a walk-up block (with a floorspace of 70sqm-90sqm) and a representative apartment in block with a lift (with a floorspace of 110-140sqm).</w:t>
      </w:r>
    </w:p>
    <w:p w:rsidR="007C6A5F" w:rsidRDefault="007C6A5F" w:rsidP="005A6F87">
      <w:pPr>
        <w:pStyle w:val="ListBullet"/>
        <w:numPr>
          <w:ilvl w:val="0"/>
          <w:numId w:val="17"/>
        </w:numPr>
      </w:pPr>
      <w:r>
        <w:t>They have provided separate costs for the different policy options: implementing changes to the NCC that are consistent with LHDG Silver, LHDG Gold and</w:t>
      </w:r>
      <w:r w:rsidRPr="00416FFD">
        <w:t xml:space="preserve"> </w:t>
      </w:r>
      <w:r>
        <w:t>LHDG Gold+.</w:t>
      </w:r>
    </w:p>
    <w:p w:rsidR="007C6A5F" w:rsidRDefault="007C6A5F" w:rsidP="005A6F87">
      <w:pPr>
        <w:pStyle w:val="ListBullet"/>
        <w:numPr>
          <w:ilvl w:val="0"/>
          <w:numId w:val="17"/>
        </w:numPr>
      </w:pPr>
      <w:r>
        <w:t xml:space="preserve">For each type of house, each policy option, each design element of the LHDG standards (dwelling access, dwelling entry, etc.) they have provided costs for up to 5 scenarios. These scenarios reflect different baselines and different ways to achieve compliance. For example, some may already be compliant in the baseline, and thus the required changes incur zero cost. Some are not compliant in the baseline, and thus </w:t>
      </w:r>
      <w:r>
        <w:lastRenderedPageBreak/>
        <w:t xml:space="preserve">require changes to meet the standard, which incur costs. Furthermore, the compliance may be achieved through different designs. For example, to meet the toilet space requirement, a design to replace a swing door with a cavity slider door would mean minimal cost, while in some cases this design is not feasible and bigger space is required to meet the standard, and thus higher costs. For Gold and/or Gold+ standards, more scenarios may be needed to define the baselines for those already met lower standard. </w:t>
      </w:r>
    </w:p>
    <w:p w:rsidR="007C6A5F" w:rsidRDefault="007C6A5F" w:rsidP="007C6A5F">
      <w:pPr>
        <w:pStyle w:val="Heading8"/>
        <w:numPr>
          <w:ilvl w:val="7"/>
          <w:numId w:val="5"/>
        </w:numPr>
      </w:pPr>
      <w:r>
        <w:t>Example: Implementing Silver and Gold compliant corridors in townhouses</w:t>
      </w:r>
    </w:p>
    <w:p w:rsidR="007C6A5F" w:rsidRDefault="007C6A5F" w:rsidP="007C6A5F">
      <w:pPr>
        <w:pStyle w:val="BodyText"/>
      </w:pPr>
      <w:r>
        <w:t>We use this example to show how the construction costs are derived.</w:t>
      </w:r>
    </w:p>
    <w:p w:rsidR="007C6A5F" w:rsidRDefault="007C6A5F" w:rsidP="007C6A5F">
      <w:pPr>
        <w:pStyle w:val="BodyText"/>
      </w:pPr>
      <w:r>
        <w:t>To provide internal doors and corridors to LHDG Silver standard (option 1 in this RIS), the doors must be 800mm wide and corridors must be 1000mm wide. DCWC have estimated the cost of providing this requirement in townhouses is, on average, $659 per dwelling, based on the following assumptions:</w:t>
      </w:r>
    </w:p>
    <w:p w:rsidR="007C6A5F" w:rsidRDefault="007C6A5F" w:rsidP="005A6F87">
      <w:pPr>
        <w:pStyle w:val="ListBullet"/>
        <w:numPr>
          <w:ilvl w:val="0"/>
          <w:numId w:val="17"/>
        </w:numPr>
      </w:pPr>
      <w:r>
        <w:t>internal doors of (at least) 800mm width are already common practice (they are already part of the baseline)– which means the additional cost of meeting this requirement is zero.</w:t>
      </w:r>
    </w:p>
    <w:p w:rsidR="007C6A5F" w:rsidRDefault="007C6A5F" w:rsidP="005A6F87">
      <w:pPr>
        <w:pStyle w:val="ListBullet"/>
        <w:numPr>
          <w:ilvl w:val="0"/>
          <w:numId w:val="17"/>
        </w:numPr>
      </w:pPr>
      <w:r>
        <w:t>30 per cent of townhouse corridors are already at least 1000mm wide, again implying there is no cost to meet this requirement.</w:t>
      </w:r>
    </w:p>
    <w:p w:rsidR="007C6A5F" w:rsidRDefault="007C6A5F" w:rsidP="005A6F87">
      <w:pPr>
        <w:pStyle w:val="ListBullet"/>
        <w:numPr>
          <w:ilvl w:val="0"/>
          <w:numId w:val="17"/>
        </w:numPr>
      </w:pPr>
      <w:r>
        <w:t>the remaining 70 per cent of townhouse corridors are 900mm wide; additional construction costs of $942 are required to make these corridors compliant.</w:t>
      </w:r>
    </w:p>
    <w:p w:rsidR="007C6A5F" w:rsidRDefault="007C6A5F" w:rsidP="005A6F87">
      <w:pPr>
        <w:pStyle w:val="ListBullet"/>
        <w:numPr>
          <w:ilvl w:val="0"/>
          <w:numId w:val="17"/>
        </w:numPr>
      </w:pPr>
      <w:r>
        <w:t>The weighted average cost to provide Silver compliant internal doors and corridors in townhouses is therefore $659.</w:t>
      </w:r>
    </w:p>
    <w:p w:rsidR="007C6A5F" w:rsidRDefault="007C6A5F" w:rsidP="007C6A5F">
      <w:pPr>
        <w:pStyle w:val="BodyText"/>
      </w:pPr>
      <w:r>
        <w:t>To provide internal doors and corridors to LHDG Gold standard (option 2 in this RIS), internal doors must be 850mm wide and internal corridors must be 1200mm wide. DCWC have estimated the cost of providing this requirement in townhouses is, on average, $2 676, as follows:</w:t>
      </w:r>
    </w:p>
    <w:p w:rsidR="007C6A5F" w:rsidRDefault="007C6A5F" w:rsidP="005A6F87">
      <w:pPr>
        <w:pStyle w:val="ListBullet"/>
        <w:numPr>
          <w:ilvl w:val="0"/>
          <w:numId w:val="17"/>
        </w:numPr>
      </w:pPr>
      <w:r>
        <w:t>all townhouses will require some changes to meet this requirement (the share of townhouses where ‘zero costs’ are incurred is 0 per cent).</w:t>
      </w:r>
    </w:p>
    <w:p w:rsidR="007C6A5F" w:rsidRDefault="007C6A5F" w:rsidP="005A6F87">
      <w:pPr>
        <w:pStyle w:val="ListBullet"/>
        <w:numPr>
          <w:ilvl w:val="0"/>
          <w:numId w:val="17"/>
        </w:numPr>
      </w:pPr>
      <w:r>
        <w:t>Of the 30 per cent of townhouses that met the Silver standard:</w:t>
      </w:r>
    </w:p>
    <w:p w:rsidR="007C6A5F" w:rsidRDefault="007C6A5F" w:rsidP="005A6F87">
      <w:pPr>
        <w:pStyle w:val="ListBullet2"/>
        <w:numPr>
          <w:ilvl w:val="1"/>
          <w:numId w:val="17"/>
        </w:numPr>
        <w:ind w:left="568" w:hanging="284"/>
      </w:pPr>
      <w:r>
        <w:t>Two thirds (20 per cent of total) require wider doors only, requiring an additional $509 of construction cost.</w:t>
      </w:r>
    </w:p>
    <w:p w:rsidR="007C6A5F" w:rsidRDefault="007C6A5F" w:rsidP="005A6F87">
      <w:pPr>
        <w:pStyle w:val="ListBullet2"/>
        <w:numPr>
          <w:ilvl w:val="1"/>
          <w:numId w:val="17"/>
        </w:numPr>
        <w:ind w:left="568" w:hanging="284"/>
      </w:pPr>
      <w:r>
        <w:t>One third (10 per cent of total) require wider doors and an increase in corridor width from 1000mm to 1200mm, requiring an additional $2 393 of construction cost.</w:t>
      </w:r>
    </w:p>
    <w:p w:rsidR="007C6A5F" w:rsidRDefault="007C6A5F" w:rsidP="005A6F87">
      <w:pPr>
        <w:pStyle w:val="ListBullet"/>
        <w:numPr>
          <w:ilvl w:val="0"/>
          <w:numId w:val="17"/>
        </w:numPr>
      </w:pPr>
      <w:r>
        <w:t>The 70 per cent of townhouses that are not compliant with the Silver standard (with 800mm wide doors and 900mm wide corridors) require $3 335 of additional construction cost</w:t>
      </w:r>
    </w:p>
    <w:p w:rsidR="007C6A5F" w:rsidRDefault="007C6A5F" w:rsidP="005A6F87">
      <w:pPr>
        <w:pStyle w:val="ListBullet"/>
        <w:numPr>
          <w:ilvl w:val="0"/>
          <w:numId w:val="17"/>
        </w:numPr>
      </w:pPr>
      <w:r>
        <w:t>The weighted average cost to provide gold compliant internal doors and corridors in  townhouses is therefore $2 676.</w:t>
      </w:r>
    </w:p>
    <w:p w:rsidR="007C6A5F" w:rsidRDefault="007C6A5F" w:rsidP="007C6A5F">
      <w:pPr>
        <w:pStyle w:val="BodyText"/>
      </w:pPr>
      <w:r>
        <w:t>These assumptions and calculations are documented in table I.1 and I.2 (design element 3: internal doors and corridors).</w:t>
      </w:r>
    </w:p>
    <w:p w:rsidR="007C6A5F" w:rsidRPr="00667D4B" w:rsidRDefault="007C6A5F" w:rsidP="007C6A5F">
      <w:pPr>
        <w:pStyle w:val="BodyText"/>
        <w:rPr>
          <w:lang w:bidi="fa-IR"/>
        </w:rPr>
      </w:pPr>
      <w:bookmarkStart w:id="8228" w:name="_Hlk43829689"/>
      <w:r>
        <w:lastRenderedPageBreak/>
        <w:t>These tables also show that there are majority (85 per cent) of townhouse buildings would choose front entry solution for compliance while a small proportion (15 per cent) requires garage access.</w:t>
      </w:r>
    </w:p>
    <w:bookmarkEnd w:id="8228"/>
    <w:p w:rsidR="007C6A5F" w:rsidRDefault="007C6A5F" w:rsidP="007C6A5F">
      <w:pPr>
        <w:pStyle w:val="Caption"/>
        <w:spacing w:before="240"/>
      </w:pPr>
      <w:r w:rsidRPr="00773730">
        <w:fldChar w:fldCharType="begin"/>
      </w:r>
      <w:r w:rsidRPr="00773730">
        <w:instrText xml:space="preserve"> IF 1 = 1 "</w:instrText>
      </w:r>
      <w:r w:rsidRPr="00773730">
        <w:fldChar w:fldCharType="begin"/>
      </w:r>
      <w:r w:rsidRPr="00773730">
        <w:instrText xml:space="preserve"> IF </w:instrText>
      </w:r>
      <w:r>
        <w:rPr>
          <w:noProof/>
        </w:rPr>
        <w:fldChar w:fldCharType="begin"/>
      </w:r>
      <w:r>
        <w:rPr>
          <w:noProof/>
        </w:rPr>
        <w:instrText xml:space="preserve"> STYLEREF "Heading 6" \l \n </w:instrText>
      </w:r>
      <w:r>
        <w:rPr>
          <w:noProof/>
        </w:rPr>
        <w:fldChar w:fldCharType="separate"/>
      </w:r>
      <w:r>
        <w:rPr>
          <w:noProof/>
        </w:rPr>
        <w:instrText>I</w:instrText>
      </w:r>
      <w:r>
        <w:rPr>
          <w:noProof/>
        </w:rPr>
        <w:fldChar w:fldCharType="end"/>
      </w:r>
      <w:r w:rsidRPr="00773730">
        <w:instrText xml:space="preserve"> = 0 "</w:instrText>
      </w:r>
      <w:r w:rsidRPr="00773730">
        <w:fldChar w:fldCharType="begin"/>
      </w:r>
      <w:r w:rsidRPr="00773730">
        <w:instrText xml:space="preserve"> IF </w:instrText>
      </w:r>
      <w:r>
        <w:rPr>
          <w:noProof/>
        </w:rPr>
        <w:fldChar w:fldCharType="begin"/>
      </w:r>
      <w:r>
        <w:rPr>
          <w:noProof/>
        </w:rPr>
        <w:instrText xml:space="preserve"> STYLEREF "Heading 1" \l \n </w:instrText>
      </w:r>
      <w:r>
        <w:rPr>
          <w:noProof/>
        </w:rPr>
        <w:fldChar w:fldCharType="separate"/>
      </w:r>
      <w:r w:rsidRPr="00773730">
        <w:rPr>
          <w:noProof/>
        </w:rPr>
        <w:instrText>0</w:instrText>
      </w:r>
      <w:r>
        <w:rPr>
          <w:noProof/>
        </w:rPr>
        <w:fldChar w:fldCharType="end"/>
      </w:r>
      <w:r w:rsidRPr="00773730">
        <w:instrText xml:space="preserve"> = 0 "" "</w:instrText>
      </w:r>
      <w:r>
        <w:rPr>
          <w:noProof/>
        </w:rPr>
        <w:fldChar w:fldCharType="begin"/>
      </w:r>
      <w:r>
        <w:rPr>
          <w:noProof/>
        </w:rPr>
        <w:instrText xml:space="preserve"> STYLEREF "Heading 1" \l \n </w:instrText>
      </w:r>
      <w:r>
        <w:rPr>
          <w:noProof/>
        </w:rPr>
        <w:fldChar w:fldCharType="separate"/>
      </w:r>
      <w:r w:rsidRPr="00773730">
        <w:rPr>
          <w:noProof/>
        </w:rPr>
        <w:instrText>2</w:instrText>
      </w:r>
      <w:r>
        <w:rPr>
          <w:noProof/>
        </w:rPr>
        <w:fldChar w:fldCharType="end"/>
      </w:r>
      <w:r w:rsidRPr="00773730">
        <w:instrText xml:space="preserve">." </w:instrText>
      </w:r>
      <w:r w:rsidRPr="00773730">
        <w:fldChar w:fldCharType="end"/>
      </w:r>
      <w:r w:rsidRPr="00773730">
        <w:instrText>" "</w:instrText>
      </w:r>
      <w:r>
        <w:rPr>
          <w:noProof/>
        </w:rPr>
        <w:fldChar w:fldCharType="begin"/>
      </w:r>
      <w:r>
        <w:rPr>
          <w:noProof/>
        </w:rPr>
        <w:instrText xml:space="preserve"> STYLEREF "Heading 6" \l \n </w:instrText>
      </w:r>
      <w:r>
        <w:rPr>
          <w:noProof/>
        </w:rPr>
        <w:fldChar w:fldCharType="separate"/>
      </w:r>
      <w:r>
        <w:rPr>
          <w:noProof/>
        </w:rPr>
        <w:instrText>I</w:instrText>
      </w:r>
      <w:r>
        <w:rPr>
          <w:noProof/>
        </w:rPr>
        <w:fldChar w:fldCharType="end"/>
      </w:r>
      <w:r w:rsidRPr="00773730">
        <w:instrText xml:space="preserve">." </w:instrText>
      </w:r>
      <w:r w:rsidRPr="00773730">
        <w:fldChar w:fldCharType="separate"/>
      </w:r>
      <w:r>
        <w:rPr>
          <w:noProof/>
        </w:rPr>
        <w:instrText>I</w:instrText>
      </w:r>
      <w:r w:rsidRPr="00773730">
        <w:rPr>
          <w:noProof/>
        </w:rPr>
        <w:instrText>.</w:instrText>
      </w:r>
      <w:r w:rsidRPr="00773730">
        <w:fldChar w:fldCharType="end"/>
      </w:r>
      <w:r w:rsidRPr="00773730">
        <w:fldChar w:fldCharType="begin"/>
      </w:r>
      <w:r w:rsidRPr="00773730">
        <w:instrText xml:space="preserve"> SEQ Item \* ARABIC \s </w:instrText>
      </w:r>
      <w:r w:rsidRPr="00773730">
        <w:fldChar w:fldCharType="begin"/>
      </w:r>
      <w:r w:rsidRPr="00773730">
        <w:instrText xml:space="preserve"> IF </w:instrText>
      </w:r>
      <w:r>
        <w:rPr>
          <w:noProof/>
        </w:rPr>
        <w:fldChar w:fldCharType="begin"/>
      </w:r>
      <w:r>
        <w:rPr>
          <w:noProof/>
        </w:rPr>
        <w:instrText xml:space="preserve"> STYLEREF "Heading 6" \l \n </w:instrText>
      </w:r>
      <w:r>
        <w:rPr>
          <w:noProof/>
        </w:rPr>
        <w:fldChar w:fldCharType="separate"/>
      </w:r>
      <w:r>
        <w:rPr>
          <w:noProof/>
        </w:rPr>
        <w:instrText>I</w:instrText>
      </w:r>
      <w:r>
        <w:rPr>
          <w:noProof/>
        </w:rPr>
        <w:fldChar w:fldCharType="end"/>
      </w:r>
      <w:r w:rsidRPr="00773730">
        <w:instrText xml:space="preserve"> = 0 "</w:instrText>
      </w:r>
      <w:r w:rsidRPr="00773730">
        <w:fldChar w:fldCharType="begin"/>
      </w:r>
      <w:r w:rsidRPr="00773730">
        <w:instrText xml:space="preserve"> IF </w:instrText>
      </w:r>
      <w:r>
        <w:rPr>
          <w:noProof/>
        </w:rPr>
        <w:fldChar w:fldCharType="begin"/>
      </w:r>
      <w:r>
        <w:rPr>
          <w:noProof/>
        </w:rPr>
        <w:instrText xml:space="preserve"> STYLEREF "Heading 1" \l \n </w:instrText>
      </w:r>
      <w:r>
        <w:rPr>
          <w:noProof/>
        </w:rPr>
        <w:fldChar w:fldCharType="separate"/>
      </w:r>
      <w:r w:rsidRPr="00773730">
        <w:rPr>
          <w:noProof/>
        </w:rPr>
        <w:instrText>0</w:instrText>
      </w:r>
      <w:r>
        <w:rPr>
          <w:noProof/>
        </w:rPr>
        <w:fldChar w:fldCharType="end"/>
      </w:r>
      <w:r w:rsidRPr="00773730">
        <w:instrText xml:space="preserve"> = 0 "" "1" </w:instrText>
      </w:r>
      <w:r w:rsidRPr="00773730">
        <w:fldChar w:fldCharType="end"/>
      </w:r>
      <w:r w:rsidRPr="00773730">
        <w:instrText xml:space="preserve">" "6" </w:instrText>
      </w:r>
      <w:r w:rsidRPr="00773730">
        <w:fldChar w:fldCharType="separate"/>
      </w:r>
      <w:r w:rsidRPr="00773730">
        <w:rPr>
          <w:noProof/>
        </w:rPr>
        <w:instrText>6</w:instrText>
      </w:r>
      <w:r w:rsidRPr="00773730">
        <w:fldChar w:fldCharType="end"/>
      </w:r>
      <w:r w:rsidRPr="00773730">
        <w:instrText xml:space="preserve"> </w:instrText>
      </w:r>
      <w:r w:rsidRPr="00773730">
        <w:fldChar w:fldCharType="separate"/>
      </w:r>
      <w:r>
        <w:rPr>
          <w:noProof/>
        </w:rPr>
        <w:instrText>1</w:instrText>
      </w:r>
      <w:r w:rsidRPr="00773730">
        <w:fldChar w:fldCharType="end"/>
      </w:r>
      <w:r w:rsidRPr="00773730">
        <w:instrText xml:space="preserve">" "" </w:instrText>
      </w:r>
      <w:r w:rsidRPr="00773730">
        <w:fldChar w:fldCharType="separate"/>
      </w:r>
      <w:bookmarkStart w:id="8229" w:name="_Caption9526"/>
      <w:bookmarkStart w:id="8230" w:name="_Caption2987"/>
      <w:bookmarkStart w:id="8231" w:name="_Caption0486"/>
      <w:bookmarkStart w:id="8232" w:name="_Caption6464"/>
      <w:bookmarkStart w:id="8233" w:name="_Toc44598608"/>
      <w:bookmarkStart w:id="8234" w:name="_Toc45654239"/>
      <w:r w:rsidR="00272AF3">
        <w:rPr>
          <w:noProof/>
        </w:rPr>
        <w:t>I</w:t>
      </w:r>
      <w:r w:rsidR="00272AF3" w:rsidRPr="00773730">
        <w:rPr>
          <w:noProof/>
        </w:rPr>
        <w:t>.</w:t>
      </w:r>
      <w:r w:rsidR="00272AF3">
        <w:rPr>
          <w:noProof/>
        </w:rPr>
        <w:t>1</w:t>
      </w:r>
      <w:bookmarkEnd w:id="8229"/>
      <w:bookmarkEnd w:id="8230"/>
      <w:bookmarkEnd w:id="8231"/>
      <w:bookmarkEnd w:id="8232"/>
      <w:r w:rsidRPr="00773730">
        <w:fldChar w:fldCharType="end"/>
      </w:r>
      <w:r w:rsidRPr="00773730">
        <w:tab/>
        <w:t>Estimated cost</w:t>
      </w:r>
      <w:r>
        <w:t xml:space="preserve"> to comply with LHGD Silver: townhouse</w:t>
      </w:r>
      <w:bookmarkEnd w:id="8233"/>
      <w:bookmarkEnd w:id="8234"/>
    </w:p>
    <w:tbl>
      <w:tblPr>
        <w:tblStyle w:val="TableGridLight"/>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I1"/>
        <w:tblDescription w:val="Estimated cost to comply with LHGD Silver: townhouse"/>
      </w:tblPr>
      <w:tblGrid>
        <w:gridCol w:w="2410"/>
        <w:gridCol w:w="853"/>
        <w:gridCol w:w="924"/>
        <w:gridCol w:w="924"/>
        <w:gridCol w:w="843"/>
        <w:gridCol w:w="850"/>
        <w:gridCol w:w="1276"/>
      </w:tblGrid>
      <w:tr w:rsidR="007C6A5F" w:rsidRPr="00E90745" w:rsidTr="00FE6892">
        <w:trPr>
          <w:trHeight w:val="230"/>
          <w:tblHeader/>
        </w:trPr>
        <w:tc>
          <w:tcPr>
            <w:tcW w:w="2410" w:type="dxa"/>
            <w:shd w:val="clear" w:color="auto" w:fill="6F6652" w:themeFill="accent5"/>
          </w:tcPr>
          <w:p w:rsidR="007C6A5F" w:rsidRPr="00E90745" w:rsidRDefault="00A821C9" w:rsidP="00A821C9">
            <w:pPr>
              <w:pStyle w:val="TableDataColumnHeading"/>
              <w:jc w:val="left"/>
            </w:pPr>
            <w:r>
              <w:t>Design element</w:t>
            </w:r>
          </w:p>
        </w:tc>
        <w:tc>
          <w:tcPr>
            <w:tcW w:w="853" w:type="dxa"/>
            <w:shd w:val="clear" w:color="auto" w:fill="6F6652" w:themeFill="accent5"/>
          </w:tcPr>
          <w:p w:rsidR="007C6A5F" w:rsidRDefault="007C6A5F" w:rsidP="00C36DA4">
            <w:pPr>
              <w:pStyle w:val="TableDataColumnHeading"/>
            </w:pPr>
            <w:r w:rsidRPr="00E90745">
              <w:t>Scenario 1</w:t>
            </w:r>
          </w:p>
          <w:p w:rsidR="008C121C" w:rsidRPr="00E90745" w:rsidRDefault="008C121C" w:rsidP="00C36DA4">
            <w:pPr>
              <w:pStyle w:val="TableDataColumnHeading"/>
            </w:pPr>
            <w:r>
              <w:t>($)</w:t>
            </w:r>
          </w:p>
        </w:tc>
        <w:tc>
          <w:tcPr>
            <w:tcW w:w="924" w:type="dxa"/>
            <w:shd w:val="clear" w:color="auto" w:fill="6F6652" w:themeFill="accent5"/>
          </w:tcPr>
          <w:p w:rsidR="007C6A5F" w:rsidRDefault="007C6A5F" w:rsidP="00C36DA4">
            <w:pPr>
              <w:pStyle w:val="TableDataColumnHeading"/>
            </w:pPr>
            <w:r w:rsidRPr="00E90745">
              <w:t>Scenario 2</w:t>
            </w:r>
          </w:p>
          <w:p w:rsidR="008C121C" w:rsidRPr="00E90745" w:rsidRDefault="008C121C" w:rsidP="00C36DA4">
            <w:pPr>
              <w:pStyle w:val="TableDataColumnHeading"/>
            </w:pPr>
            <w:r>
              <w:t>($)</w:t>
            </w:r>
          </w:p>
        </w:tc>
        <w:tc>
          <w:tcPr>
            <w:tcW w:w="924" w:type="dxa"/>
            <w:shd w:val="clear" w:color="auto" w:fill="6F6652" w:themeFill="accent5"/>
          </w:tcPr>
          <w:p w:rsidR="007C6A5F" w:rsidRDefault="007C6A5F" w:rsidP="00C36DA4">
            <w:pPr>
              <w:pStyle w:val="TableDataColumnHeading"/>
            </w:pPr>
            <w:r w:rsidRPr="00E90745">
              <w:t>Scenario 3</w:t>
            </w:r>
          </w:p>
          <w:p w:rsidR="008C121C" w:rsidRPr="00E90745" w:rsidRDefault="008C121C" w:rsidP="00C36DA4">
            <w:pPr>
              <w:pStyle w:val="TableDataColumnHeading"/>
            </w:pPr>
            <w:r>
              <w:t>($)</w:t>
            </w:r>
          </w:p>
        </w:tc>
        <w:tc>
          <w:tcPr>
            <w:tcW w:w="843" w:type="dxa"/>
            <w:shd w:val="clear" w:color="auto" w:fill="6F6652" w:themeFill="accent5"/>
          </w:tcPr>
          <w:p w:rsidR="007C6A5F" w:rsidRDefault="007C6A5F" w:rsidP="00C36DA4">
            <w:pPr>
              <w:pStyle w:val="TableDataColumnHeading"/>
            </w:pPr>
            <w:r>
              <w:t>Scenario 4</w:t>
            </w:r>
          </w:p>
          <w:p w:rsidR="008C121C" w:rsidRPr="00E90745" w:rsidRDefault="008C121C" w:rsidP="00C36DA4">
            <w:pPr>
              <w:pStyle w:val="TableDataColumnHeading"/>
            </w:pPr>
            <w:r>
              <w:t>($)</w:t>
            </w:r>
          </w:p>
        </w:tc>
        <w:tc>
          <w:tcPr>
            <w:tcW w:w="850" w:type="dxa"/>
            <w:shd w:val="clear" w:color="auto" w:fill="6F6652" w:themeFill="accent5"/>
          </w:tcPr>
          <w:p w:rsidR="007C6A5F" w:rsidRDefault="007C6A5F" w:rsidP="00C36DA4">
            <w:pPr>
              <w:pStyle w:val="TableDataColumnHeading"/>
            </w:pPr>
            <w:r>
              <w:t>Scenario 5</w:t>
            </w:r>
          </w:p>
          <w:p w:rsidR="008C121C" w:rsidRPr="00E90745" w:rsidRDefault="008C121C" w:rsidP="00C36DA4">
            <w:pPr>
              <w:pStyle w:val="TableDataColumnHeading"/>
            </w:pPr>
            <w:r>
              <w:t>($)</w:t>
            </w:r>
          </w:p>
        </w:tc>
        <w:tc>
          <w:tcPr>
            <w:tcW w:w="1276" w:type="dxa"/>
            <w:shd w:val="clear" w:color="auto" w:fill="6F6652" w:themeFill="accent5"/>
          </w:tcPr>
          <w:p w:rsidR="007C6A5F" w:rsidRDefault="007C6A5F" w:rsidP="00C36DA4">
            <w:pPr>
              <w:pStyle w:val="TableDataColumnHeading"/>
            </w:pPr>
            <w:r w:rsidRPr="00E90745">
              <w:t>Weighted average</w:t>
            </w:r>
          </w:p>
          <w:p w:rsidR="008C121C" w:rsidRPr="00E90745" w:rsidRDefault="008C121C" w:rsidP="00C36DA4">
            <w:pPr>
              <w:pStyle w:val="TableDataColumnHeading"/>
            </w:pPr>
            <w:r>
              <w:t>($)</w:t>
            </w:r>
          </w:p>
        </w:tc>
      </w:tr>
      <w:tr w:rsidR="00D03ED3" w:rsidTr="008C121C">
        <w:trPr>
          <w:trHeight w:val="230"/>
        </w:trPr>
        <w:tc>
          <w:tcPr>
            <w:tcW w:w="2410" w:type="dxa"/>
            <w:tcBorders>
              <w:top w:val="single" w:sz="8" w:space="0" w:color="FFFFFF" w:themeColor="background1"/>
              <w:bottom w:val="single" w:sz="8" w:space="0" w:color="FFFFFF" w:themeColor="background1"/>
            </w:tcBorders>
            <w:shd w:val="clear" w:color="auto" w:fill="E9E8E5" w:themeFill="background2"/>
          </w:tcPr>
          <w:p w:rsidR="00D03ED3" w:rsidRDefault="00D03ED3" w:rsidP="00D03ED3">
            <w:pPr>
              <w:pStyle w:val="TableDataEntries"/>
              <w:jc w:val="left"/>
              <w:rPr>
                <w:lang w:val="en-GB"/>
              </w:rPr>
            </w:pPr>
            <w:r>
              <w:rPr>
                <w:lang w:val="en-GB"/>
              </w:rPr>
              <w:t>1A. Step-free path to dwelling (option A)</w:t>
            </w:r>
          </w:p>
        </w:tc>
        <w:tc>
          <w:tcPr>
            <w:tcW w:w="85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 xml:space="preserve"> 425</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931</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0</w:t>
            </w:r>
          </w:p>
        </w:tc>
        <w:tc>
          <w:tcPr>
            <w:tcW w:w="84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0</w:t>
            </w:r>
          </w:p>
        </w:tc>
        <w:tc>
          <w:tcPr>
            <w:tcW w:w="850"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0</w:t>
            </w:r>
          </w:p>
        </w:tc>
        <w:tc>
          <w:tcPr>
            <w:tcW w:w="1276"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 xml:space="preserve"> 501</w:t>
            </w:r>
          </w:p>
        </w:tc>
      </w:tr>
      <w:tr w:rsidR="00D03ED3" w:rsidTr="008C121C">
        <w:trPr>
          <w:trHeight w:val="230"/>
        </w:trPr>
        <w:tc>
          <w:tcPr>
            <w:tcW w:w="2410" w:type="dxa"/>
            <w:tcBorders>
              <w:top w:val="single" w:sz="8" w:space="0" w:color="FFFFFF" w:themeColor="background1"/>
              <w:bottom w:val="single" w:sz="8" w:space="0" w:color="FFFFFF" w:themeColor="background1"/>
            </w:tcBorders>
            <w:shd w:val="clear" w:color="auto" w:fill="E9E8E5" w:themeFill="background2"/>
          </w:tcPr>
          <w:p w:rsidR="00D03ED3" w:rsidRDefault="00D03ED3" w:rsidP="00D03ED3">
            <w:pPr>
              <w:pStyle w:val="TableDataEntries"/>
              <w:jc w:val="left"/>
              <w:rPr>
                <w:lang w:val="en-GB"/>
              </w:rPr>
            </w:pPr>
            <w:r>
              <w:rPr>
                <w:lang w:val="en-GB"/>
              </w:rPr>
              <w:t>Weighting for element 1A</w:t>
            </w:r>
          </w:p>
        </w:tc>
        <w:tc>
          <w:tcPr>
            <w:tcW w:w="85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(85%)</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(15%)</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84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850"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1276"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(100%)</w:t>
            </w:r>
          </w:p>
        </w:tc>
      </w:tr>
      <w:tr w:rsidR="00D03ED3" w:rsidTr="008C121C">
        <w:trPr>
          <w:trHeight w:val="230"/>
        </w:trPr>
        <w:tc>
          <w:tcPr>
            <w:tcW w:w="2410" w:type="dxa"/>
            <w:tcBorders>
              <w:top w:val="single" w:sz="8" w:space="0" w:color="FFFFFF" w:themeColor="background1"/>
              <w:bottom w:val="single" w:sz="8" w:space="0" w:color="FFFFFF" w:themeColor="background1"/>
            </w:tcBorders>
            <w:shd w:val="clear" w:color="auto" w:fill="E9E8E5" w:themeFill="background2"/>
          </w:tcPr>
          <w:p w:rsidR="00D03ED3" w:rsidRDefault="00D03ED3" w:rsidP="00D03ED3">
            <w:pPr>
              <w:pStyle w:val="TableDataEntries"/>
              <w:jc w:val="left"/>
              <w:rPr>
                <w:lang w:val="en-GB"/>
              </w:rPr>
            </w:pPr>
            <w:r>
              <w:rPr>
                <w:lang w:val="en-GB"/>
              </w:rPr>
              <w:t>1B. Single-step access to dwelling (option B)</w:t>
            </w:r>
          </w:p>
        </w:tc>
        <w:tc>
          <w:tcPr>
            <w:tcW w:w="85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0</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0</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0</w:t>
            </w:r>
          </w:p>
        </w:tc>
        <w:tc>
          <w:tcPr>
            <w:tcW w:w="84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0</w:t>
            </w:r>
          </w:p>
        </w:tc>
        <w:tc>
          <w:tcPr>
            <w:tcW w:w="850"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0</w:t>
            </w:r>
          </w:p>
        </w:tc>
        <w:tc>
          <w:tcPr>
            <w:tcW w:w="1276"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0</w:t>
            </w:r>
          </w:p>
        </w:tc>
      </w:tr>
      <w:tr w:rsidR="00D03ED3" w:rsidTr="008C121C">
        <w:trPr>
          <w:trHeight w:val="230"/>
        </w:trPr>
        <w:tc>
          <w:tcPr>
            <w:tcW w:w="2410" w:type="dxa"/>
            <w:tcBorders>
              <w:top w:val="single" w:sz="8" w:space="0" w:color="FFFFFF" w:themeColor="background1"/>
              <w:bottom w:val="single" w:sz="8" w:space="0" w:color="FFFFFF" w:themeColor="background1"/>
            </w:tcBorders>
            <w:shd w:val="clear" w:color="auto" w:fill="E9E8E5" w:themeFill="background2"/>
          </w:tcPr>
          <w:p w:rsidR="00D03ED3" w:rsidRDefault="00D03ED3" w:rsidP="00D03ED3">
            <w:pPr>
              <w:pStyle w:val="TableDataEntries"/>
              <w:jc w:val="left"/>
              <w:rPr>
                <w:lang w:val="en-GB"/>
              </w:rPr>
            </w:pPr>
            <w:r>
              <w:rPr>
                <w:lang w:val="en-GB"/>
              </w:rPr>
              <w:t>Weighting for 1B</w:t>
            </w:r>
          </w:p>
        </w:tc>
        <w:tc>
          <w:tcPr>
            <w:tcW w:w="85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(100%)</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84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850"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1276"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(100%)</w:t>
            </w:r>
          </w:p>
        </w:tc>
      </w:tr>
      <w:tr w:rsidR="00D03ED3" w:rsidTr="008C121C">
        <w:trPr>
          <w:trHeight w:val="230"/>
        </w:trPr>
        <w:tc>
          <w:tcPr>
            <w:tcW w:w="2410" w:type="dxa"/>
            <w:tcBorders>
              <w:top w:val="single" w:sz="8" w:space="0" w:color="FFFFFF" w:themeColor="background1"/>
              <w:bottom w:val="single" w:sz="8" w:space="0" w:color="FFFFFF" w:themeColor="background1"/>
            </w:tcBorders>
            <w:shd w:val="clear" w:color="auto" w:fill="E9E8E5" w:themeFill="background2"/>
          </w:tcPr>
          <w:p w:rsidR="00D03ED3" w:rsidRDefault="00D03ED3" w:rsidP="00D03ED3">
            <w:pPr>
              <w:pStyle w:val="TableDataEntries"/>
              <w:jc w:val="left"/>
              <w:rPr>
                <w:lang w:val="en-GB"/>
              </w:rPr>
            </w:pPr>
            <w:r>
              <w:rPr>
                <w:lang w:val="en-GB"/>
              </w:rPr>
              <w:t>2. Dwelling entrance</w:t>
            </w:r>
          </w:p>
        </w:tc>
        <w:tc>
          <w:tcPr>
            <w:tcW w:w="85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0</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 xml:space="preserve"> 175</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0</w:t>
            </w:r>
          </w:p>
        </w:tc>
        <w:tc>
          <w:tcPr>
            <w:tcW w:w="84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0</w:t>
            </w:r>
          </w:p>
        </w:tc>
        <w:tc>
          <w:tcPr>
            <w:tcW w:w="850"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0</w:t>
            </w:r>
          </w:p>
        </w:tc>
        <w:tc>
          <w:tcPr>
            <w:tcW w:w="1276"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 xml:space="preserve"> 105</w:t>
            </w:r>
          </w:p>
        </w:tc>
      </w:tr>
      <w:tr w:rsidR="00D03ED3" w:rsidTr="008C121C">
        <w:trPr>
          <w:trHeight w:val="230"/>
        </w:trPr>
        <w:tc>
          <w:tcPr>
            <w:tcW w:w="2410" w:type="dxa"/>
            <w:tcBorders>
              <w:top w:val="single" w:sz="8" w:space="0" w:color="FFFFFF" w:themeColor="background1"/>
              <w:bottom w:val="single" w:sz="8" w:space="0" w:color="FFFFFF" w:themeColor="background1"/>
            </w:tcBorders>
            <w:shd w:val="clear" w:color="auto" w:fill="E9E8E5" w:themeFill="background2"/>
          </w:tcPr>
          <w:p w:rsidR="00D03ED3" w:rsidRDefault="00D03ED3" w:rsidP="00D03ED3">
            <w:pPr>
              <w:pStyle w:val="TableDataEntries"/>
              <w:jc w:val="left"/>
              <w:rPr>
                <w:lang w:val="en-GB"/>
              </w:rPr>
            </w:pPr>
            <w:r>
              <w:rPr>
                <w:lang w:val="en-GB"/>
              </w:rPr>
              <w:t>Weighting for element 2</w:t>
            </w:r>
          </w:p>
        </w:tc>
        <w:tc>
          <w:tcPr>
            <w:tcW w:w="85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(40%)</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(60%)</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84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850"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1276"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(100%)</w:t>
            </w:r>
          </w:p>
        </w:tc>
      </w:tr>
      <w:tr w:rsidR="00D03ED3" w:rsidTr="008C121C">
        <w:trPr>
          <w:trHeight w:val="230"/>
        </w:trPr>
        <w:tc>
          <w:tcPr>
            <w:tcW w:w="2410" w:type="dxa"/>
            <w:tcBorders>
              <w:top w:val="single" w:sz="8" w:space="0" w:color="FFFFFF" w:themeColor="background1"/>
              <w:bottom w:val="single" w:sz="8" w:space="0" w:color="FFFFFF" w:themeColor="background1"/>
            </w:tcBorders>
            <w:shd w:val="clear" w:color="auto" w:fill="E9E8E5" w:themeFill="background2"/>
          </w:tcPr>
          <w:p w:rsidR="00D03ED3" w:rsidRDefault="00D03ED3" w:rsidP="00D03ED3">
            <w:pPr>
              <w:pStyle w:val="TableDataEntries"/>
              <w:jc w:val="left"/>
              <w:rPr>
                <w:lang w:val="en-GB"/>
              </w:rPr>
            </w:pPr>
            <w:r>
              <w:rPr>
                <w:lang w:val="en-GB"/>
              </w:rPr>
              <w:t>3. Internal doors and corridors</w:t>
            </w:r>
          </w:p>
        </w:tc>
        <w:tc>
          <w:tcPr>
            <w:tcW w:w="85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0</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 xml:space="preserve"> 942</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0</w:t>
            </w:r>
          </w:p>
        </w:tc>
        <w:tc>
          <w:tcPr>
            <w:tcW w:w="84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0</w:t>
            </w:r>
          </w:p>
        </w:tc>
        <w:tc>
          <w:tcPr>
            <w:tcW w:w="850"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0</w:t>
            </w:r>
          </w:p>
        </w:tc>
        <w:tc>
          <w:tcPr>
            <w:tcW w:w="1276"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 xml:space="preserve"> 659</w:t>
            </w:r>
          </w:p>
        </w:tc>
      </w:tr>
      <w:tr w:rsidR="00D03ED3" w:rsidTr="008C121C">
        <w:trPr>
          <w:trHeight w:val="230"/>
        </w:trPr>
        <w:tc>
          <w:tcPr>
            <w:tcW w:w="2410" w:type="dxa"/>
            <w:tcBorders>
              <w:top w:val="single" w:sz="8" w:space="0" w:color="FFFFFF" w:themeColor="background1"/>
              <w:bottom w:val="single" w:sz="8" w:space="0" w:color="FFFFFF" w:themeColor="background1"/>
            </w:tcBorders>
            <w:shd w:val="clear" w:color="auto" w:fill="E9E8E5" w:themeFill="background2"/>
          </w:tcPr>
          <w:p w:rsidR="00D03ED3" w:rsidRDefault="00D03ED3" w:rsidP="00D03ED3">
            <w:pPr>
              <w:pStyle w:val="TableDataEntries"/>
              <w:jc w:val="left"/>
              <w:rPr>
                <w:lang w:val="en-GB"/>
              </w:rPr>
            </w:pPr>
            <w:r>
              <w:rPr>
                <w:lang w:val="en-GB"/>
              </w:rPr>
              <w:t>Weighting for element 3</w:t>
            </w:r>
          </w:p>
        </w:tc>
        <w:tc>
          <w:tcPr>
            <w:tcW w:w="85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(30%)</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(70%)</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84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850"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1276"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(100%)</w:t>
            </w:r>
          </w:p>
        </w:tc>
      </w:tr>
      <w:tr w:rsidR="00D03ED3" w:rsidTr="008C121C">
        <w:trPr>
          <w:trHeight w:val="230"/>
        </w:trPr>
        <w:tc>
          <w:tcPr>
            <w:tcW w:w="2410" w:type="dxa"/>
            <w:tcBorders>
              <w:top w:val="single" w:sz="8" w:space="0" w:color="FFFFFF" w:themeColor="background1"/>
              <w:bottom w:val="single" w:sz="8" w:space="0" w:color="FFFFFF" w:themeColor="background1"/>
            </w:tcBorders>
            <w:shd w:val="clear" w:color="auto" w:fill="E9E8E5" w:themeFill="background2"/>
          </w:tcPr>
          <w:p w:rsidR="00D03ED3" w:rsidRDefault="00D03ED3" w:rsidP="00D03ED3">
            <w:pPr>
              <w:pStyle w:val="TableDataEntries"/>
              <w:jc w:val="left"/>
              <w:rPr>
                <w:lang w:val="en-GB"/>
              </w:rPr>
            </w:pPr>
            <w:r>
              <w:rPr>
                <w:lang w:val="en-GB"/>
              </w:rPr>
              <w:t>4. Toilet on ground level</w:t>
            </w:r>
          </w:p>
        </w:tc>
        <w:tc>
          <w:tcPr>
            <w:tcW w:w="85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0</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 xml:space="preserve"> 80</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2 619</w:t>
            </w:r>
          </w:p>
        </w:tc>
        <w:tc>
          <w:tcPr>
            <w:tcW w:w="84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3 537</w:t>
            </w:r>
          </w:p>
        </w:tc>
        <w:tc>
          <w:tcPr>
            <w:tcW w:w="850"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4 409</w:t>
            </w:r>
          </w:p>
        </w:tc>
        <w:tc>
          <w:tcPr>
            <w:tcW w:w="1276"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 xml:space="preserve"> 951</w:t>
            </w:r>
          </w:p>
        </w:tc>
      </w:tr>
      <w:tr w:rsidR="00D03ED3" w:rsidTr="008C121C">
        <w:trPr>
          <w:trHeight w:val="230"/>
        </w:trPr>
        <w:tc>
          <w:tcPr>
            <w:tcW w:w="2410" w:type="dxa"/>
            <w:tcBorders>
              <w:top w:val="single" w:sz="8" w:space="0" w:color="FFFFFF" w:themeColor="background1"/>
              <w:bottom w:val="single" w:sz="8" w:space="0" w:color="FFFFFF" w:themeColor="background1"/>
            </w:tcBorders>
            <w:shd w:val="clear" w:color="auto" w:fill="E9E8E5" w:themeFill="background2"/>
          </w:tcPr>
          <w:p w:rsidR="00D03ED3" w:rsidRDefault="00D03ED3" w:rsidP="00D03ED3">
            <w:pPr>
              <w:pStyle w:val="TableDataEntries"/>
              <w:jc w:val="left"/>
              <w:rPr>
                <w:lang w:val="en-GB"/>
              </w:rPr>
            </w:pPr>
            <w:r>
              <w:rPr>
                <w:lang w:val="en-GB"/>
              </w:rPr>
              <w:t>Weighting for element 4</w:t>
            </w:r>
          </w:p>
        </w:tc>
        <w:tc>
          <w:tcPr>
            <w:tcW w:w="85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(70%)</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(20%)</w:t>
            </w:r>
          </w:p>
        </w:tc>
        <w:tc>
          <w:tcPr>
            <w:tcW w:w="84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(8%)</w:t>
            </w:r>
          </w:p>
        </w:tc>
        <w:tc>
          <w:tcPr>
            <w:tcW w:w="850"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(2%)</w:t>
            </w:r>
          </w:p>
        </w:tc>
        <w:tc>
          <w:tcPr>
            <w:tcW w:w="1276"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(100%)</w:t>
            </w:r>
          </w:p>
        </w:tc>
      </w:tr>
      <w:tr w:rsidR="00D03ED3" w:rsidTr="008C121C">
        <w:trPr>
          <w:trHeight w:val="230"/>
        </w:trPr>
        <w:tc>
          <w:tcPr>
            <w:tcW w:w="2410" w:type="dxa"/>
            <w:tcBorders>
              <w:top w:val="single" w:sz="8" w:space="0" w:color="FFFFFF" w:themeColor="background1"/>
              <w:bottom w:val="single" w:sz="8" w:space="0" w:color="FFFFFF" w:themeColor="background1"/>
            </w:tcBorders>
            <w:shd w:val="clear" w:color="auto" w:fill="E9E8E5" w:themeFill="background2"/>
          </w:tcPr>
          <w:p w:rsidR="00D03ED3" w:rsidRDefault="00D03ED3" w:rsidP="00D03ED3">
            <w:pPr>
              <w:pStyle w:val="TableDataEntries"/>
              <w:jc w:val="left"/>
              <w:rPr>
                <w:lang w:val="en-GB"/>
              </w:rPr>
            </w:pPr>
            <w:r>
              <w:rPr>
                <w:lang w:val="en-GB"/>
              </w:rPr>
              <w:t>5. Shower</w:t>
            </w:r>
          </w:p>
        </w:tc>
        <w:tc>
          <w:tcPr>
            <w:tcW w:w="85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0</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0</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0</w:t>
            </w:r>
          </w:p>
        </w:tc>
        <w:tc>
          <w:tcPr>
            <w:tcW w:w="84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0</w:t>
            </w:r>
          </w:p>
        </w:tc>
        <w:tc>
          <w:tcPr>
            <w:tcW w:w="850"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0</w:t>
            </w:r>
          </w:p>
        </w:tc>
        <w:tc>
          <w:tcPr>
            <w:tcW w:w="1276"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0</w:t>
            </w:r>
          </w:p>
        </w:tc>
      </w:tr>
      <w:tr w:rsidR="00D03ED3" w:rsidTr="008C121C">
        <w:trPr>
          <w:trHeight w:val="230"/>
        </w:trPr>
        <w:tc>
          <w:tcPr>
            <w:tcW w:w="2410" w:type="dxa"/>
            <w:tcBorders>
              <w:top w:val="single" w:sz="8" w:space="0" w:color="FFFFFF" w:themeColor="background1"/>
              <w:bottom w:val="single" w:sz="8" w:space="0" w:color="FFFFFF" w:themeColor="background1"/>
            </w:tcBorders>
            <w:shd w:val="clear" w:color="auto" w:fill="E9E8E5" w:themeFill="background2"/>
          </w:tcPr>
          <w:p w:rsidR="00D03ED3" w:rsidRDefault="00D03ED3" w:rsidP="00D03ED3">
            <w:pPr>
              <w:pStyle w:val="TableDataEntries"/>
              <w:jc w:val="left"/>
              <w:rPr>
                <w:lang w:val="en-GB"/>
              </w:rPr>
            </w:pPr>
            <w:r>
              <w:rPr>
                <w:lang w:val="en-GB"/>
              </w:rPr>
              <w:t>Weighting for element 5</w:t>
            </w:r>
          </w:p>
        </w:tc>
        <w:tc>
          <w:tcPr>
            <w:tcW w:w="85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(100%)</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84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850"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1276"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(100%)</w:t>
            </w:r>
          </w:p>
        </w:tc>
      </w:tr>
      <w:tr w:rsidR="00D03ED3" w:rsidTr="008C121C">
        <w:trPr>
          <w:trHeight w:val="230"/>
        </w:trPr>
        <w:tc>
          <w:tcPr>
            <w:tcW w:w="2410" w:type="dxa"/>
            <w:tcBorders>
              <w:top w:val="single" w:sz="8" w:space="0" w:color="FFFFFF" w:themeColor="background1"/>
              <w:bottom w:val="single" w:sz="8" w:space="0" w:color="FFFFFF" w:themeColor="background1"/>
            </w:tcBorders>
            <w:shd w:val="clear" w:color="auto" w:fill="E9E8E5" w:themeFill="background2"/>
          </w:tcPr>
          <w:p w:rsidR="00D03ED3" w:rsidRDefault="00D03ED3" w:rsidP="00D03ED3">
            <w:pPr>
              <w:pStyle w:val="TableDataEntries"/>
              <w:jc w:val="left"/>
              <w:rPr>
                <w:lang w:val="en-GB"/>
              </w:rPr>
            </w:pPr>
            <w:r>
              <w:rPr>
                <w:lang w:val="en-GB"/>
              </w:rPr>
              <w:t>6. Reinforcement of bathroom and toilet walls</w:t>
            </w:r>
          </w:p>
        </w:tc>
        <w:tc>
          <w:tcPr>
            <w:tcW w:w="85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 xml:space="preserve"> 130</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0</w:t>
            </w:r>
          </w:p>
        </w:tc>
        <w:tc>
          <w:tcPr>
            <w:tcW w:w="84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0</w:t>
            </w:r>
          </w:p>
        </w:tc>
        <w:tc>
          <w:tcPr>
            <w:tcW w:w="850"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0</w:t>
            </w:r>
          </w:p>
        </w:tc>
        <w:tc>
          <w:tcPr>
            <w:tcW w:w="1276"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 xml:space="preserve"> 124</w:t>
            </w:r>
          </w:p>
        </w:tc>
      </w:tr>
      <w:tr w:rsidR="00D03ED3" w:rsidTr="008C121C">
        <w:trPr>
          <w:trHeight w:val="230"/>
        </w:trPr>
        <w:tc>
          <w:tcPr>
            <w:tcW w:w="2410" w:type="dxa"/>
            <w:tcBorders>
              <w:top w:val="single" w:sz="8" w:space="0" w:color="FFFFFF" w:themeColor="background1"/>
              <w:bottom w:val="single" w:sz="8" w:space="0" w:color="FFFFFF" w:themeColor="background1"/>
            </w:tcBorders>
            <w:shd w:val="clear" w:color="auto" w:fill="E9E8E5" w:themeFill="background2"/>
          </w:tcPr>
          <w:p w:rsidR="00D03ED3" w:rsidRDefault="00D03ED3" w:rsidP="00D03ED3">
            <w:pPr>
              <w:pStyle w:val="TableDataEntries"/>
              <w:jc w:val="left"/>
              <w:rPr>
                <w:lang w:val="en-GB"/>
              </w:rPr>
            </w:pPr>
            <w:r>
              <w:rPr>
                <w:lang w:val="en-GB"/>
              </w:rPr>
              <w:t>Weighting for element 6</w:t>
            </w:r>
          </w:p>
        </w:tc>
        <w:tc>
          <w:tcPr>
            <w:tcW w:w="85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(5%)</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(95%)</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84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850"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1276"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(100%)</w:t>
            </w:r>
          </w:p>
        </w:tc>
      </w:tr>
      <w:tr w:rsidR="00D03ED3" w:rsidTr="008C121C">
        <w:trPr>
          <w:trHeight w:val="230"/>
        </w:trPr>
        <w:tc>
          <w:tcPr>
            <w:tcW w:w="2410" w:type="dxa"/>
            <w:tcBorders>
              <w:top w:val="single" w:sz="8" w:space="0" w:color="FFFFFF" w:themeColor="background1"/>
              <w:bottom w:val="single" w:sz="8" w:space="0" w:color="FFFFFF" w:themeColor="background1"/>
            </w:tcBorders>
            <w:shd w:val="clear" w:color="auto" w:fill="E9E8E5" w:themeFill="background2"/>
          </w:tcPr>
          <w:p w:rsidR="00D03ED3" w:rsidRDefault="00D03ED3" w:rsidP="00D03ED3">
            <w:pPr>
              <w:pStyle w:val="TableDataEntries"/>
              <w:jc w:val="left"/>
              <w:rPr>
                <w:lang w:val="en-GB"/>
              </w:rPr>
            </w:pPr>
            <w:r>
              <w:rPr>
                <w:lang w:val="en-GB"/>
              </w:rPr>
              <w:t>7. Internal stairways</w:t>
            </w:r>
          </w:p>
        </w:tc>
        <w:tc>
          <w:tcPr>
            <w:tcW w:w="85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0</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0</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0</w:t>
            </w:r>
          </w:p>
        </w:tc>
        <w:tc>
          <w:tcPr>
            <w:tcW w:w="84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0</w:t>
            </w:r>
          </w:p>
        </w:tc>
        <w:tc>
          <w:tcPr>
            <w:tcW w:w="850"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0</w:t>
            </w:r>
          </w:p>
        </w:tc>
        <w:tc>
          <w:tcPr>
            <w:tcW w:w="1276"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0</w:t>
            </w:r>
          </w:p>
        </w:tc>
      </w:tr>
      <w:tr w:rsidR="00D03ED3" w:rsidTr="008C121C">
        <w:trPr>
          <w:trHeight w:val="230"/>
        </w:trPr>
        <w:tc>
          <w:tcPr>
            <w:tcW w:w="2410" w:type="dxa"/>
            <w:tcBorders>
              <w:top w:val="single" w:sz="8" w:space="0" w:color="FFFFFF" w:themeColor="background1"/>
              <w:bottom w:val="single" w:sz="8" w:space="0" w:color="FFFFFF" w:themeColor="background1"/>
            </w:tcBorders>
            <w:shd w:val="clear" w:color="auto" w:fill="E9E8E5" w:themeFill="background2"/>
          </w:tcPr>
          <w:p w:rsidR="00D03ED3" w:rsidRDefault="00D03ED3" w:rsidP="00D03ED3">
            <w:pPr>
              <w:pStyle w:val="TableDataEntries"/>
              <w:jc w:val="left"/>
              <w:rPr>
                <w:lang w:val="en-GB"/>
              </w:rPr>
            </w:pPr>
            <w:r>
              <w:rPr>
                <w:lang w:val="en-GB"/>
              </w:rPr>
              <w:t>Weighting for element 7</w:t>
            </w:r>
          </w:p>
        </w:tc>
        <w:tc>
          <w:tcPr>
            <w:tcW w:w="85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924"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843"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850"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sidRPr="00A65E57">
              <w:rPr>
                <w:szCs w:val="16"/>
              </w:rPr>
              <w:t>(%)</w:t>
            </w:r>
          </w:p>
        </w:tc>
        <w:tc>
          <w:tcPr>
            <w:tcW w:w="1276" w:type="dxa"/>
            <w:tcBorders>
              <w:top w:val="single" w:sz="8" w:space="0" w:color="FFFFFF" w:themeColor="background1"/>
              <w:bottom w:val="single" w:sz="8" w:space="0" w:color="FFFFFF" w:themeColor="background1"/>
            </w:tcBorders>
            <w:shd w:val="clear" w:color="auto" w:fill="E9E8E5" w:themeFill="background2"/>
          </w:tcPr>
          <w:p w:rsidR="00D03ED3" w:rsidRPr="00A65E57" w:rsidRDefault="00D03ED3" w:rsidP="00D03ED3">
            <w:pPr>
              <w:pStyle w:val="TableDataEntries"/>
              <w:rPr>
                <w:szCs w:val="16"/>
              </w:rPr>
            </w:pPr>
            <w:r>
              <w:rPr>
                <w:szCs w:val="16"/>
              </w:rPr>
              <w:t>(%)</w:t>
            </w:r>
          </w:p>
        </w:tc>
      </w:tr>
      <w:tr w:rsidR="00D03ED3" w:rsidRPr="00E03E4B" w:rsidTr="008C121C">
        <w:trPr>
          <w:trHeight w:val="230"/>
        </w:trPr>
        <w:tc>
          <w:tcPr>
            <w:tcW w:w="2410" w:type="dxa"/>
            <w:tcBorders>
              <w:top w:val="single" w:sz="8" w:space="0" w:color="FFFFFF" w:themeColor="background1"/>
              <w:bottom w:val="single" w:sz="8" w:space="0" w:color="FFFFFF" w:themeColor="background1"/>
            </w:tcBorders>
            <w:shd w:val="clear" w:color="auto" w:fill="C2DADB" w:themeFill="accent6" w:themeFillTint="99"/>
          </w:tcPr>
          <w:p w:rsidR="00D03ED3" w:rsidRPr="00E03E4B" w:rsidRDefault="00D03ED3" w:rsidP="00D03ED3">
            <w:pPr>
              <w:pStyle w:val="TableDataEntries"/>
              <w:jc w:val="left"/>
              <w:rPr>
                <w:rFonts w:ascii="Franklin Gothic Demi" w:hAnsi="Franklin Gothic Demi"/>
                <w:lang w:val="en-GB"/>
              </w:rPr>
            </w:pPr>
            <w:r w:rsidRPr="00E03E4B">
              <w:rPr>
                <w:rFonts w:ascii="Franklin Gothic Demi" w:hAnsi="Franklin Gothic Demi"/>
                <w:lang w:val="en-GB"/>
              </w:rPr>
              <w:t>Total (Option A)</w:t>
            </w:r>
          </w:p>
        </w:tc>
        <w:tc>
          <w:tcPr>
            <w:tcW w:w="853" w:type="dxa"/>
            <w:tcBorders>
              <w:top w:val="single" w:sz="8" w:space="0" w:color="FFFFFF" w:themeColor="background1"/>
              <w:bottom w:val="single" w:sz="8" w:space="0" w:color="FFFFFF" w:themeColor="background1"/>
            </w:tcBorders>
            <w:shd w:val="clear" w:color="auto" w:fill="C2DADB" w:themeFill="accent6" w:themeFillTint="99"/>
          </w:tcPr>
          <w:p w:rsidR="00D03ED3" w:rsidRPr="00A65E57" w:rsidRDefault="00D03ED3" w:rsidP="00D03ED3">
            <w:pPr>
              <w:pStyle w:val="TableDataEntries"/>
              <w:rPr>
                <w:rFonts w:ascii="Franklin Gothic Demi" w:hAnsi="Franklin Gothic Demi"/>
                <w:szCs w:val="16"/>
              </w:rPr>
            </w:pPr>
          </w:p>
        </w:tc>
        <w:tc>
          <w:tcPr>
            <w:tcW w:w="924" w:type="dxa"/>
            <w:tcBorders>
              <w:top w:val="single" w:sz="8" w:space="0" w:color="FFFFFF" w:themeColor="background1"/>
              <w:bottom w:val="single" w:sz="8" w:space="0" w:color="FFFFFF" w:themeColor="background1"/>
            </w:tcBorders>
            <w:shd w:val="clear" w:color="auto" w:fill="C2DADB" w:themeFill="accent6" w:themeFillTint="99"/>
          </w:tcPr>
          <w:p w:rsidR="00D03ED3" w:rsidRPr="00A65E57" w:rsidRDefault="00D03ED3" w:rsidP="00D03ED3">
            <w:pPr>
              <w:pStyle w:val="TableDataEntries"/>
              <w:rPr>
                <w:rFonts w:ascii="Franklin Gothic Demi" w:hAnsi="Franklin Gothic Demi"/>
                <w:szCs w:val="16"/>
              </w:rPr>
            </w:pPr>
          </w:p>
        </w:tc>
        <w:tc>
          <w:tcPr>
            <w:tcW w:w="924" w:type="dxa"/>
            <w:tcBorders>
              <w:top w:val="single" w:sz="8" w:space="0" w:color="FFFFFF" w:themeColor="background1"/>
              <w:bottom w:val="single" w:sz="8" w:space="0" w:color="FFFFFF" w:themeColor="background1"/>
            </w:tcBorders>
            <w:shd w:val="clear" w:color="auto" w:fill="C2DADB" w:themeFill="accent6" w:themeFillTint="99"/>
          </w:tcPr>
          <w:p w:rsidR="00D03ED3" w:rsidRPr="00A65E57" w:rsidRDefault="00D03ED3" w:rsidP="00D03ED3">
            <w:pPr>
              <w:pStyle w:val="TableDataEntries"/>
              <w:rPr>
                <w:rFonts w:ascii="Franklin Gothic Demi" w:hAnsi="Franklin Gothic Demi"/>
                <w:szCs w:val="16"/>
              </w:rPr>
            </w:pPr>
          </w:p>
        </w:tc>
        <w:tc>
          <w:tcPr>
            <w:tcW w:w="843" w:type="dxa"/>
            <w:tcBorders>
              <w:top w:val="single" w:sz="8" w:space="0" w:color="FFFFFF" w:themeColor="background1"/>
              <w:bottom w:val="single" w:sz="8" w:space="0" w:color="FFFFFF" w:themeColor="background1"/>
            </w:tcBorders>
            <w:shd w:val="clear" w:color="auto" w:fill="C2DADB" w:themeFill="accent6" w:themeFillTint="99"/>
          </w:tcPr>
          <w:p w:rsidR="00D03ED3" w:rsidRPr="00A65E57" w:rsidRDefault="00D03ED3" w:rsidP="00D03ED3">
            <w:pPr>
              <w:pStyle w:val="TableDataEntries"/>
              <w:rPr>
                <w:rFonts w:ascii="Franklin Gothic Demi" w:hAnsi="Franklin Gothic Demi"/>
                <w:szCs w:val="16"/>
              </w:rPr>
            </w:pPr>
          </w:p>
        </w:tc>
        <w:tc>
          <w:tcPr>
            <w:tcW w:w="850" w:type="dxa"/>
            <w:tcBorders>
              <w:top w:val="single" w:sz="8" w:space="0" w:color="FFFFFF" w:themeColor="background1"/>
              <w:bottom w:val="single" w:sz="8" w:space="0" w:color="FFFFFF" w:themeColor="background1"/>
            </w:tcBorders>
            <w:shd w:val="clear" w:color="auto" w:fill="C2DADB" w:themeFill="accent6" w:themeFillTint="99"/>
          </w:tcPr>
          <w:p w:rsidR="00D03ED3" w:rsidRPr="00A65E57" w:rsidRDefault="00D03ED3" w:rsidP="00D03ED3">
            <w:pPr>
              <w:pStyle w:val="TableDataEntries"/>
              <w:rPr>
                <w:rFonts w:ascii="Franklin Gothic Demi" w:hAnsi="Franklin Gothic Demi"/>
                <w:szCs w:val="16"/>
              </w:rPr>
            </w:pPr>
          </w:p>
        </w:tc>
        <w:tc>
          <w:tcPr>
            <w:tcW w:w="1276" w:type="dxa"/>
            <w:tcBorders>
              <w:top w:val="single" w:sz="8" w:space="0" w:color="FFFFFF" w:themeColor="background1"/>
              <w:bottom w:val="single" w:sz="8" w:space="0" w:color="FFFFFF" w:themeColor="background1"/>
            </w:tcBorders>
            <w:shd w:val="clear" w:color="auto" w:fill="C2DADB" w:themeFill="accent6" w:themeFillTint="99"/>
          </w:tcPr>
          <w:p w:rsidR="00D03ED3" w:rsidRPr="00A65E57" w:rsidRDefault="00D03ED3" w:rsidP="00D03ED3">
            <w:pPr>
              <w:pStyle w:val="TableDataEntries"/>
              <w:rPr>
                <w:rFonts w:ascii="Franklin Gothic Demi" w:hAnsi="Franklin Gothic Demi"/>
                <w:szCs w:val="16"/>
              </w:rPr>
            </w:pPr>
            <w:r w:rsidRPr="00A65E57">
              <w:rPr>
                <w:rFonts w:ascii="Franklin Gothic Demi" w:hAnsi="Franklin Gothic Demi"/>
                <w:szCs w:val="16"/>
              </w:rPr>
              <w:t>2 340</w:t>
            </w:r>
          </w:p>
        </w:tc>
      </w:tr>
      <w:tr w:rsidR="00D03ED3" w:rsidRPr="00E03E4B" w:rsidTr="008C121C">
        <w:trPr>
          <w:trHeight w:val="230"/>
        </w:trPr>
        <w:tc>
          <w:tcPr>
            <w:tcW w:w="2410" w:type="dxa"/>
            <w:tcBorders>
              <w:top w:val="single" w:sz="8" w:space="0" w:color="FFFFFF" w:themeColor="background1"/>
              <w:bottom w:val="single" w:sz="4" w:space="0" w:color="6F6652" w:themeColor="accent5"/>
            </w:tcBorders>
            <w:shd w:val="clear" w:color="auto" w:fill="C2DADB" w:themeFill="accent6" w:themeFillTint="99"/>
          </w:tcPr>
          <w:p w:rsidR="00D03ED3" w:rsidRPr="00E03E4B" w:rsidRDefault="00D03ED3" w:rsidP="00D03ED3">
            <w:pPr>
              <w:pStyle w:val="TableDataEntries"/>
              <w:jc w:val="left"/>
              <w:rPr>
                <w:rFonts w:ascii="Franklin Gothic Demi" w:hAnsi="Franklin Gothic Demi"/>
                <w:lang w:val="en-GB"/>
              </w:rPr>
            </w:pPr>
            <w:r w:rsidRPr="00E03E4B">
              <w:rPr>
                <w:rFonts w:ascii="Franklin Gothic Demi" w:hAnsi="Franklin Gothic Demi"/>
                <w:lang w:val="en-GB"/>
              </w:rPr>
              <w:t>Total (Option B</w:t>
            </w:r>
            <w:r>
              <w:rPr>
                <w:rFonts w:ascii="Franklin Gothic Demi" w:hAnsi="Franklin Gothic Demi"/>
                <w:lang w:val="en-GB"/>
              </w:rPr>
              <w:t>)</w:t>
            </w:r>
          </w:p>
        </w:tc>
        <w:tc>
          <w:tcPr>
            <w:tcW w:w="853" w:type="dxa"/>
            <w:tcBorders>
              <w:top w:val="single" w:sz="8" w:space="0" w:color="FFFFFF" w:themeColor="background1"/>
              <w:bottom w:val="single" w:sz="4" w:space="0" w:color="6F6652" w:themeColor="accent5"/>
            </w:tcBorders>
            <w:shd w:val="clear" w:color="auto" w:fill="C2DADB" w:themeFill="accent6" w:themeFillTint="99"/>
          </w:tcPr>
          <w:p w:rsidR="00D03ED3" w:rsidRPr="00A65E57" w:rsidRDefault="00D03ED3" w:rsidP="00D03ED3">
            <w:pPr>
              <w:pStyle w:val="TableDataEntries"/>
              <w:rPr>
                <w:rFonts w:ascii="Franklin Gothic Demi" w:hAnsi="Franklin Gothic Demi"/>
                <w:szCs w:val="16"/>
              </w:rPr>
            </w:pPr>
          </w:p>
        </w:tc>
        <w:tc>
          <w:tcPr>
            <w:tcW w:w="924" w:type="dxa"/>
            <w:tcBorders>
              <w:top w:val="single" w:sz="8" w:space="0" w:color="FFFFFF" w:themeColor="background1"/>
              <w:bottom w:val="single" w:sz="4" w:space="0" w:color="6F6652" w:themeColor="accent5"/>
            </w:tcBorders>
            <w:shd w:val="clear" w:color="auto" w:fill="C2DADB" w:themeFill="accent6" w:themeFillTint="99"/>
          </w:tcPr>
          <w:p w:rsidR="00D03ED3" w:rsidRPr="00A65E57" w:rsidRDefault="00D03ED3" w:rsidP="00D03ED3">
            <w:pPr>
              <w:pStyle w:val="TableDataEntries"/>
              <w:rPr>
                <w:rFonts w:ascii="Franklin Gothic Demi" w:hAnsi="Franklin Gothic Demi"/>
                <w:szCs w:val="16"/>
              </w:rPr>
            </w:pPr>
          </w:p>
        </w:tc>
        <w:tc>
          <w:tcPr>
            <w:tcW w:w="924" w:type="dxa"/>
            <w:tcBorders>
              <w:top w:val="single" w:sz="8" w:space="0" w:color="FFFFFF" w:themeColor="background1"/>
              <w:bottom w:val="single" w:sz="4" w:space="0" w:color="6F6652" w:themeColor="accent5"/>
            </w:tcBorders>
            <w:shd w:val="clear" w:color="auto" w:fill="C2DADB" w:themeFill="accent6" w:themeFillTint="99"/>
          </w:tcPr>
          <w:p w:rsidR="00D03ED3" w:rsidRPr="00A65E57" w:rsidRDefault="00D03ED3" w:rsidP="00D03ED3">
            <w:pPr>
              <w:pStyle w:val="TableDataEntries"/>
              <w:rPr>
                <w:rFonts w:ascii="Franklin Gothic Demi" w:hAnsi="Franklin Gothic Demi"/>
                <w:szCs w:val="16"/>
              </w:rPr>
            </w:pPr>
          </w:p>
        </w:tc>
        <w:tc>
          <w:tcPr>
            <w:tcW w:w="843" w:type="dxa"/>
            <w:tcBorders>
              <w:top w:val="single" w:sz="8" w:space="0" w:color="FFFFFF" w:themeColor="background1"/>
              <w:bottom w:val="single" w:sz="4" w:space="0" w:color="6F6652" w:themeColor="accent5"/>
            </w:tcBorders>
            <w:shd w:val="clear" w:color="auto" w:fill="C2DADB" w:themeFill="accent6" w:themeFillTint="99"/>
          </w:tcPr>
          <w:p w:rsidR="00D03ED3" w:rsidRPr="00A65E57" w:rsidRDefault="00D03ED3" w:rsidP="00D03ED3">
            <w:pPr>
              <w:pStyle w:val="TableDataEntries"/>
              <w:rPr>
                <w:rFonts w:ascii="Franklin Gothic Demi" w:hAnsi="Franklin Gothic Demi"/>
                <w:szCs w:val="16"/>
              </w:rPr>
            </w:pPr>
          </w:p>
        </w:tc>
        <w:tc>
          <w:tcPr>
            <w:tcW w:w="850" w:type="dxa"/>
            <w:tcBorders>
              <w:top w:val="single" w:sz="8" w:space="0" w:color="FFFFFF" w:themeColor="background1"/>
              <w:bottom w:val="single" w:sz="4" w:space="0" w:color="6F6652" w:themeColor="accent5"/>
            </w:tcBorders>
            <w:shd w:val="clear" w:color="auto" w:fill="C2DADB" w:themeFill="accent6" w:themeFillTint="99"/>
          </w:tcPr>
          <w:p w:rsidR="00D03ED3" w:rsidRPr="00A65E57" w:rsidRDefault="00D03ED3" w:rsidP="00D03ED3">
            <w:pPr>
              <w:pStyle w:val="TableDataEntries"/>
              <w:rPr>
                <w:rFonts w:ascii="Franklin Gothic Demi" w:hAnsi="Franklin Gothic Demi"/>
                <w:szCs w:val="16"/>
              </w:rPr>
            </w:pPr>
          </w:p>
        </w:tc>
        <w:tc>
          <w:tcPr>
            <w:tcW w:w="1276" w:type="dxa"/>
            <w:tcBorders>
              <w:top w:val="single" w:sz="8" w:space="0" w:color="FFFFFF" w:themeColor="background1"/>
              <w:bottom w:val="single" w:sz="4" w:space="0" w:color="6F6652" w:themeColor="accent5"/>
            </w:tcBorders>
            <w:shd w:val="clear" w:color="auto" w:fill="C2DADB" w:themeFill="accent6" w:themeFillTint="99"/>
          </w:tcPr>
          <w:p w:rsidR="00D03ED3" w:rsidRPr="00A65E57" w:rsidRDefault="00D03ED3" w:rsidP="00D03ED3">
            <w:pPr>
              <w:pStyle w:val="TableDataEntries"/>
              <w:rPr>
                <w:rFonts w:ascii="Franklin Gothic Demi" w:hAnsi="Franklin Gothic Demi"/>
                <w:szCs w:val="16"/>
              </w:rPr>
            </w:pPr>
            <w:r w:rsidRPr="00A65E57">
              <w:rPr>
                <w:rFonts w:ascii="Franklin Gothic Demi" w:hAnsi="Franklin Gothic Demi"/>
                <w:szCs w:val="16"/>
              </w:rPr>
              <w:t>1 839</w:t>
            </w:r>
          </w:p>
        </w:tc>
      </w:tr>
    </w:tbl>
    <w:p w:rsidR="007C6A5F" w:rsidRDefault="007C6A5F" w:rsidP="007C6A5F">
      <w:pPr>
        <w:pStyle w:val="Source"/>
      </w:pPr>
      <w:r>
        <w:rPr>
          <w:i/>
        </w:rPr>
        <w:t>Source</w:t>
      </w:r>
      <w:r w:rsidRPr="00E4232C">
        <w:rPr>
          <w:i/>
        </w:rPr>
        <w:t>:</w:t>
      </w:r>
      <w:r>
        <w:t xml:space="preserve"> DCWC estimates.</w:t>
      </w:r>
    </w:p>
    <w:p w:rsidR="007C6A5F" w:rsidRDefault="007C6A5F" w:rsidP="007C6A5F">
      <w:pPr>
        <w:pStyle w:val="Caption"/>
      </w:pPr>
      <w:r w:rsidRPr="00773730">
        <w:fldChar w:fldCharType="begin"/>
      </w:r>
      <w:r w:rsidRPr="00773730">
        <w:instrText xml:space="preserve"> IF 1 = 1 "</w:instrText>
      </w:r>
      <w:r w:rsidRPr="00773730">
        <w:fldChar w:fldCharType="begin"/>
      </w:r>
      <w:r w:rsidRPr="00773730">
        <w:instrText xml:space="preserve"> IF </w:instrText>
      </w:r>
      <w:r>
        <w:rPr>
          <w:noProof/>
        </w:rPr>
        <w:fldChar w:fldCharType="begin"/>
      </w:r>
      <w:r>
        <w:rPr>
          <w:noProof/>
        </w:rPr>
        <w:instrText xml:space="preserve"> STYLEREF "Heading 6" \l \n </w:instrText>
      </w:r>
      <w:r>
        <w:rPr>
          <w:noProof/>
        </w:rPr>
        <w:fldChar w:fldCharType="separate"/>
      </w:r>
      <w:r>
        <w:rPr>
          <w:noProof/>
        </w:rPr>
        <w:instrText>I</w:instrText>
      </w:r>
      <w:r>
        <w:rPr>
          <w:noProof/>
        </w:rPr>
        <w:fldChar w:fldCharType="end"/>
      </w:r>
      <w:r w:rsidRPr="00773730">
        <w:instrText xml:space="preserve"> = 0 "</w:instrText>
      </w:r>
      <w:r w:rsidRPr="00773730">
        <w:fldChar w:fldCharType="begin"/>
      </w:r>
      <w:r w:rsidRPr="00773730">
        <w:instrText xml:space="preserve"> IF </w:instrText>
      </w:r>
      <w:r>
        <w:rPr>
          <w:noProof/>
        </w:rPr>
        <w:fldChar w:fldCharType="begin"/>
      </w:r>
      <w:r>
        <w:rPr>
          <w:noProof/>
        </w:rPr>
        <w:instrText xml:space="preserve"> STYLEREF "Heading 1" \l \n </w:instrText>
      </w:r>
      <w:r>
        <w:rPr>
          <w:noProof/>
        </w:rPr>
        <w:fldChar w:fldCharType="separate"/>
      </w:r>
      <w:r w:rsidRPr="00773730">
        <w:rPr>
          <w:noProof/>
        </w:rPr>
        <w:instrText>0</w:instrText>
      </w:r>
      <w:r>
        <w:rPr>
          <w:noProof/>
        </w:rPr>
        <w:fldChar w:fldCharType="end"/>
      </w:r>
      <w:r w:rsidRPr="00773730">
        <w:instrText xml:space="preserve"> = 0 "" "</w:instrText>
      </w:r>
      <w:r>
        <w:rPr>
          <w:noProof/>
        </w:rPr>
        <w:fldChar w:fldCharType="begin"/>
      </w:r>
      <w:r>
        <w:rPr>
          <w:noProof/>
        </w:rPr>
        <w:instrText xml:space="preserve"> STYLEREF "Heading 1" \l \n </w:instrText>
      </w:r>
      <w:r>
        <w:rPr>
          <w:noProof/>
        </w:rPr>
        <w:fldChar w:fldCharType="separate"/>
      </w:r>
      <w:r w:rsidRPr="00773730">
        <w:rPr>
          <w:noProof/>
        </w:rPr>
        <w:instrText>2</w:instrText>
      </w:r>
      <w:r>
        <w:rPr>
          <w:noProof/>
        </w:rPr>
        <w:fldChar w:fldCharType="end"/>
      </w:r>
      <w:r w:rsidRPr="00773730">
        <w:instrText xml:space="preserve">." </w:instrText>
      </w:r>
      <w:r w:rsidRPr="00773730">
        <w:fldChar w:fldCharType="end"/>
      </w:r>
      <w:r w:rsidRPr="00773730">
        <w:instrText>" "</w:instrText>
      </w:r>
      <w:r>
        <w:rPr>
          <w:noProof/>
        </w:rPr>
        <w:fldChar w:fldCharType="begin"/>
      </w:r>
      <w:r>
        <w:rPr>
          <w:noProof/>
        </w:rPr>
        <w:instrText xml:space="preserve"> STYLEREF "Heading 6" \l \n </w:instrText>
      </w:r>
      <w:r>
        <w:rPr>
          <w:noProof/>
        </w:rPr>
        <w:fldChar w:fldCharType="separate"/>
      </w:r>
      <w:r>
        <w:rPr>
          <w:noProof/>
        </w:rPr>
        <w:instrText>I</w:instrText>
      </w:r>
      <w:r>
        <w:rPr>
          <w:noProof/>
        </w:rPr>
        <w:fldChar w:fldCharType="end"/>
      </w:r>
      <w:r w:rsidRPr="00773730">
        <w:instrText xml:space="preserve">." </w:instrText>
      </w:r>
      <w:r w:rsidRPr="00773730">
        <w:fldChar w:fldCharType="separate"/>
      </w:r>
      <w:r>
        <w:rPr>
          <w:noProof/>
        </w:rPr>
        <w:instrText>I</w:instrText>
      </w:r>
      <w:r w:rsidRPr="00773730">
        <w:rPr>
          <w:noProof/>
        </w:rPr>
        <w:instrText>.</w:instrText>
      </w:r>
      <w:r w:rsidRPr="00773730">
        <w:fldChar w:fldCharType="end"/>
      </w:r>
      <w:r w:rsidRPr="00773730">
        <w:fldChar w:fldCharType="begin"/>
      </w:r>
      <w:r w:rsidRPr="00773730">
        <w:instrText xml:space="preserve"> SEQ Item \* ARABIC \s </w:instrText>
      </w:r>
      <w:r w:rsidRPr="00773730">
        <w:fldChar w:fldCharType="begin"/>
      </w:r>
      <w:r w:rsidRPr="00773730">
        <w:instrText xml:space="preserve"> IF </w:instrText>
      </w:r>
      <w:r>
        <w:rPr>
          <w:noProof/>
        </w:rPr>
        <w:fldChar w:fldCharType="begin"/>
      </w:r>
      <w:r>
        <w:rPr>
          <w:noProof/>
        </w:rPr>
        <w:instrText xml:space="preserve"> STYLEREF "Heading 6" \l \n </w:instrText>
      </w:r>
      <w:r>
        <w:rPr>
          <w:noProof/>
        </w:rPr>
        <w:fldChar w:fldCharType="separate"/>
      </w:r>
      <w:r>
        <w:rPr>
          <w:noProof/>
        </w:rPr>
        <w:instrText>I</w:instrText>
      </w:r>
      <w:r>
        <w:rPr>
          <w:noProof/>
        </w:rPr>
        <w:fldChar w:fldCharType="end"/>
      </w:r>
      <w:r w:rsidRPr="00773730">
        <w:instrText xml:space="preserve"> = 0 "</w:instrText>
      </w:r>
      <w:r w:rsidRPr="00773730">
        <w:fldChar w:fldCharType="begin"/>
      </w:r>
      <w:r w:rsidRPr="00773730">
        <w:instrText xml:space="preserve"> IF </w:instrText>
      </w:r>
      <w:r>
        <w:rPr>
          <w:noProof/>
        </w:rPr>
        <w:fldChar w:fldCharType="begin"/>
      </w:r>
      <w:r>
        <w:rPr>
          <w:noProof/>
        </w:rPr>
        <w:instrText xml:space="preserve"> STYLEREF "Heading 1" \l \n </w:instrText>
      </w:r>
      <w:r>
        <w:rPr>
          <w:noProof/>
        </w:rPr>
        <w:fldChar w:fldCharType="separate"/>
      </w:r>
      <w:r w:rsidRPr="00773730">
        <w:rPr>
          <w:noProof/>
        </w:rPr>
        <w:instrText>0</w:instrText>
      </w:r>
      <w:r>
        <w:rPr>
          <w:noProof/>
        </w:rPr>
        <w:fldChar w:fldCharType="end"/>
      </w:r>
      <w:r w:rsidRPr="00773730">
        <w:instrText xml:space="preserve"> = 0 "" "1" </w:instrText>
      </w:r>
      <w:r w:rsidRPr="00773730">
        <w:fldChar w:fldCharType="end"/>
      </w:r>
      <w:r w:rsidRPr="00773730">
        <w:instrText xml:space="preserve">" "6" </w:instrText>
      </w:r>
      <w:r w:rsidRPr="00773730">
        <w:fldChar w:fldCharType="separate"/>
      </w:r>
      <w:r w:rsidRPr="00773730">
        <w:rPr>
          <w:noProof/>
        </w:rPr>
        <w:instrText>6</w:instrText>
      </w:r>
      <w:r w:rsidRPr="00773730">
        <w:fldChar w:fldCharType="end"/>
      </w:r>
      <w:r w:rsidRPr="00773730">
        <w:instrText xml:space="preserve"> </w:instrText>
      </w:r>
      <w:r w:rsidRPr="00773730">
        <w:fldChar w:fldCharType="separate"/>
      </w:r>
      <w:r>
        <w:rPr>
          <w:noProof/>
        </w:rPr>
        <w:instrText>2</w:instrText>
      </w:r>
      <w:r w:rsidRPr="00773730">
        <w:fldChar w:fldCharType="end"/>
      </w:r>
      <w:r w:rsidRPr="00773730">
        <w:instrText xml:space="preserve">" "" </w:instrText>
      </w:r>
      <w:r w:rsidRPr="00773730">
        <w:fldChar w:fldCharType="separate"/>
      </w:r>
      <w:bookmarkStart w:id="8235" w:name="_Caption8034"/>
      <w:bookmarkStart w:id="8236" w:name="_Caption9353"/>
      <w:bookmarkStart w:id="8237" w:name="_Caption0596"/>
      <w:bookmarkStart w:id="8238" w:name="_Caption6776"/>
      <w:bookmarkStart w:id="8239" w:name="_Toc44598609"/>
      <w:bookmarkStart w:id="8240" w:name="_Toc45654240"/>
      <w:r w:rsidR="00272AF3">
        <w:rPr>
          <w:noProof/>
        </w:rPr>
        <w:t>I</w:t>
      </w:r>
      <w:r w:rsidR="00272AF3" w:rsidRPr="00773730">
        <w:rPr>
          <w:noProof/>
        </w:rPr>
        <w:t>.</w:t>
      </w:r>
      <w:r w:rsidR="00272AF3">
        <w:rPr>
          <w:noProof/>
        </w:rPr>
        <w:t>2</w:t>
      </w:r>
      <w:bookmarkEnd w:id="8235"/>
      <w:bookmarkEnd w:id="8236"/>
      <w:bookmarkEnd w:id="8237"/>
      <w:bookmarkEnd w:id="8238"/>
      <w:r w:rsidRPr="00773730">
        <w:fldChar w:fldCharType="end"/>
      </w:r>
      <w:r w:rsidRPr="00773730">
        <w:tab/>
        <w:t xml:space="preserve">Estimated </w:t>
      </w:r>
      <w:r>
        <w:t>cost to comply with LHDG Gold: Townhouse</w:t>
      </w:r>
      <w:bookmarkEnd w:id="8239"/>
      <w:bookmarkEnd w:id="8240"/>
    </w:p>
    <w:tbl>
      <w:tblPr>
        <w:tblStyle w:val="TableGridLight"/>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I.2"/>
        <w:tblDescription w:val="Estimated cost to comply with LHDG Gold: Townhouse"/>
      </w:tblPr>
      <w:tblGrid>
        <w:gridCol w:w="2339"/>
        <w:gridCol w:w="924"/>
        <w:gridCol w:w="924"/>
        <w:gridCol w:w="924"/>
        <w:gridCol w:w="951"/>
        <w:gridCol w:w="951"/>
        <w:gridCol w:w="1067"/>
      </w:tblGrid>
      <w:tr w:rsidR="007C6A5F" w:rsidRPr="00E90745" w:rsidTr="00A821C9">
        <w:trPr>
          <w:trHeight w:val="230"/>
          <w:tblHeader/>
        </w:trPr>
        <w:tc>
          <w:tcPr>
            <w:tcW w:w="2339" w:type="dxa"/>
            <w:shd w:val="clear" w:color="auto" w:fill="6F6652" w:themeFill="accent5"/>
          </w:tcPr>
          <w:p w:rsidR="007C6A5F" w:rsidRPr="00E90745" w:rsidRDefault="007C6A5F" w:rsidP="00C36DA4">
            <w:pPr>
              <w:pStyle w:val="TableDataColumnHeading"/>
              <w:jc w:val="left"/>
            </w:pPr>
            <w:r>
              <w:t>Design element</w:t>
            </w:r>
          </w:p>
        </w:tc>
        <w:tc>
          <w:tcPr>
            <w:tcW w:w="924" w:type="dxa"/>
            <w:shd w:val="clear" w:color="auto" w:fill="6F6652" w:themeFill="accent5"/>
          </w:tcPr>
          <w:p w:rsidR="007C6A5F" w:rsidRDefault="007C6A5F" w:rsidP="00C36DA4">
            <w:pPr>
              <w:pStyle w:val="TableDataColumnHeading"/>
            </w:pPr>
            <w:r w:rsidRPr="00E90745">
              <w:t>Scenario 1</w:t>
            </w:r>
          </w:p>
          <w:p w:rsidR="008C121C" w:rsidRPr="00E90745" w:rsidRDefault="008C121C" w:rsidP="00C36DA4">
            <w:pPr>
              <w:pStyle w:val="TableDataColumnHeading"/>
            </w:pPr>
            <w:r>
              <w:t>($)</w:t>
            </w:r>
          </w:p>
        </w:tc>
        <w:tc>
          <w:tcPr>
            <w:tcW w:w="924" w:type="dxa"/>
            <w:shd w:val="clear" w:color="auto" w:fill="6F6652" w:themeFill="accent5"/>
          </w:tcPr>
          <w:p w:rsidR="007C6A5F" w:rsidRDefault="007C6A5F" w:rsidP="00C36DA4">
            <w:pPr>
              <w:pStyle w:val="TableDataColumnHeading"/>
            </w:pPr>
            <w:r w:rsidRPr="00E90745">
              <w:t>Scenario 2</w:t>
            </w:r>
          </w:p>
          <w:p w:rsidR="008C121C" w:rsidRPr="00E90745" w:rsidRDefault="008C121C" w:rsidP="00C36DA4">
            <w:pPr>
              <w:pStyle w:val="TableDataColumnHeading"/>
            </w:pPr>
            <w:r>
              <w:t>($)</w:t>
            </w:r>
          </w:p>
        </w:tc>
        <w:tc>
          <w:tcPr>
            <w:tcW w:w="924" w:type="dxa"/>
            <w:shd w:val="clear" w:color="auto" w:fill="6F6652" w:themeFill="accent5"/>
          </w:tcPr>
          <w:p w:rsidR="007C6A5F" w:rsidRDefault="007C6A5F" w:rsidP="00C36DA4">
            <w:pPr>
              <w:pStyle w:val="TableDataColumnHeading"/>
            </w:pPr>
            <w:r w:rsidRPr="00E90745">
              <w:t>Scenario 3</w:t>
            </w:r>
          </w:p>
          <w:p w:rsidR="008C121C" w:rsidRPr="00E90745" w:rsidRDefault="008C121C" w:rsidP="00C36DA4">
            <w:pPr>
              <w:pStyle w:val="TableDataColumnHeading"/>
            </w:pPr>
            <w:r>
              <w:t>($)</w:t>
            </w:r>
          </w:p>
        </w:tc>
        <w:tc>
          <w:tcPr>
            <w:tcW w:w="951" w:type="dxa"/>
            <w:shd w:val="clear" w:color="auto" w:fill="6F6652" w:themeFill="accent5"/>
          </w:tcPr>
          <w:p w:rsidR="007C6A5F" w:rsidRDefault="007C6A5F" w:rsidP="00C36DA4">
            <w:pPr>
              <w:pStyle w:val="TableDataColumnHeading"/>
            </w:pPr>
            <w:r>
              <w:t>Scenario 4</w:t>
            </w:r>
          </w:p>
          <w:p w:rsidR="008C121C" w:rsidRPr="00E90745" w:rsidRDefault="008C121C" w:rsidP="00C36DA4">
            <w:pPr>
              <w:pStyle w:val="TableDataColumnHeading"/>
            </w:pPr>
            <w:r>
              <w:t>($)</w:t>
            </w:r>
          </w:p>
        </w:tc>
        <w:tc>
          <w:tcPr>
            <w:tcW w:w="951" w:type="dxa"/>
            <w:shd w:val="clear" w:color="auto" w:fill="6F6652" w:themeFill="accent5"/>
          </w:tcPr>
          <w:p w:rsidR="007C6A5F" w:rsidRDefault="007C6A5F" w:rsidP="00C36DA4">
            <w:pPr>
              <w:pStyle w:val="TableDataColumnHeading"/>
            </w:pPr>
            <w:r>
              <w:t>Scenario 5</w:t>
            </w:r>
          </w:p>
          <w:p w:rsidR="008C121C" w:rsidRPr="00E90745" w:rsidRDefault="008C121C" w:rsidP="00C36DA4">
            <w:pPr>
              <w:pStyle w:val="TableDataColumnHeading"/>
            </w:pPr>
            <w:r>
              <w:t>($)</w:t>
            </w:r>
          </w:p>
        </w:tc>
        <w:tc>
          <w:tcPr>
            <w:tcW w:w="1067" w:type="dxa"/>
            <w:shd w:val="clear" w:color="auto" w:fill="6F6652" w:themeFill="accent5"/>
          </w:tcPr>
          <w:p w:rsidR="007C6A5F" w:rsidRDefault="007C6A5F" w:rsidP="00C36DA4">
            <w:pPr>
              <w:pStyle w:val="TableDataColumnHeading"/>
            </w:pPr>
            <w:r w:rsidRPr="00E90745">
              <w:t>Weighted average</w:t>
            </w:r>
          </w:p>
          <w:p w:rsidR="008C121C" w:rsidRPr="00E90745" w:rsidRDefault="008C121C" w:rsidP="00C36DA4">
            <w:pPr>
              <w:pStyle w:val="TableDataColumnHeading"/>
            </w:pPr>
            <w:r>
              <w:t>($)</w:t>
            </w:r>
          </w:p>
        </w:tc>
      </w:tr>
      <w:tr w:rsidR="009A3273"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9A3273" w:rsidRDefault="009A3273" w:rsidP="009A3273">
            <w:pPr>
              <w:pStyle w:val="TableDataEntries"/>
              <w:jc w:val="left"/>
              <w:rPr>
                <w:lang w:val="en-GB"/>
              </w:rPr>
            </w:pPr>
            <w:r>
              <w:rPr>
                <w:lang w:val="en-GB"/>
              </w:rPr>
              <w:t>1A. Step-free path to dwelling (option A)</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 xml:space="preserve"> 620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 xml:space="preserve"> 931</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1 571</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 xml:space="preserve"> 640</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1067"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681</w:t>
            </w:r>
          </w:p>
        </w:tc>
      </w:tr>
      <w:tr w:rsidR="009A3273"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9A3273" w:rsidRDefault="009A3273" w:rsidP="009A3273">
            <w:pPr>
              <w:pStyle w:val="TableDataEntries"/>
              <w:jc w:val="left"/>
              <w:rPr>
                <w:lang w:val="en-GB"/>
              </w:rPr>
            </w:pPr>
            <w:r>
              <w:rPr>
                <w:lang w:val="en-GB"/>
              </w:rPr>
              <w:t>Weighting for element 1A</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(85%)</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(13%)</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(2%)</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(0%)</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1067"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(100%)</w:t>
            </w:r>
          </w:p>
        </w:tc>
      </w:tr>
      <w:tr w:rsidR="009A3273"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9A3273" w:rsidRDefault="009A3273" w:rsidP="009A3273">
            <w:pPr>
              <w:pStyle w:val="TableDataEntries"/>
              <w:jc w:val="left"/>
              <w:rPr>
                <w:lang w:val="en-GB"/>
              </w:rPr>
            </w:pPr>
            <w:r>
              <w:rPr>
                <w:lang w:val="en-GB"/>
              </w:rPr>
              <w:t>1B. Single-step access to dwelling (option B)</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1067"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0</w:t>
            </w:r>
          </w:p>
        </w:tc>
      </w:tr>
      <w:tr w:rsidR="009A3273"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9A3273" w:rsidRDefault="009A3273" w:rsidP="009A3273">
            <w:pPr>
              <w:pStyle w:val="TableDataEntries"/>
              <w:jc w:val="left"/>
              <w:rPr>
                <w:lang w:val="en-GB"/>
              </w:rPr>
            </w:pPr>
            <w:r>
              <w:rPr>
                <w:lang w:val="en-GB"/>
              </w:rPr>
              <w:t>Weighting for element 1B</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(100%)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1067"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(100%)</w:t>
            </w:r>
          </w:p>
        </w:tc>
      </w:tr>
      <w:tr w:rsidR="009A3273"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9A3273" w:rsidRDefault="009A3273" w:rsidP="009A3273">
            <w:pPr>
              <w:pStyle w:val="TableDataEntries"/>
              <w:jc w:val="left"/>
              <w:rPr>
                <w:lang w:val="en-GB"/>
              </w:rPr>
            </w:pPr>
            <w:r>
              <w:rPr>
                <w:lang w:val="en-GB"/>
              </w:rPr>
              <w:t>2. Dwelling entrance</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 xml:space="preserve"> 100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 xml:space="preserve"> 347</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 xml:space="preserve"> 172</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1067"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 xml:space="preserve"> 253</w:t>
            </w:r>
          </w:p>
        </w:tc>
      </w:tr>
      <w:tr w:rsidR="009A3273"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9A3273" w:rsidRDefault="009A3273" w:rsidP="009A3273">
            <w:pPr>
              <w:pStyle w:val="TableDataEntries"/>
              <w:jc w:val="left"/>
              <w:rPr>
                <w:lang w:val="en-GB"/>
              </w:rPr>
            </w:pPr>
            <w:r>
              <w:rPr>
                <w:lang w:val="en-GB"/>
              </w:rPr>
              <w:t>Weighting for element 2</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(10%)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(10%)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(60%)</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(20%)</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1067"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(100%)</w:t>
            </w:r>
          </w:p>
        </w:tc>
      </w:tr>
      <w:tr w:rsidR="009A3273"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9A3273" w:rsidRDefault="009A3273" w:rsidP="009A3273">
            <w:pPr>
              <w:pStyle w:val="TableDataEntries"/>
              <w:jc w:val="left"/>
              <w:rPr>
                <w:lang w:val="en-GB"/>
              </w:rPr>
            </w:pPr>
            <w:r>
              <w:rPr>
                <w:lang w:val="en-GB"/>
              </w:rPr>
              <w:t>3. Internal doors and corridors</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 xml:space="preserve"> 509</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3 335</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2 393</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1067"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2 676</w:t>
            </w:r>
          </w:p>
        </w:tc>
      </w:tr>
      <w:tr w:rsidR="009A3273"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9A3273" w:rsidRDefault="009A3273" w:rsidP="009A3273">
            <w:pPr>
              <w:pStyle w:val="TableDataEntries"/>
              <w:jc w:val="left"/>
              <w:rPr>
                <w:lang w:val="en-GB"/>
              </w:rPr>
            </w:pPr>
            <w:r>
              <w:rPr>
                <w:lang w:val="en-GB"/>
              </w:rPr>
              <w:t>Weighting for element 3</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(20%)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(70%)</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(10%)</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1067"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(100%)</w:t>
            </w:r>
          </w:p>
        </w:tc>
      </w:tr>
      <w:tr w:rsidR="007C6A5F"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4. Toilet on ground level</w:t>
            </w:r>
          </w:p>
        </w:tc>
        <w:tc>
          <w:tcPr>
            <w:tcW w:w="924" w:type="dxa"/>
            <w:tcBorders>
              <w:top w:val="single" w:sz="8" w:space="0" w:color="FFFFFF" w:themeColor="background1"/>
              <w:bottom w:val="single" w:sz="8" w:space="0" w:color="FFFFFF" w:themeColor="background1"/>
            </w:tcBorders>
            <w:shd w:val="clear" w:color="auto" w:fill="E9E8E5" w:themeFill="background2"/>
          </w:tcPr>
          <w:p w:rsidR="007C6A5F" w:rsidRPr="00B90B2D" w:rsidRDefault="007C6A5F" w:rsidP="00C36DA4">
            <w:pPr>
              <w:pStyle w:val="TableDataEntries"/>
              <w:rPr>
                <w:szCs w:val="16"/>
              </w:rPr>
            </w:pPr>
            <w:r w:rsidRPr="00B90B2D">
              <w:rPr>
                <w:szCs w:val="16"/>
              </w:rP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Pr>
          <w:p w:rsidR="007C6A5F" w:rsidRPr="00B90B2D" w:rsidRDefault="007C6A5F" w:rsidP="00C36DA4">
            <w:pPr>
              <w:pStyle w:val="TableDataEntries"/>
              <w:rPr>
                <w:szCs w:val="16"/>
              </w:rPr>
            </w:pPr>
            <w:r w:rsidRPr="00B90B2D">
              <w:rPr>
                <w:szCs w:val="16"/>
              </w:rPr>
              <w:t>1 097</w:t>
            </w:r>
          </w:p>
        </w:tc>
        <w:tc>
          <w:tcPr>
            <w:tcW w:w="924" w:type="dxa"/>
            <w:tcBorders>
              <w:top w:val="single" w:sz="8" w:space="0" w:color="FFFFFF" w:themeColor="background1"/>
              <w:bottom w:val="single" w:sz="8" w:space="0" w:color="FFFFFF" w:themeColor="background1"/>
            </w:tcBorders>
            <w:shd w:val="clear" w:color="auto" w:fill="E9E8E5" w:themeFill="background2"/>
          </w:tcPr>
          <w:p w:rsidR="007C6A5F" w:rsidRPr="00B90B2D" w:rsidRDefault="007C6A5F" w:rsidP="00C36DA4">
            <w:pPr>
              <w:pStyle w:val="TableDataEntries"/>
              <w:rPr>
                <w:szCs w:val="16"/>
              </w:rPr>
            </w:pPr>
            <w:r w:rsidRPr="00B90B2D">
              <w:rPr>
                <w:szCs w:val="16"/>
              </w:rPr>
              <w:t>4 064</w:t>
            </w:r>
          </w:p>
        </w:tc>
        <w:tc>
          <w:tcPr>
            <w:tcW w:w="951" w:type="dxa"/>
            <w:tcBorders>
              <w:top w:val="single" w:sz="8" w:space="0" w:color="FFFFFF" w:themeColor="background1"/>
              <w:bottom w:val="single" w:sz="8" w:space="0" w:color="FFFFFF" w:themeColor="background1"/>
            </w:tcBorders>
            <w:shd w:val="clear" w:color="auto" w:fill="E9E8E5" w:themeFill="background2"/>
          </w:tcPr>
          <w:p w:rsidR="007C6A5F" w:rsidRPr="00B90B2D" w:rsidRDefault="007C6A5F" w:rsidP="00C36DA4">
            <w:pPr>
              <w:pStyle w:val="TableDataEntries"/>
              <w:rPr>
                <w:szCs w:val="16"/>
              </w:rPr>
            </w:pPr>
            <w:r w:rsidRPr="00B90B2D">
              <w:rPr>
                <w:szCs w:val="16"/>
              </w:rPr>
              <w:t>4 689</w:t>
            </w:r>
          </w:p>
        </w:tc>
        <w:tc>
          <w:tcPr>
            <w:tcW w:w="951" w:type="dxa"/>
            <w:tcBorders>
              <w:top w:val="single" w:sz="8" w:space="0" w:color="FFFFFF" w:themeColor="background1"/>
              <w:bottom w:val="single" w:sz="8" w:space="0" w:color="FFFFFF" w:themeColor="background1"/>
            </w:tcBorders>
            <w:shd w:val="clear" w:color="auto" w:fill="E9E8E5" w:themeFill="background2"/>
          </w:tcPr>
          <w:p w:rsidR="007C6A5F" w:rsidRPr="00B90B2D" w:rsidRDefault="007C6A5F" w:rsidP="00C36DA4">
            <w:pPr>
              <w:pStyle w:val="TableDataEntries"/>
              <w:rPr>
                <w:szCs w:val="16"/>
              </w:rPr>
            </w:pPr>
            <w:r w:rsidRPr="00B90B2D">
              <w:rPr>
                <w:szCs w:val="16"/>
              </w:rPr>
              <w:t>6 848</w:t>
            </w:r>
          </w:p>
        </w:tc>
        <w:tc>
          <w:tcPr>
            <w:tcW w:w="1067" w:type="dxa"/>
            <w:tcBorders>
              <w:top w:val="single" w:sz="8" w:space="0" w:color="FFFFFF" w:themeColor="background1"/>
              <w:bottom w:val="single" w:sz="8" w:space="0" w:color="FFFFFF" w:themeColor="background1"/>
            </w:tcBorders>
            <w:shd w:val="clear" w:color="auto" w:fill="E9E8E5" w:themeFill="background2"/>
          </w:tcPr>
          <w:p w:rsidR="007C6A5F" w:rsidRPr="00B90B2D" w:rsidRDefault="007C6A5F" w:rsidP="00C36DA4">
            <w:pPr>
              <w:pStyle w:val="TableDataEntries"/>
              <w:rPr>
                <w:szCs w:val="16"/>
              </w:rPr>
            </w:pPr>
            <w:r w:rsidRPr="00B90B2D">
              <w:rPr>
                <w:szCs w:val="16"/>
              </w:rPr>
              <w:t>2 093</w:t>
            </w:r>
          </w:p>
        </w:tc>
      </w:tr>
      <w:tr w:rsidR="007C6A5F"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7C6A5F" w:rsidRDefault="00FE6892" w:rsidP="00C36DA4">
            <w:pPr>
              <w:pStyle w:val="TableDataEntries"/>
              <w:jc w:val="left"/>
              <w:rPr>
                <w:lang w:val="en-GB"/>
              </w:rPr>
            </w:pPr>
            <w:r>
              <w:rPr>
                <w:lang w:val="en-GB"/>
              </w:rPr>
              <w:lastRenderedPageBreak/>
              <w:t>Weighting for element 4</w:t>
            </w:r>
          </w:p>
        </w:tc>
        <w:tc>
          <w:tcPr>
            <w:tcW w:w="924" w:type="dxa"/>
            <w:tcBorders>
              <w:top w:val="single" w:sz="8" w:space="0" w:color="FFFFFF" w:themeColor="background1"/>
              <w:bottom w:val="single" w:sz="8" w:space="0" w:color="FFFFFF" w:themeColor="background1"/>
            </w:tcBorders>
            <w:shd w:val="clear" w:color="auto" w:fill="E9E8E5" w:themeFill="background2"/>
          </w:tcPr>
          <w:p w:rsidR="007C6A5F" w:rsidRPr="00B90B2D" w:rsidRDefault="007C6A5F" w:rsidP="00C36DA4">
            <w:pPr>
              <w:pStyle w:val="TableDataEntries"/>
              <w:rPr>
                <w:szCs w:val="16"/>
              </w:rPr>
            </w:pPr>
            <w:r w:rsidRPr="00B90B2D">
              <w:rPr>
                <w:szCs w:val="16"/>
              </w:rPr>
              <w:t>(%)</w:t>
            </w:r>
          </w:p>
        </w:tc>
        <w:tc>
          <w:tcPr>
            <w:tcW w:w="924" w:type="dxa"/>
            <w:tcBorders>
              <w:top w:val="single" w:sz="8" w:space="0" w:color="FFFFFF" w:themeColor="background1"/>
              <w:bottom w:val="single" w:sz="8" w:space="0" w:color="FFFFFF" w:themeColor="background1"/>
            </w:tcBorders>
            <w:shd w:val="clear" w:color="auto" w:fill="E9E8E5" w:themeFill="background2"/>
          </w:tcPr>
          <w:p w:rsidR="007C6A5F" w:rsidRPr="00B90B2D" w:rsidRDefault="007C6A5F" w:rsidP="00C36DA4">
            <w:pPr>
              <w:pStyle w:val="TableDataEntries"/>
              <w:rPr>
                <w:szCs w:val="16"/>
              </w:rPr>
            </w:pPr>
            <w:r w:rsidRPr="00B90B2D">
              <w:rPr>
                <w:szCs w:val="16"/>
              </w:rPr>
              <w:t>(70%)</w:t>
            </w:r>
          </w:p>
        </w:tc>
        <w:tc>
          <w:tcPr>
            <w:tcW w:w="924" w:type="dxa"/>
            <w:tcBorders>
              <w:top w:val="single" w:sz="8" w:space="0" w:color="FFFFFF" w:themeColor="background1"/>
              <w:bottom w:val="single" w:sz="8" w:space="0" w:color="FFFFFF" w:themeColor="background1"/>
            </w:tcBorders>
            <w:shd w:val="clear" w:color="auto" w:fill="E9E8E5" w:themeFill="background2"/>
          </w:tcPr>
          <w:p w:rsidR="007C6A5F" w:rsidRPr="00B90B2D" w:rsidRDefault="007C6A5F" w:rsidP="00C36DA4">
            <w:pPr>
              <w:pStyle w:val="TableDataEntries"/>
              <w:rPr>
                <w:szCs w:val="16"/>
              </w:rPr>
            </w:pPr>
            <w:r w:rsidRPr="00B90B2D">
              <w:rPr>
                <w:szCs w:val="16"/>
              </w:rPr>
              <w:t>(20%)</w:t>
            </w:r>
          </w:p>
        </w:tc>
        <w:tc>
          <w:tcPr>
            <w:tcW w:w="951" w:type="dxa"/>
            <w:tcBorders>
              <w:top w:val="single" w:sz="8" w:space="0" w:color="FFFFFF" w:themeColor="background1"/>
              <w:bottom w:val="single" w:sz="8" w:space="0" w:color="FFFFFF" w:themeColor="background1"/>
            </w:tcBorders>
            <w:shd w:val="clear" w:color="auto" w:fill="E9E8E5" w:themeFill="background2"/>
          </w:tcPr>
          <w:p w:rsidR="007C6A5F" w:rsidRPr="00B90B2D" w:rsidRDefault="007C6A5F" w:rsidP="00C36DA4">
            <w:pPr>
              <w:pStyle w:val="TableDataEntries"/>
              <w:rPr>
                <w:szCs w:val="16"/>
              </w:rPr>
            </w:pPr>
            <w:r w:rsidRPr="00B90B2D">
              <w:rPr>
                <w:szCs w:val="16"/>
              </w:rPr>
              <w:t>(8%)</w:t>
            </w:r>
          </w:p>
        </w:tc>
        <w:tc>
          <w:tcPr>
            <w:tcW w:w="951" w:type="dxa"/>
            <w:tcBorders>
              <w:top w:val="single" w:sz="8" w:space="0" w:color="FFFFFF" w:themeColor="background1"/>
              <w:bottom w:val="single" w:sz="8" w:space="0" w:color="FFFFFF" w:themeColor="background1"/>
            </w:tcBorders>
            <w:shd w:val="clear" w:color="auto" w:fill="E9E8E5" w:themeFill="background2"/>
          </w:tcPr>
          <w:p w:rsidR="007C6A5F" w:rsidRPr="00B90B2D" w:rsidRDefault="007C6A5F" w:rsidP="00C36DA4">
            <w:pPr>
              <w:pStyle w:val="TableDataEntries"/>
              <w:rPr>
                <w:szCs w:val="16"/>
              </w:rPr>
            </w:pPr>
            <w:r w:rsidRPr="00B90B2D">
              <w:rPr>
                <w:szCs w:val="16"/>
              </w:rPr>
              <w:t>(2%)</w:t>
            </w:r>
          </w:p>
        </w:tc>
        <w:tc>
          <w:tcPr>
            <w:tcW w:w="1067" w:type="dxa"/>
            <w:tcBorders>
              <w:top w:val="single" w:sz="8" w:space="0" w:color="FFFFFF" w:themeColor="background1"/>
              <w:bottom w:val="single" w:sz="8" w:space="0" w:color="FFFFFF" w:themeColor="background1"/>
            </w:tcBorders>
            <w:shd w:val="clear" w:color="auto" w:fill="E9E8E5" w:themeFill="background2"/>
          </w:tcPr>
          <w:p w:rsidR="007C6A5F" w:rsidRPr="00B90B2D" w:rsidRDefault="00EA2542" w:rsidP="00C36DA4">
            <w:pPr>
              <w:pStyle w:val="TableDataEntries"/>
              <w:rPr>
                <w:szCs w:val="16"/>
              </w:rPr>
            </w:pPr>
            <w:r>
              <w:rPr>
                <w:szCs w:val="16"/>
              </w:rPr>
              <w:t>(100%)</w:t>
            </w:r>
          </w:p>
        </w:tc>
      </w:tr>
      <w:tr w:rsidR="007C6A5F"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5. Shower</w:t>
            </w:r>
          </w:p>
        </w:tc>
        <w:tc>
          <w:tcPr>
            <w:tcW w:w="924" w:type="dxa"/>
            <w:tcBorders>
              <w:top w:val="single" w:sz="8" w:space="0" w:color="FFFFFF" w:themeColor="background1"/>
              <w:bottom w:val="single" w:sz="8" w:space="0" w:color="FFFFFF" w:themeColor="background1"/>
            </w:tcBorders>
            <w:shd w:val="clear" w:color="auto" w:fill="E9E8E5" w:themeFill="background2"/>
          </w:tcPr>
          <w:p w:rsidR="007C6A5F" w:rsidRPr="00B90B2D" w:rsidRDefault="007C6A5F" w:rsidP="00C36DA4">
            <w:pPr>
              <w:pStyle w:val="TableDataEntries"/>
              <w:rPr>
                <w:szCs w:val="16"/>
              </w:rPr>
            </w:pPr>
            <w:r w:rsidRPr="00B90B2D">
              <w:rPr>
                <w:szCs w:val="16"/>
              </w:rP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Pr>
          <w:p w:rsidR="007C6A5F" w:rsidRPr="00B90B2D" w:rsidRDefault="007C6A5F" w:rsidP="00C36DA4">
            <w:pPr>
              <w:pStyle w:val="TableDataEntries"/>
              <w:rPr>
                <w:szCs w:val="16"/>
              </w:rPr>
            </w:pPr>
            <w:r w:rsidRPr="00B90B2D">
              <w:rPr>
                <w:szCs w:val="16"/>
              </w:rPr>
              <w:t>2 888</w:t>
            </w:r>
          </w:p>
        </w:tc>
        <w:tc>
          <w:tcPr>
            <w:tcW w:w="924" w:type="dxa"/>
            <w:tcBorders>
              <w:top w:val="single" w:sz="8" w:space="0" w:color="FFFFFF" w:themeColor="background1"/>
              <w:bottom w:val="single" w:sz="8" w:space="0" w:color="FFFFFF" w:themeColor="background1"/>
            </w:tcBorders>
            <w:shd w:val="clear" w:color="auto" w:fill="E9E8E5" w:themeFill="background2"/>
          </w:tcPr>
          <w:p w:rsidR="007C6A5F" w:rsidRPr="00B90B2D" w:rsidRDefault="007C6A5F" w:rsidP="00C36DA4">
            <w:pPr>
              <w:pStyle w:val="TableDataEntries"/>
              <w:rPr>
                <w:szCs w:val="16"/>
              </w:rPr>
            </w:pPr>
            <w:r w:rsidRPr="00B90B2D">
              <w:rPr>
                <w:szCs w:val="16"/>
              </w:rPr>
              <w:t>3 750</w:t>
            </w:r>
          </w:p>
        </w:tc>
        <w:tc>
          <w:tcPr>
            <w:tcW w:w="951" w:type="dxa"/>
            <w:tcBorders>
              <w:top w:val="single" w:sz="8" w:space="0" w:color="FFFFFF" w:themeColor="background1"/>
              <w:bottom w:val="single" w:sz="8" w:space="0" w:color="FFFFFF" w:themeColor="background1"/>
            </w:tcBorders>
            <w:shd w:val="clear" w:color="auto" w:fill="E9E8E5" w:themeFill="background2"/>
          </w:tcPr>
          <w:p w:rsidR="007C6A5F" w:rsidRPr="00B90B2D" w:rsidRDefault="007C6A5F" w:rsidP="00C36DA4">
            <w:pPr>
              <w:pStyle w:val="TableDataEntries"/>
              <w:rPr>
                <w:szCs w:val="16"/>
              </w:rPr>
            </w:pPr>
            <w:r w:rsidRPr="00B90B2D">
              <w:rPr>
                <w:szCs w:val="16"/>
              </w:rPr>
              <w:t>6 920</w:t>
            </w:r>
          </w:p>
        </w:tc>
        <w:tc>
          <w:tcPr>
            <w:tcW w:w="951" w:type="dxa"/>
            <w:tcBorders>
              <w:top w:val="single" w:sz="8" w:space="0" w:color="FFFFFF" w:themeColor="background1"/>
              <w:bottom w:val="single" w:sz="8" w:space="0" w:color="FFFFFF" w:themeColor="background1"/>
            </w:tcBorders>
            <w:shd w:val="clear" w:color="auto" w:fill="E9E8E5" w:themeFill="background2"/>
          </w:tcPr>
          <w:p w:rsidR="007C6A5F" w:rsidRPr="00B90B2D" w:rsidRDefault="007C6A5F" w:rsidP="00C36DA4">
            <w:pPr>
              <w:pStyle w:val="TableDataEntries"/>
              <w:rPr>
                <w:szCs w:val="16"/>
              </w:rPr>
            </w:pPr>
            <w:r w:rsidRPr="00B90B2D">
              <w:rPr>
                <w:szCs w:val="16"/>
              </w:rPr>
              <w:t>9 367</w:t>
            </w:r>
          </w:p>
        </w:tc>
        <w:tc>
          <w:tcPr>
            <w:tcW w:w="1067" w:type="dxa"/>
            <w:tcBorders>
              <w:top w:val="single" w:sz="8" w:space="0" w:color="FFFFFF" w:themeColor="background1"/>
              <w:bottom w:val="single" w:sz="8" w:space="0" w:color="FFFFFF" w:themeColor="background1"/>
            </w:tcBorders>
            <w:shd w:val="clear" w:color="auto" w:fill="E9E8E5" w:themeFill="background2"/>
          </w:tcPr>
          <w:p w:rsidR="007C6A5F" w:rsidRPr="00B90B2D" w:rsidRDefault="007C6A5F" w:rsidP="00C36DA4">
            <w:pPr>
              <w:pStyle w:val="TableDataEntries"/>
              <w:rPr>
                <w:szCs w:val="16"/>
              </w:rPr>
            </w:pPr>
            <w:r w:rsidRPr="00B90B2D">
              <w:rPr>
                <w:szCs w:val="16"/>
              </w:rPr>
              <w:t>3 051</w:t>
            </w:r>
          </w:p>
        </w:tc>
      </w:tr>
      <w:tr w:rsidR="007C6A5F"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7C6A5F" w:rsidRDefault="00FE6892" w:rsidP="00C36DA4">
            <w:pPr>
              <w:pStyle w:val="TableDataEntries"/>
              <w:jc w:val="left"/>
              <w:rPr>
                <w:lang w:val="en-GB"/>
              </w:rPr>
            </w:pPr>
            <w:r>
              <w:rPr>
                <w:lang w:val="en-GB"/>
              </w:rPr>
              <w:t>Weighting for element 5</w:t>
            </w:r>
          </w:p>
        </w:tc>
        <w:tc>
          <w:tcPr>
            <w:tcW w:w="924" w:type="dxa"/>
            <w:tcBorders>
              <w:top w:val="single" w:sz="8" w:space="0" w:color="FFFFFF" w:themeColor="background1"/>
              <w:bottom w:val="single" w:sz="8" w:space="0" w:color="FFFFFF" w:themeColor="background1"/>
            </w:tcBorders>
            <w:shd w:val="clear" w:color="auto" w:fill="E9E8E5" w:themeFill="background2"/>
          </w:tcPr>
          <w:p w:rsidR="007C6A5F" w:rsidRPr="00B90B2D" w:rsidRDefault="007C6A5F" w:rsidP="00C36DA4">
            <w:pPr>
              <w:pStyle w:val="TableDataEntries"/>
              <w:rPr>
                <w:szCs w:val="16"/>
              </w:rPr>
            </w:pPr>
            <w:r w:rsidRPr="00B90B2D">
              <w:rPr>
                <w:szCs w:val="16"/>
              </w:rPr>
              <w:t>(15%)</w:t>
            </w:r>
          </w:p>
        </w:tc>
        <w:tc>
          <w:tcPr>
            <w:tcW w:w="924" w:type="dxa"/>
            <w:tcBorders>
              <w:top w:val="single" w:sz="8" w:space="0" w:color="FFFFFF" w:themeColor="background1"/>
              <w:bottom w:val="single" w:sz="8" w:space="0" w:color="FFFFFF" w:themeColor="background1"/>
            </w:tcBorders>
            <w:shd w:val="clear" w:color="auto" w:fill="E9E8E5" w:themeFill="background2"/>
          </w:tcPr>
          <w:p w:rsidR="007C6A5F" w:rsidRPr="00B90B2D" w:rsidRDefault="007C6A5F" w:rsidP="00C36DA4">
            <w:pPr>
              <w:pStyle w:val="TableDataEntries"/>
              <w:rPr>
                <w:szCs w:val="16"/>
              </w:rPr>
            </w:pPr>
            <w:r w:rsidRPr="00B90B2D">
              <w:rPr>
                <w:szCs w:val="16"/>
              </w:rPr>
              <w:t>(58%)</w:t>
            </w:r>
          </w:p>
        </w:tc>
        <w:tc>
          <w:tcPr>
            <w:tcW w:w="924" w:type="dxa"/>
            <w:tcBorders>
              <w:top w:val="single" w:sz="8" w:space="0" w:color="FFFFFF" w:themeColor="background1"/>
              <w:bottom w:val="single" w:sz="8" w:space="0" w:color="FFFFFF" w:themeColor="background1"/>
            </w:tcBorders>
            <w:shd w:val="clear" w:color="auto" w:fill="E9E8E5" w:themeFill="background2"/>
          </w:tcPr>
          <w:p w:rsidR="007C6A5F" w:rsidRPr="00B90B2D" w:rsidRDefault="007C6A5F" w:rsidP="00C36DA4">
            <w:pPr>
              <w:pStyle w:val="TableDataEntries"/>
              <w:rPr>
                <w:szCs w:val="16"/>
              </w:rPr>
            </w:pPr>
            <w:r w:rsidRPr="00B90B2D">
              <w:rPr>
                <w:szCs w:val="16"/>
              </w:rPr>
              <w:t>(17%)</w:t>
            </w:r>
          </w:p>
        </w:tc>
        <w:tc>
          <w:tcPr>
            <w:tcW w:w="951" w:type="dxa"/>
            <w:tcBorders>
              <w:top w:val="single" w:sz="8" w:space="0" w:color="FFFFFF" w:themeColor="background1"/>
              <w:bottom w:val="single" w:sz="8" w:space="0" w:color="FFFFFF" w:themeColor="background1"/>
            </w:tcBorders>
            <w:shd w:val="clear" w:color="auto" w:fill="E9E8E5" w:themeFill="background2"/>
          </w:tcPr>
          <w:p w:rsidR="007C6A5F" w:rsidRPr="00B90B2D" w:rsidRDefault="007C6A5F" w:rsidP="00C36DA4">
            <w:pPr>
              <w:pStyle w:val="TableDataEntries"/>
              <w:rPr>
                <w:szCs w:val="16"/>
              </w:rPr>
            </w:pPr>
            <w:r w:rsidRPr="00B90B2D">
              <w:rPr>
                <w:szCs w:val="16"/>
              </w:rPr>
              <w:t>(8%)</w:t>
            </w:r>
          </w:p>
        </w:tc>
        <w:tc>
          <w:tcPr>
            <w:tcW w:w="951" w:type="dxa"/>
            <w:tcBorders>
              <w:top w:val="single" w:sz="8" w:space="0" w:color="FFFFFF" w:themeColor="background1"/>
              <w:bottom w:val="single" w:sz="8" w:space="0" w:color="FFFFFF" w:themeColor="background1"/>
            </w:tcBorders>
            <w:shd w:val="clear" w:color="auto" w:fill="E9E8E5" w:themeFill="background2"/>
          </w:tcPr>
          <w:p w:rsidR="007C6A5F" w:rsidRPr="00B90B2D" w:rsidRDefault="007C6A5F" w:rsidP="00C36DA4">
            <w:pPr>
              <w:pStyle w:val="TableDataEntries"/>
              <w:rPr>
                <w:szCs w:val="16"/>
              </w:rPr>
            </w:pPr>
            <w:r w:rsidRPr="00B90B2D">
              <w:rPr>
                <w:szCs w:val="16"/>
              </w:rPr>
              <w:t>(2%)</w:t>
            </w:r>
          </w:p>
        </w:tc>
        <w:tc>
          <w:tcPr>
            <w:tcW w:w="1067" w:type="dxa"/>
            <w:tcBorders>
              <w:top w:val="single" w:sz="8" w:space="0" w:color="FFFFFF" w:themeColor="background1"/>
              <w:bottom w:val="single" w:sz="8" w:space="0" w:color="FFFFFF" w:themeColor="background1"/>
            </w:tcBorders>
            <w:shd w:val="clear" w:color="auto" w:fill="E9E8E5" w:themeFill="background2"/>
          </w:tcPr>
          <w:p w:rsidR="007C6A5F" w:rsidRPr="00B90B2D" w:rsidRDefault="00EA2542" w:rsidP="00C36DA4">
            <w:pPr>
              <w:pStyle w:val="TableDataEntries"/>
              <w:rPr>
                <w:szCs w:val="16"/>
              </w:rPr>
            </w:pPr>
            <w:r>
              <w:rPr>
                <w:szCs w:val="16"/>
              </w:rPr>
              <w:t>(100%)</w:t>
            </w:r>
          </w:p>
        </w:tc>
      </w:tr>
      <w:tr w:rsidR="009A3273"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9A3273" w:rsidRDefault="009A3273" w:rsidP="009A3273">
            <w:pPr>
              <w:pStyle w:val="TableDataEntries"/>
              <w:jc w:val="left"/>
              <w:rPr>
                <w:lang w:val="en-GB"/>
              </w:rPr>
            </w:pPr>
            <w:r>
              <w:rPr>
                <w:lang w:val="en-GB"/>
              </w:rPr>
              <w:t>6. Reinforcement of bathroom and toilet walls</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 xml:space="preserve"> 130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1067"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 xml:space="preserve"> 124</w:t>
            </w:r>
          </w:p>
        </w:tc>
      </w:tr>
      <w:tr w:rsidR="009A3273"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9A3273" w:rsidRDefault="009A3273" w:rsidP="009A3273">
            <w:pPr>
              <w:pStyle w:val="TableDataEntries"/>
              <w:jc w:val="left"/>
              <w:rPr>
                <w:lang w:val="en-GB"/>
              </w:rPr>
            </w:pPr>
            <w:r>
              <w:rPr>
                <w:lang w:val="en-GB"/>
              </w:rPr>
              <w:t>Weighting for element 6</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(5%)</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(95%)</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1067"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(100%)</w:t>
            </w:r>
          </w:p>
        </w:tc>
      </w:tr>
      <w:tr w:rsidR="009A3273"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9A3273" w:rsidRDefault="009A3273" w:rsidP="009A3273">
            <w:pPr>
              <w:pStyle w:val="TableDataEntries"/>
              <w:jc w:val="left"/>
              <w:rPr>
                <w:lang w:val="en-GB"/>
              </w:rPr>
            </w:pPr>
            <w:r>
              <w:rPr>
                <w:lang w:val="en-GB"/>
              </w:rPr>
              <w:t>7. Internal stairways</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2 974</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1067"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2 677</w:t>
            </w:r>
          </w:p>
        </w:tc>
      </w:tr>
      <w:tr w:rsidR="009A3273"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9A3273" w:rsidRDefault="009A3273" w:rsidP="009A3273">
            <w:pPr>
              <w:pStyle w:val="TableDataEntries"/>
              <w:jc w:val="left"/>
              <w:rPr>
                <w:lang w:val="en-GB"/>
              </w:rPr>
            </w:pPr>
            <w:r>
              <w:rPr>
                <w:lang w:val="en-GB"/>
              </w:rPr>
              <w:t>Weighting for element 7</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(10%)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(90%)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1067"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(100%)</w:t>
            </w:r>
          </w:p>
        </w:tc>
      </w:tr>
      <w:tr w:rsidR="00EA2542"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EA2542" w:rsidRDefault="00EA2542" w:rsidP="00EA2542">
            <w:pPr>
              <w:pStyle w:val="TableDataEntries"/>
              <w:jc w:val="left"/>
              <w:rPr>
                <w:lang w:val="en-GB"/>
              </w:rPr>
            </w:pPr>
            <w:r>
              <w:rPr>
                <w:lang w:val="en-GB"/>
              </w:rPr>
              <w:t>8. Kitchen</w:t>
            </w:r>
          </w:p>
        </w:tc>
        <w:tc>
          <w:tcPr>
            <w:tcW w:w="924" w:type="dxa"/>
            <w:tcBorders>
              <w:top w:val="single" w:sz="8" w:space="0" w:color="FFFFFF" w:themeColor="background1"/>
              <w:bottom w:val="single" w:sz="8" w:space="0" w:color="FFFFFF" w:themeColor="background1"/>
            </w:tcBorders>
            <w:shd w:val="clear" w:color="auto" w:fill="E9E8E5" w:themeFill="background2"/>
          </w:tcPr>
          <w:p w:rsidR="00EA2542" w:rsidRPr="00B90B2D" w:rsidRDefault="00EA2542" w:rsidP="00EA2542">
            <w:pPr>
              <w:pStyle w:val="TableDataEntries"/>
              <w:rPr>
                <w:szCs w:val="16"/>
              </w:rPr>
            </w:pPr>
            <w:r w:rsidRPr="00B90B2D">
              <w:rPr>
                <w:szCs w:val="16"/>
              </w:rP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Pr>
          <w:p w:rsidR="00EA2542" w:rsidRPr="00B90B2D" w:rsidRDefault="00EA2542" w:rsidP="00EA2542">
            <w:pPr>
              <w:pStyle w:val="TableDataEntries"/>
              <w:rPr>
                <w:szCs w:val="16"/>
              </w:rPr>
            </w:pPr>
            <w:r w:rsidRPr="00B90B2D">
              <w:rPr>
                <w:szCs w:val="16"/>
              </w:rPr>
              <w:t>2 035</w:t>
            </w:r>
          </w:p>
        </w:tc>
        <w:tc>
          <w:tcPr>
            <w:tcW w:w="924" w:type="dxa"/>
            <w:tcBorders>
              <w:top w:val="single" w:sz="8" w:space="0" w:color="FFFFFF" w:themeColor="background1"/>
              <w:bottom w:val="single" w:sz="8" w:space="0" w:color="FFFFFF" w:themeColor="background1"/>
            </w:tcBorders>
            <w:shd w:val="clear" w:color="auto" w:fill="E9E8E5" w:themeFill="background2"/>
          </w:tcPr>
          <w:p w:rsidR="00EA2542" w:rsidRPr="00B90B2D" w:rsidRDefault="00EA2542" w:rsidP="00EA2542">
            <w:pPr>
              <w:pStyle w:val="TableDataEntries"/>
              <w:rPr>
                <w:szCs w:val="16"/>
              </w:rPr>
            </w:pPr>
            <w:r w:rsidRPr="00B90B2D">
              <w:rPr>
                <w:szCs w:val="16"/>
              </w:rPr>
              <w:t xml:space="preserve"> 0</w:t>
            </w:r>
          </w:p>
        </w:tc>
        <w:tc>
          <w:tcPr>
            <w:tcW w:w="951" w:type="dxa"/>
            <w:tcBorders>
              <w:top w:val="single" w:sz="8" w:space="0" w:color="FFFFFF" w:themeColor="background1"/>
              <w:bottom w:val="single" w:sz="8" w:space="0" w:color="FFFFFF" w:themeColor="background1"/>
            </w:tcBorders>
            <w:shd w:val="clear" w:color="auto" w:fill="E9E8E5" w:themeFill="background2"/>
          </w:tcPr>
          <w:p w:rsidR="00EA2542" w:rsidRPr="00B90B2D" w:rsidRDefault="00EA2542" w:rsidP="00EA2542">
            <w:pPr>
              <w:pStyle w:val="TableDataEntries"/>
              <w:rPr>
                <w:szCs w:val="16"/>
              </w:rPr>
            </w:pPr>
            <w:r w:rsidRPr="00B90B2D">
              <w:rPr>
                <w:szCs w:val="16"/>
              </w:rPr>
              <w:t xml:space="preserve"> 0</w:t>
            </w:r>
          </w:p>
        </w:tc>
        <w:tc>
          <w:tcPr>
            <w:tcW w:w="951" w:type="dxa"/>
            <w:tcBorders>
              <w:top w:val="single" w:sz="8" w:space="0" w:color="FFFFFF" w:themeColor="background1"/>
              <w:bottom w:val="single" w:sz="8" w:space="0" w:color="FFFFFF" w:themeColor="background1"/>
            </w:tcBorders>
            <w:shd w:val="clear" w:color="auto" w:fill="E9E8E5" w:themeFill="background2"/>
          </w:tcPr>
          <w:p w:rsidR="00EA2542" w:rsidRPr="00B90B2D" w:rsidRDefault="00EA2542" w:rsidP="00EA2542">
            <w:pPr>
              <w:pStyle w:val="TableDataEntries"/>
              <w:rPr>
                <w:szCs w:val="16"/>
              </w:rPr>
            </w:pPr>
            <w:r w:rsidRPr="00B90B2D">
              <w:rPr>
                <w:szCs w:val="16"/>
              </w:rPr>
              <w:t xml:space="preserve"> 0</w:t>
            </w:r>
          </w:p>
        </w:tc>
        <w:tc>
          <w:tcPr>
            <w:tcW w:w="1067" w:type="dxa"/>
            <w:tcBorders>
              <w:top w:val="single" w:sz="8" w:space="0" w:color="FFFFFF" w:themeColor="background1"/>
              <w:bottom w:val="single" w:sz="8" w:space="0" w:color="FFFFFF" w:themeColor="background1"/>
            </w:tcBorders>
            <w:shd w:val="clear" w:color="auto" w:fill="E9E8E5" w:themeFill="background2"/>
          </w:tcPr>
          <w:p w:rsidR="00EA2542" w:rsidRPr="00B90B2D" w:rsidRDefault="00EA2542" w:rsidP="00EA2542">
            <w:pPr>
              <w:pStyle w:val="TableDataEntries"/>
              <w:rPr>
                <w:szCs w:val="16"/>
              </w:rPr>
            </w:pPr>
            <w:r w:rsidRPr="00B90B2D">
              <w:rPr>
                <w:szCs w:val="16"/>
              </w:rPr>
              <w:t>1 221</w:t>
            </w:r>
          </w:p>
        </w:tc>
      </w:tr>
      <w:tr w:rsidR="00EA2542"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EA2542" w:rsidRDefault="00EA2542" w:rsidP="00EA2542">
            <w:pPr>
              <w:pStyle w:val="TableDataEntries"/>
              <w:jc w:val="left"/>
              <w:rPr>
                <w:lang w:val="en-GB"/>
              </w:rPr>
            </w:pPr>
            <w:r>
              <w:rPr>
                <w:lang w:val="en-GB"/>
              </w:rPr>
              <w:t>Weighting for element 8</w:t>
            </w:r>
          </w:p>
        </w:tc>
        <w:tc>
          <w:tcPr>
            <w:tcW w:w="924" w:type="dxa"/>
            <w:tcBorders>
              <w:top w:val="single" w:sz="8" w:space="0" w:color="FFFFFF" w:themeColor="background1"/>
              <w:bottom w:val="single" w:sz="8" w:space="0" w:color="FFFFFF" w:themeColor="background1"/>
            </w:tcBorders>
            <w:shd w:val="clear" w:color="auto" w:fill="E9E8E5" w:themeFill="background2"/>
          </w:tcPr>
          <w:p w:rsidR="00EA2542" w:rsidRPr="00B90B2D" w:rsidRDefault="00EA2542" w:rsidP="00EA2542">
            <w:pPr>
              <w:pStyle w:val="TableDataEntries"/>
              <w:rPr>
                <w:szCs w:val="16"/>
              </w:rPr>
            </w:pPr>
            <w:r w:rsidRPr="00B90B2D">
              <w:rPr>
                <w:szCs w:val="16"/>
              </w:rPr>
              <w:t>(40%)</w:t>
            </w:r>
          </w:p>
        </w:tc>
        <w:tc>
          <w:tcPr>
            <w:tcW w:w="924" w:type="dxa"/>
            <w:tcBorders>
              <w:top w:val="single" w:sz="8" w:space="0" w:color="FFFFFF" w:themeColor="background1"/>
              <w:bottom w:val="single" w:sz="8" w:space="0" w:color="FFFFFF" w:themeColor="background1"/>
            </w:tcBorders>
            <w:shd w:val="clear" w:color="auto" w:fill="E9E8E5" w:themeFill="background2"/>
          </w:tcPr>
          <w:p w:rsidR="00EA2542" w:rsidRPr="00B90B2D" w:rsidRDefault="00EA2542" w:rsidP="00EA2542">
            <w:pPr>
              <w:pStyle w:val="TableDataEntries"/>
              <w:rPr>
                <w:szCs w:val="16"/>
              </w:rPr>
            </w:pPr>
            <w:r w:rsidRPr="00B90B2D">
              <w:rPr>
                <w:szCs w:val="16"/>
              </w:rPr>
              <w:t>(60%)</w:t>
            </w:r>
          </w:p>
        </w:tc>
        <w:tc>
          <w:tcPr>
            <w:tcW w:w="924" w:type="dxa"/>
            <w:tcBorders>
              <w:top w:val="single" w:sz="8" w:space="0" w:color="FFFFFF" w:themeColor="background1"/>
              <w:bottom w:val="single" w:sz="8" w:space="0" w:color="FFFFFF" w:themeColor="background1"/>
            </w:tcBorders>
            <w:shd w:val="clear" w:color="auto" w:fill="E9E8E5" w:themeFill="background2"/>
          </w:tcPr>
          <w:p w:rsidR="00EA2542" w:rsidRPr="00B90B2D" w:rsidRDefault="00EA2542" w:rsidP="00EA2542">
            <w:pPr>
              <w:pStyle w:val="TableDataEntries"/>
              <w:rPr>
                <w:szCs w:val="16"/>
              </w:rPr>
            </w:pPr>
            <w:r w:rsidRPr="00B90B2D">
              <w:rPr>
                <w:szCs w:val="16"/>
              </w:rPr>
              <w:t>(%)</w:t>
            </w:r>
          </w:p>
        </w:tc>
        <w:tc>
          <w:tcPr>
            <w:tcW w:w="951" w:type="dxa"/>
            <w:tcBorders>
              <w:top w:val="single" w:sz="8" w:space="0" w:color="FFFFFF" w:themeColor="background1"/>
              <w:bottom w:val="single" w:sz="8" w:space="0" w:color="FFFFFF" w:themeColor="background1"/>
            </w:tcBorders>
            <w:shd w:val="clear" w:color="auto" w:fill="E9E8E5" w:themeFill="background2"/>
          </w:tcPr>
          <w:p w:rsidR="00EA2542" w:rsidRPr="00B90B2D" w:rsidRDefault="00EA2542" w:rsidP="00EA2542">
            <w:pPr>
              <w:pStyle w:val="TableDataEntries"/>
              <w:rPr>
                <w:szCs w:val="16"/>
              </w:rPr>
            </w:pPr>
            <w:r w:rsidRPr="00B90B2D">
              <w:rPr>
                <w:szCs w:val="16"/>
              </w:rPr>
              <w:t>(%)</w:t>
            </w:r>
          </w:p>
        </w:tc>
        <w:tc>
          <w:tcPr>
            <w:tcW w:w="951" w:type="dxa"/>
            <w:tcBorders>
              <w:top w:val="single" w:sz="8" w:space="0" w:color="FFFFFF" w:themeColor="background1"/>
              <w:bottom w:val="single" w:sz="8" w:space="0" w:color="FFFFFF" w:themeColor="background1"/>
            </w:tcBorders>
            <w:shd w:val="clear" w:color="auto" w:fill="E9E8E5" w:themeFill="background2"/>
          </w:tcPr>
          <w:p w:rsidR="00EA2542" w:rsidRPr="00B90B2D" w:rsidRDefault="00EA2542" w:rsidP="00EA2542">
            <w:pPr>
              <w:pStyle w:val="TableDataEntries"/>
              <w:rPr>
                <w:szCs w:val="16"/>
              </w:rPr>
            </w:pPr>
            <w:r w:rsidRPr="00B90B2D">
              <w:rPr>
                <w:szCs w:val="16"/>
              </w:rPr>
              <w:t>(%)</w:t>
            </w:r>
          </w:p>
        </w:tc>
        <w:tc>
          <w:tcPr>
            <w:tcW w:w="1067" w:type="dxa"/>
            <w:tcBorders>
              <w:top w:val="single" w:sz="8" w:space="0" w:color="FFFFFF" w:themeColor="background1"/>
              <w:bottom w:val="single" w:sz="8" w:space="0" w:color="FFFFFF" w:themeColor="background1"/>
            </w:tcBorders>
            <w:shd w:val="clear" w:color="auto" w:fill="E9E8E5" w:themeFill="background2"/>
          </w:tcPr>
          <w:p w:rsidR="00EA2542" w:rsidRPr="00B90B2D" w:rsidRDefault="00EA2542" w:rsidP="00EA2542">
            <w:pPr>
              <w:pStyle w:val="TableDataEntries"/>
              <w:rPr>
                <w:szCs w:val="16"/>
              </w:rPr>
            </w:pPr>
            <w:r>
              <w:rPr>
                <w:szCs w:val="16"/>
              </w:rPr>
              <w:t>(100%)</w:t>
            </w:r>
          </w:p>
        </w:tc>
      </w:tr>
      <w:tr w:rsidR="009A3273"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9A3273" w:rsidRDefault="009A3273" w:rsidP="009A3273">
            <w:pPr>
              <w:pStyle w:val="TableDataEntries"/>
              <w:jc w:val="left"/>
              <w:rPr>
                <w:lang w:val="en-GB"/>
              </w:rPr>
            </w:pPr>
            <w:r>
              <w:rPr>
                <w:lang w:val="en-GB"/>
              </w:rPr>
              <w:t>9. Laundry</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1 017</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 xml:space="preserve"> 0</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1067"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 xml:space="preserve"> 305</w:t>
            </w:r>
          </w:p>
        </w:tc>
      </w:tr>
      <w:tr w:rsidR="009A3273"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9A3273" w:rsidRDefault="009A3273" w:rsidP="009A3273">
            <w:pPr>
              <w:pStyle w:val="TableDataEntries"/>
              <w:jc w:val="left"/>
              <w:rPr>
                <w:lang w:val="en-GB"/>
              </w:rPr>
            </w:pPr>
            <w:r>
              <w:rPr>
                <w:lang w:val="en-GB"/>
              </w:rPr>
              <w:t>Weighting for element 9</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(70%)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(30%)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1067"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p>
        </w:tc>
      </w:tr>
      <w:tr w:rsidR="009A3273"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9A3273" w:rsidRDefault="009A3273" w:rsidP="009A3273">
            <w:pPr>
              <w:pStyle w:val="TableDataEntries"/>
              <w:jc w:val="left"/>
              <w:rPr>
                <w:lang w:val="en-GB"/>
              </w:rPr>
            </w:pPr>
            <w:r>
              <w:rPr>
                <w:lang w:val="en-GB"/>
              </w:rPr>
              <w:t>10. Ground-level bedroom space</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1067"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 xml:space="preserve"> 0</w:t>
            </w:r>
          </w:p>
        </w:tc>
      </w:tr>
      <w:tr w:rsidR="009A3273"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9A3273" w:rsidRDefault="009A3273" w:rsidP="009A3273">
            <w:pPr>
              <w:pStyle w:val="TableDataEntries"/>
              <w:jc w:val="left"/>
              <w:rPr>
                <w:lang w:val="en-GB"/>
              </w:rPr>
            </w:pPr>
            <w:r>
              <w:rPr>
                <w:lang w:val="en-GB"/>
              </w:rPr>
              <w:t>Weighting for element 10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1067"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(100%)</w:t>
            </w:r>
          </w:p>
        </w:tc>
      </w:tr>
      <w:tr w:rsidR="009A3273"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9A3273" w:rsidRDefault="009A3273" w:rsidP="009A3273">
            <w:pPr>
              <w:pStyle w:val="TableDataEntries"/>
              <w:jc w:val="left"/>
              <w:rPr>
                <w:lang w:val="en-GB"/>
              </w:rPr>
            </w:pPr>
            <w:r>
              <w:rPr>
                <w:lang w:val="en-GB"/>
              </w:rPr>
              <w:t>11. Light switches</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1067"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 xml:space="preserve"> 0</w:t>
            </w:r>
          </w:p>
        </w:tc>
      </w:tr>
      <w:tr w:rsidR="009A3273"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9A3273" w:rsidRDefault="009A3273" w:rsidP="009A3273">
            <w:pPr>
              <w:pStyle w:val="TableDataEntries"/>
              <w:jc w:val="left"/>
              <w:rPr>
                <w:lang w:val="en-GB"/>
              </w:rPr>
            </w:pPr>
            <w:r>
              <w:rPr>
                <w:lang w:val="en-GB"/>
              </w:rPr>
              <w:t>Weighting for element 11</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1067"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w:t>
            </w:r>
          </w:p>
        </w:tc>
      </w:tr>
      <w:tr w:rsidR="009A3273"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9A3273" w:rsidRDefault="009A3273" w:rsidP="009A3273">
            <w:pPr>
              <w:pStyle w:val="TableDataEntries"/>
              <w:jc w:val="left"/>
              <w:rPr>
                <w:lang w:val="en-GB"/>
              </w:rPr>
            </w:pPr>
            <w:r>
              <w:rPr>
                <w:lang w:val="en-GB"/>
              </w:rPr>
              <w:t>12. Door handles</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0</w:t>
            </w:r>
          </w:p>
        </w:tc>
        <w:tc>
          <w:tcPr>
            <w:tcW w:w="1067"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 xml:space="preserve"> 0</w:t>
            </w:r>
          </w:p>
        </w:tc>
      </w:tr>
      <w:tr w:rsidR="009A3273" w:rsidTr="00A821C9">
        <w:trPr>
          <w:trHeight w:val="230"/>
        </w:trPr>
        <w:tc>
          <w:tcPr>
            <w:tcW w:w="2339" w:type="dxa"/>
            <w:tcBorders>
              <w:top w:val="single" w:sz="8" w:space="0" w:color="FFFFFF" w:themeColor="background1"/>
              <w:bottom w:val="single" w:sz="8" w:space="0" w:color="FFFFFF" w:themeColor="background1"/>
            </w:tcBorders>
            <w:shd w:val="clear" w:color="auto" w:fill="E9E8E5" w:themeFill="background2"/>
          </w:tcPr>
          <w:p w:rsidR="009A3273" w:rsidRDefault="009A3273" w:rsidP="009A3273">
            <w:pPr>
              <w:pStyle w:val="TableDataEntries"/>
              <w:jc w:val="left"/>
              <w:rPr>
                <w:lang w:val="en-GB"/>
              </w:rPr>
            </w:pPr>
            <w:r>
              <w:rPr>
                <w:lang w:val="en-GB"/>
              </w:rPr>
              <w:t>Weighting for element 12</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B90B2D">
              <w:rPr>
                <w:szCs w:val="16"/>
              </w:rPr>
              <w:t>(%)</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924"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951"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sidRPr="00A65E57">
              <w:rPr>
                <w:szCs w:val="16"/>
              </w:rPr>
              <w:t>(%)</w:t>
            </w:r>
          </w:p>
        </w:tc>
        <w:tc>
          <w:tcPr>
            <w:tcW w:w="1067" w:type="dxa"/>
            <w:tcBorders>
              <w:top w:val="single" w:sz="8" w:space="0" w:color="FFFFFF" w:themeColor="background1"/>
              <w:bottom w:val="single" w:sz="8" w:space="0" w:color="FFFFFF" w:themeColor="background1"/>
            </w:tcBorders>
            <w:shd w:val="clear" w:color="auto" w:fill="E9E8E5" w:themeFill="background2"/>
          </w:tcPr>
          <w:p w:rsidR="009A3273" w:rsidRPr="00B90B2D" w:rsidRDefault="009A3273" w:rsidP="009A3273">
            <w:pPr>
              <w:pStyle w:val="TableDataEntries"/>
              <w:rPr>
                <w:szCs w:val="16"/>
              </w:rPr>
            </w:pPr>
            <w:r>
              <w:rPr>
                <w:szCs w:val="16"/>
              </w:rPr>
              <w:t>(%)</w:t>
            </w:r>
          </w:p>
        </w:tc>
      </w:tr>
      <w:tr w:rsidR="007C6A5F" w:rsidRPr="00C14602" w:rsidTr="00A821C9">
        <w:trPr>
          <w:trHeight w:val="230"/>
        </w:trPr>
        <w:tc>
          <w:tcPr>
            <w:tcW w:w="2339" w:type="dxa"/>
            <w:tcBorders>
              <w:top w:val="single" w:sz="8" w:space="0" w:color="FFFFFF" w:themeColor="background1"/>
              <w:bottom w:val="single" w:sz="8" w:space="0" w:color="FFFFFF" w:themeColor="background1"/>
            </w:tcBorders>
            <w:shd w:val="clear" w:color="auto" w:fill="C2DADB" w:themeFill="accent6" w:themeFillTint="99"/>
          </w:tcPr>
          <w:p w:rsidR="007C6A5F" w:rsidRPr="00C14602" w:rsidRDefault="007C6A5F" w:rsidP="00C36DA4">
            <w:pPr>
              <w:pStyle w:val="TableDataEntries"/>
              <w:jc w:val="left"/>
              <w:rPr>
                <w:rFonts w:ascii="Franklin Gothic Demi" w:hAnsi="Franklin Gothic Demi"/>
                <w:lang w:val="en-GB"/>
              </w:rPr>
            </w:pPr>
            <w:r w:rsidRPr="00C14602">
              <w:rPr>
                <w:rFonts w:ascii="Franklin Gothic Demi" w:hAnsi="Franklin Gothic Demi"/>
                <w:lang w:val="en-GB"/>
              </w:rPr>
              <w:t>Total (Option A)</w:t>
            </w:r>
          </w:p>
        </w:tc>
        <w:tc>
          <w:tcPr>
            <w:tcW w:w="924" w:type="dxa"/>
            <w:tcBorders>
              <w:top w:val="single" w:sz="8" w:space="0" w:color="FFFFFF" w:themeColor="background1"/>
              <w:bottom w:val="single" w:sz="8" w:space="0" w:color="FFFFFF" w:themeColor="background1"/>
            </w:tcBorders>
            <w:shd w:val="clear" w:color="auto" w:fill="C2DADB" w:themeFill="accent6" w:themeFillTint="99"/>
          </w:tcPr>
          <w:p w:rsidR="007C6A5F" w:rsidRPr="00B90B2D" w:rsidRDefault="007C6A5F" w:rsidP="00C36DA4">
            <w:pPr>
              <w:pStyle w:val="TableDataEntries"/>
              <w:rPr>
                <w:rFonts w:ascii="Franklin Gothic Demi" w:hAnsi="Franklin Gothic Demi"/>
                <w:szCs w:val="16"/>
              </w:rPr>
            </w:pPr>
          </w:p>
        </w:tc>
        <w:tc>
          <w:tcPr>
            <w:tcW w:w="924" w:type="dxa"/>
            <w:tcBorders>
              <w:top w:val="single" w:sz="8" w:space="0" w:color="FFFFFF" w:themeColor="background1"/>
              <w:bottom w:val="single" w:sz="8" w:space="0" w:color="FFFFFF" w:themeColor="background1"/>
            </w:tcBorders>
            <w:shd w:val="clear" w:color="auto" w:fill="C2DADB" w:themeFill="accent6" w:themeFillTint="99"/>
          </w:tcPr>
          <w:p w:rsidR="007C6A5F" w:rsidRPr="00B90B2D" w:rsidRDefault="007C6A5F" w:rsidP="00C36DA4">
            <w:pPr>
              <w:pStyle w:val="TableDataEntries"/>
              <w:rPr>
                <w:rFonts w:ascii="Franklin Gothic Demi" w:hAnsi="Franklin Gothic Demi"/>
                <w:szCs w:val="16"/>
              </w:rPr>
            </w:pPr>
          </w:p>
        </w:tc>
        <w:tc>
          <w:tcPr>
            <w:tcW w:w="924" w:type="dxa"/>
            <w:tcBorders>
              <w:top w:val="single" w:sz="8" w:space="0" w:color="FFFFFF" w:themeColor="background1"/>
              <w:bottom w:val="single" w:sz="8" w:space="0" w:color="FFFFFF" w:themeColor="background1"/>
            </w:tcBorders>
            <w:shd w:val="clear" w:color="auto" w:fill="C2DADB" w:themeFill="accent6" w:themeFillTint="99"/>
          </w:tcPr>
          <w:p w:rsidR="007C6A5F" w:rsidRPr="00B90B2D" w:rsidRDefault="007C6A5F" w:rsidP="00C36DA4">
            <w:pPr>
              <w:pStyle w:val="TableDataEntries"/>
              <w:rPr>
                <w:rFonts w:ascii="Franklin Gothic Demi" w:hAnsi="Franklin Gothic Demi"/>
                <w:szCs w:val="16"/>
              </w:rPr>
            </w:pPr>
          </w:p>
        </w:tc>
        <w:tc>
          <w:tcPr>
            <w:tcW w:w="951" w:type="dxa"/>
            <w:tcBorders>
              <w:top w:val="single" w:sz="8" w:space="0" w:color="FFFFFF" w:themeColor="background1"/>
              <w:bottom w:val="single" w:sz="8" w:space="0" w:color="FFFFFF" w:themeColor="background1"/>
            </w:tcBorders>
            <w:shd w:val="clear" w:color="auto" w:fill="C2DADB" w:themeFill="accent6" w:themeFillTint="99"/>
          </w:tcPr>
          <w:p w:rsidR="007C6A5F" w:rsidRPr="00B90B2D" w:rsidRDefault="007C6A5F" w:rsidP="00C36DA4">
            <w:pPr>
              <w:pStyle w:val="TableDataEntries"/>
              <w:rPr>
                <w:rFonts w:ascii="Franklin Gothic Demi" w:hAnsi="Franklin Gothic Demi"/>
                <w:szCs w:val="16"/>
              </w:rPr>
            </w:pPr>
          </w:p>
        </w:tc>
        <w:tc>
          <w:tcPr>
            <w:tcW w:w="951" w:type="dxa"/>
            <w:tcBorders>
              <w:top w:val="single" w:sz="8" w:space="0" w:color="FFFFFF" w:themeColor="background1"/>
              <w:bottom w:val="single" w:sz="8" w:space="0" w:color="FFFFFF" w:themeColor="background1"/>
            </w:tcBorders>
            <w:shd w:val="clear" w:color="auto" w:fill="C2DADB" w:themeFill="accent6" w:themeFillTint="99"/>
          </w:tcPr>
          <w:p w:rsidR="007C6A5F" w:rsidRPr="00B90B2D" w:rsidRDefault="007C6A5F" w:rsidP="00C36DA4">
            <w:pPr>
              <w:pStyle w:val="TableDataEntries"/>
              <w:rPr>
                <w:rFonts w:ascii="Franklin Gothic Demi" w:hAnsi="Franklin Gothic Demi"/>
                <w:szCs w:val="16"/>
              </w:rPr>
            </w:pPr>
          </w:p>
        </w:tc>
        <w:tc>
          <w:tcPr>
            <w:tcW w:w="1067" w:type="dxa"/>
            <w:tcBorders>
              <w:top w:val="single" w:sz="8" w:space="0" w:color="FFFFFF" w:themeColor="background1"/>
              <w:bottom w:val="single" w:sz="8" w:space="0" w:color="FFFFFF" w:themeColor="background1"/>
            </w:tcBorders>
            <w:shd w:val="clear" w:color="auto" w:fill="C2DADB" w:themeFill="accent6" w:themeFillTint="99"/>
          </w:tcPr>
          <w:p w:rsidR="007C6A5F" w:rsidRPr="00B90B2D" w:rsidRDefault="007C6A5F" w:rsidP="00C36DA4">
            <w:pPr>
              <w:pStyle w:val="TableDataEntries"/>
              <w:rPr>
                <w:rFonts w:ascii="Franklin Gothic Demi" w:hAnsi="Franklin Gothic Demi"/>
                <w:szCs w:val="16"/>
              </w:rPr>
            </w:pPr>
            <w:r w:rsidRPr="00B90B2D">
              <w:rPr>
                <w:rFonts w:ascii="Franklin Gothic Demi" w:hAnsi="Franklin Gothic Demi"/>
                <w:szCs w:val="16"/>
              </w:rPr>
              <w:t>13 079</w:t>
            </w:r>
          </w:p>
        </w:tc>
      </w:tr>
      <w:tr w:rsidR="007C6A5F" w:rsidRPr="00C14602" w:rsidTr="00A821C9">
        <w:trPr>
          <w:trHeight w:val="230"/>
        </w:trPr>
        <w:tc>
          <w:tcPr>
            <w:tcW w:w="2339" w:type="dxa"/>
            <w:tcBorders>
              <w:top w:val="single" w:sz="8" w:space="0" w:color="FFFFFF" w:themeColor="background1"/>
              <w:bottom w:val="single" w:sz="4" w:space="0" w:color="6F6652" w:themeColor="accent5"/>
            </w:tcBorders>
            <w:shd w:val="clear" w:color="auto" w:fill="C2DADB" w:themeFill="accent6" w:themeFillTint="99"/>
          </w:tcPr>
          <w:p w:rsidR="007C6A5F" w:rsidRPr="00C14602" w:rsidRDefault="007C6A5F" w:rsidP="00C36DA4">
            <w:pPr>
              <w:pStyle w:val="TableDataEntries"/>
              <w:jc w:val="left"/>
              <w:rPr>
                <w:rFonts w:ascii="Franklin Gothic Demi" w:hAnsi="Franklin Gothic Demi"/>
                <w:lang w:val="en-GB"/>
              </w:rPr>
            </w:pPr>
            <w:r w:rsidRPr="00C14602">
              <w:rPr>
                <w:rFonts w:ascii="Franklin Gothic Demi" w:hAnsi="Franklin Gothic Demi"/>
                <w:lang w:val="en-GB"/>
              </w:rPr>
              <w:t>Total (Option B</w:t>
            </w:r>
            <w:r>
              <w:rPr>
                <w:rFonts w:ascii="Franklin Gothic Demi" w:hAnsi="Franklin Gothic Demi"/>
                <w:lang w:val="en-GB"/>
              </w:rPr>
              <w:t>)</w:t>
            </w:r>
          </w:p>
        </w:tc>
        <w:tc>
          <w:tcPr>
            <w:tcW w:w="924" w:type="dxa"/>
            <w:tcBorders>
              <w:top w:val="single" w:sz="8" w:space="0" w:color="FFFFFF" w:themeColor="background1"/>
              <w:bottom w:val="single" w:sz="4" w:space="0" w:color="6F6652" w:themeColor="accent5"/>
            </w:tcBorders>
            <w:shd w:val="clear" w:color="auto" w:fill="C2DADB" w:themeFill="accent6" w:themeFillTint="99"/>
          </w:tcPr>
          <w:p w:rsidR="007C6A5F" w:rsidRPr="00B90B2D" w:rsidRDefault="007C6A5F" w:rsidP="00C36DA4">
            <w:pPr>
              <w:pStyle w:val="TableDataEntries"/>
              <w:rPr>
                <w:rFonts w:ascii="Franklin Gothic Demi" w:hAnsi="Franklin Gothic Demi"/>
                <w:szCs w:val="16"/>
              </w:rPr>
            </w:pPr>
          </w:p>
        </w:tc>
        <w:tc>
          <w:tcPr>
            <w:tcW w:w="924" w:type="dxa"/>
            <w:tcBorders>
              <w:top w:val="single" w:sz="8" w:space="0" w:color="FFFFFF" w:themeColor="background1"/>
              <w:bottom w:val="single" w:sz="4" w:space="0" w:color="6F6652" w:themeColor="accent5"/>
            </w:tcBorders>
            <w:shd w:val="clear" w:color="auto" w:fill="C2DADB" w:themeFill="accent6" w:themeFillTint="99"/>
          </w:tcPr>
          <w:p w:rsidR="007C6A5F" w:rsidRPr="00B90B2D" w:rsidRDefault="007C6A5F" w:rsidP="00C36DA4">
            <w:pPr>
              <w:pStyle w:val="TableDataEntries"/>
              <w:rPr>
                <w:rFonts w:ascii="Franklin Gothic Demi" w:hAnsi="Franklin Gothic Demi"/>
                <w:szCs w:val="16"/>
              </w:rPr>
            </w:pPr>
          </w:p>
        </w:tc>
        <w:tc>
          <w:tcPr>
            <w:tcW w:w="924" w:type="dxa"/>
            <w:tcBorders>
              <w:top w:val="single" w:sz="8" w:space="0" w:color="FFFFFF" w:themeColor="background1"/>
              <w:bottom w:val="single" w:sz="4" w:space="0" w:color="6F6652" w:themeColor="accent5"/>
            </w:tcBorders>
            <w:shd w:val="clear" w:color="auto" w:fill="C2DADB" w:themeFill="accent6" w:themeFillTint="99"/>
          </w:tcPr>
          <w:p w:rsidR="007C6A5F" w:rsidRPr="00B90B2D" w:rsidRDefault="007C6A5F" w:rsidP="00C36DA4">
            <w:pPr>
              <w:pStyle w:val="TableDataEntries"/>
              <w:rPr>
                <w:rFonts w:ascii="Franklin Gothic Demi" w:hAnsi="Franklin Gothic Demi"/>
                <w:szCs w:val="16"/>
              </w:rPr>
            </w:pPr>
          </w:p>
        </w:tc>
        <w:tc>
          <w:tcPr>
            <w:tcW w:w="951" w:type="dxa"/>
            <w:tcBorders>
              <w:top w:val="single" w:sz="8" w:space="0" w:color="FFFFFF" w:themeColor="background1"/>
              <w:bottom w:val="single" w:sz="4" w:space="0" w:color="6F6652" w:themeColor="accent5"/>
            </w:tcBorders>
            <w:shd w:val="clear" w:color="auto" w:fill="C2DADB" w:themeFill="accent6" w:themeFillTint="99"/>
          </w:tcPr>
          <w:p w:rsidR="007C6A5F" w:rsidRPr="00B90B2D" w:rsidRDefault="007C6A5F" w:rsidP="00C36DA4">
            <w:pPr>
              <w:pStyle w:val="TableDataEntries"/>
              <w:rPr>
                <w:rFonts w:ascii="Franklin Gothic Demi" w:hAnsi="Franklin Gothic Demi"/>
                <w:szCs w:val="16"/>
              </w:rPr>
            </w:pPr>
          </w:p>
        </w:tc>
        <w:tc>
          <w:tcPr>
            <w:tcW w:w="951" w:type="dxa"/>
            <w:tcBorders>
              <w:top w:val="single" w:sz="8" w:space="0" w:color="FFFFFF" w:themeColor="background1"/>
              <w:bottom w:val="single" w:sz="4" w:space="0" w:color="6F6652" w:themeColor="accent5"/>
            </w:tcBorders>
            <w:shd w:val="clear" w:color="auto" w:fill="C2DADB" w:themeFill="accent6" w:themeFillTint="99"/>
          </w:tcPr>
          <w:p w:rsidR="007C6A5F" w:rsidRPr="00B90B2D" w:rsidRDefault="007C6A5F" w:rsidP="00C36DA4">
            <w:pPr>
              <w:pStyle w:val="TableDataEntries"/>
              <w:rPr>
                <w:rFonts w:ascii="Franklin Gothic Demi" w:hAnsi="Franklin Gothic Demi"/>
                <w:szCs w:val="16"/>
              </w:rPr>
            </w:pPr>
          </w:p>
        </w:tc>
        <w:tc>
          <w:tcPr>
            <w:tcW w:w="1067" w:type="dxa"/>
            <w:tcBorders>
              <w:top w:val="single" w:sz="8" w:space="0" w:color="FFFFFF" w:themeColor="background1"/>
              <w:bottom w:val="single" w:sz="4" w:space="0" w:color="6F6652" w:themeColor="accent5"/>
            </w:tcBorders>
            <w:shd w:val="clear" w:color="auto" w:fill="C2DADB" w:themeFill="accent6" w:themeFillTint="99"/>
          </w:tcPr>
          <w:p w:rsidR="007C6A5F" w:rsidRPr="00B90B2D" w:rsidRDefault="007C6A5F" w:rsidP="00C36DA4">
            <w:pPr>
              <w:pStyle w:val="TableDataEntries"/>
              <w:rPr>
                <w:rFonts w:ascii="Franklin Gothic Demi" w:hAnsi="Franklin Gothic Demi"/>
                <w:szCs w:val="16"/>
              </w:rPr>
            </w:pPr>
            <w:r w:rsidRPr="00B90B2D">
              <w:rPr>
                <w:rFonts w:ascii="Franklin Gothic Demi" w:hAnsi="Franklin Gothic Demi"/>
                <w:szCs w:val="16"/>
              </w:rPr>
              <w:t>12 398</w:t>
            </w:r>
          </w:p>
        </w:tc>
      </w:tr>
    </w:tbl>
    <w:p w:rsidR="007C6A5F" w:rsidRDefault="007C6A5F" w:rsidP="007C6A5F">
      <w:pPr>
        <w:pStyle w:val="Source"/>
      </w:pPr>
      <w:r>
        <w:rPr>
          <w:i/>
        </w:rPr>
        <w:t>Source</w:t>
      </w:r>
      <w:r w:rsidRPr="00E4232C">
        <w:rPr>
          <w:i/>
        </w:rPr>
        <w:t>:</w:t>
      </w:r>
      <w:r>
        <w:t xml:space="preserve"> DCWC estimates.</w:t>
      </w:r>
    </w:p>
    <w:p w:rsidR="007C6A5F" w:rsidRDefault="007C6A5F" w:rsidP="007C6A5F">
      <w:pPr>
        <w:pStyle w:val="Heading7"/>
        <w:numPr>
          <w:ilvl w:val="6"/>
          <w:numId w:val="5"/>
        </w:numPr>
      </w:pPr>
      <w:r>
        <w:t>Other data we have used</w:t>
      </w:r>
    </w:p>
    <w:p w:rsidR="007C6A5F" w:rsidRDefault="007C6A5F" w:rsidP="007C6A5F">
      <w:pPr>
        <w:pStyle w:val="BodyText"/>
      </w:pPr>
      <w:r>
        <w:t>To generate a central estimate for apartments, we use approvals data (ABS Cat 8731), where apartments built in walk-up blocks make up 8 per cent of approvals and apartments built in lift-blocks make up 92 per cent of apartments.</w:t>
      </w:r>
    </w:p>
    <w:p w:rsidR="007C6A5F" w:rsidRPr="00507E58" w:rsidRDefault="007C6A5F" w:rsidP="007C6A5F">
      <w:pPr>
        <w:pStyle w:val="BodyText"/>
      </w:pPr>
      <w:r>
        <w:t>To generate a central estimate for detached houses, we use estimates from DCWC: volume builds are 57 per cent and custom builds are 43 per cent. Townhouses are treated as a separate category.</w:t>
      </w:r>
    </w:p>
    <w:p w:rsidR="007C6A5F" w:rsidRDefault="007C6A5F" w:rsidP="007C6A5F">
      <w:pPr>
        <w:pStyle w:val="Heading7"/>
        <w:numPr>
          <w:ilvl w:val="6"/>
          <w:numId w:val="5"/>
        </w:numPr>
      </w:pPr>
      <w:r>
        <w:t>Summary of DCWC’s cost estimates</w:t>
      </w:r>
    </w:p>
    <w:p w:rsidR="007C6A5F" w:rsidRDefault="007C6A5F" w:rsidP="007C6A5F">
      <w:pPr>
        <w:pStyle w:val="BodyText"/>
      </w:pPr>
      <w:r>
        <w:t>Tables I.3 through I.7 report the summary cost estimates for each of the five building types. For details please refer to Append</w:t>
      </w:r>
      <w:r w:rsidR="00083F4D">
        <w:t>ices A to</w:t>
      </w:r>
      <w:r>
        <w:t xml:space="preserve"> F of the accompanying DCWC report.</w:t>
      </w:r>
    </w:p>
    <w:p w:rsidR="007C6A5F" w:rsidRDefault="007C6A5F" w:rsidP="007C6A5F">
      <w:pPr>
        <w:pStyle w:val="Caption"/>
      </w:pPr>
      <w:r w:rsidRPr="00773730">
        <w:lastRenderedPageBreak/>
        <w:fldChar w:fldCharType="begin"/>
      </w:r>
      <w:r w:rsidRPr="00773730">
        <w:instrText xml:space="preserve"> IF 1 = 1 "</w:instrText>
      </w:r>
      <w:r w:rsidRPr="00773730">
        <w:fldChar w:fldCharType="begin"/>
      </w:r>
      <w:r w:rsidRPr="00773730">
        <w:instrText xml:space="preserve"> IF </w:instrText>
      </w:r>
      <w:r>
        <w:rPr>
          <w:noProof/>
        </w:rPr>
        <w:fldChar w:fldCharType="begin"/>
      </w:r>
      <w:r>
        <w:rPr>
          <w:noProof/>
        </w:rPr>
        <w:instrText xml:space="preserve"> STYLEREF "Heading 6" \l \n </w:instrText>
      </w:r>
      <w:r>
        <w:rPr>
          <w:noProof/>
        </w:rPr>
        <w:fldChar w:fldCharType="separate"/>
      </w:r>
      <w:r>
        <w:rPr>
          <w:noProof/>
        </w:rPr>
        <w:instrText>I</w:instrText>
      </w:r>
      <w:r>
        <w:rPr>
          <w:noProof/>
        </w:rPr>
        <w:fldChar w:fldCharType="end"/>
      </w:r>
      <w:r w:rsidRPr="00773730">
        <w:instrText xml:space="preserve"> = 0 "</w:instrText>
      </w:r>
      <w:r w:rsidRPr="00773730">
        <w:fldChar w:fldCharType="begin"/>
      </w:r>
      <w:r w:rsidRPr="00773730">
        <w:instrText xml:space="preserve"> IF </w:instrText>
      </w:r>
      <w:r>
        <w:rPr>
          <w:noProof/>
        </w:rPr>
        <w:fldChar w:fldCharType="begin"/>
      </w:r>
      <w:r>
        <w:rPr>
          <w:noProof/>
        </w:rPr>
        <w:instrText xml:space="preserve"> STYLEREF "Heading 1" \l \n </w:instrText>
      </w:r>
      <w:r>
        <w:rPr>
          <w:noProof/>
        </w:rPr>
        <w:fldChar w:fldCharType="separate"/>
      </w:r>
      <w:r w:rsidRPr="00773730">
        <w:rPr>
          <w:noProof/>
        </w:rPr>
        <w:instrText>0</w:instrText>
      </w:r>
      <w:r>
        <w:rPr>
          <w:noProof/>
        </w:rPr>
        <w:fldChar w:fldCharType="end"/>
      </w:r>
      <w:r w:rsidRPr="00773730">
        <w:instrText xml:space="preserve"> = 0 "" "</w:instrText>
      </w:r>
      <w:r>
        <w:rPr>
          <w:noProof/>
        </w:rPr>
        <w:fldChar w:fldCharType="begin"/>
      </w:r>
      <w:r>
        <w:rPr>
          <w:noProof/>
        </w:rPr>
        <w:instrText xml:space="preserve"> STYLEREF "Heading 1" \l \n </w:instrText>
      </w:r>
      <w:r>
        <w:rPr>
          <w:noProof/>
        </w:rPr>
        <w:fldChar w:fldCharType="separate"/>
      </w:r>
      <w:r w:rsidRPr="00773730">
        <w:rPr>
          <w:noProof/>
        </w:rPr>
        <w:instrText>2</w:instrText>
      </w:r>
      <w:r>
        <w:rPr>
          <w:noProof/>
        </w:rPr>
        <w:fldChar w:fldCharType="end"/>
      </w:r>
      <w:r w:rsidRPr="00773730">
        <w:instrText xml:space="preserve">." </w:instrText>
      </w:r>
      <w:r w:rsidRPr="00773730">
        <w:fldChar w:fldCharType="end"/>
      </w:r>
      <w:r w:rsidRPr="00773730">
        <w:instrText>" "</w:instrText>
      </w:r>
      <w:r>
        <w:rPr>
          <w:noProof/>
        </w:rPr>
        <w:fldChar w:fldCharType="begin"/>
      </w:r>
      <w:r>
        <w:rPr>
          <w:noProof/>
        </w:rPr>
        <w:instrText xml:space="preserve"> STYLEREF "Heading 6" \l \n </w:instrText>
      </w:r>
      <w:r>
        <w:rPr>
          <w:noProof/>
        </w:rPr>
        <w:fldChar w:fldCharType="separate"/>
      </w:r>
      <w:r>
        <w:rPr>
          <w:noProof/>
        </w:rPr>
        <w:instrText>I</w:instrText>
      </w:r>
      <w:r>
        <w:rPr>
          <w:noProof/>
        </w:rPr>
        <w:fldChar w:fldCharType="end"/>
      </w:r>
      <w:r w:rsidRPr="00773730">
        <w:instrText xml:space="preserve">." </w:instrText>
      </w:r>
      <w:r w:rsidRPr="00773730">
        <w:fldChar w:fldCharType="separate"/>
      </w:r>
      <w:r>
        <w:rPr>
          <w:noProof/>
        </w:rPr>
        <w:instrText>I</w:instrText>
      </w:r>
      <w:r w:rsidRPr="00773730">
        <w:rPr>
          <w:noProof/>
        </w:rPr>
        <w:instrText>.</w:instrText>
      </w:r>
      <w:r w:rsidRPr="00773730">
        <w:fldChar w:fldCharType="end"/>
      </w:r>
      <w:r w:rsidRPr="00773730">
        <w:fldChar w:fldCharType="begin"/>
      </w:r>
      <w:r w:rsidRPr="00773730">
        <w:instrText xml:space="preserve"> SEQ Item \* ARABIC \s </w:instrText>
      </w:r>
      <w:r w:rsidRPr="00773730">
        <w:fldChar w:fldCharType="begin"/>
      </w:r>
      <w:r w:rsidRPr="00773730">
        <w:instrText xml:space="preserve"> IF </w:instrText>
      </w:r>
      <w:r>
        <w:rPr>
          <w:noProof/>
        </w:rPr>
        <w:fldChar w:fldCharType="begin"/>
      </w:r>
      <w:r>
        <w:rPr>
          <w:noProof/>
        </w:rPr>
        <w:instrText xml:space="preserve"> STYLEREF "Heading 6" \l \n </w:instrText>
      </w:r>
      <w:r>
        <w:rPr>
          <w:noProof/>
        </w:rPr>
        <w:fldChar w:fldCharType="separate"/>
      </w:r>
      <w:r>
        <w:rPr>
          <w:noProof/>
        </w:rPr>
        <w:instrText>I</w:instrText>
      </w:r>
      <w:r>
        <w:rPr>
          <w:noProof/>
        </w:rPr>
        <w:fldChar w:fldCharType="end"/>
      </w:r>
      <w:r w:rsidRPr="00773730">
        <w:instrText xml:space="preserve"> = 0 "</w:instrText>
      </w:r>
      <w:r w:rsidRPr="00773730">
        <w:fldChar w:fldCharType="begin"/>
      </w:r>
      <w:r w:rsidRPr="00773730">
        <w:instrText xml:space="preserve"> IF </w:instrText>
      </w:r>
      <w:r>
        <w:rPr>
          <w:noProof/>
        </w:rPr>
        <w:fldChar w:fldCharType="begin"/>
      </w:r>
      <w:r>
        <w:rPr>
          <w:noProof/>
        </w:rPr>
        <w:instrText xml:space="preserve"> STYLEREF "Heading 1" \l \n </w:instrText>
      </w:r>
      <w:r>
        <w:rPr>
          <w:noProof/>
        </w:rPr>
        <w:fldChar w:fldCharType="separate"/>
      </w:r>
      <w:r w:rsidRPr="00773730">
        <w:rPr>
          <w:noProof/>
        </w:rPr>
        <w:instrText>0</w:instrText>
      </w:r>
      <w:r>
        <w:rPr>
          <w:noProof/>
        </w:rPr>
        <w:fldChar w:fldCharType="end"/>
      </w:r>
      <w:r w:rsidRPr="00773730">
        <w:instrText xml:space="preserve"> = 0 "" "1" </w:instrText>
      </w:r>
      <w:r w:rsidRPr="00773730">
        <w:fldChar w:fldCharType="end"/>
      </w:r>
      <w:r w:rsidRPr="00773730">
        <w:instrText xml:space="preserve">" "6" </w:instrText>
      </w:r>
      <w:r w:rsidRPr="00773730">
        <w:fldChar w:fldCharType="separate"/>
      </w:r>
      <w:r w:rsidRPr="00773730">
        <w:rPr>
          <w:noProof/>
        </w:rPr>
        <w:instrText>6</w:instrText>
      </w:r>
      <w:r w:rsidRPr="00773730">
        <w:fldChar w:fldCharType="end"/>
      </w:r>
      <w:r w:rsidRPr="00773730">
        <w:instrText xml:space="preserve"> </w:instrText>
      </w:r>
      <w:r w:rsidRPr="00773730">
        <w:fldChar w:fldCharType="separate"/>
      </w:r>
      <w:r>
        <w:rPr>
          <w:noProof/>
        </w:rPr>
        <w:instrText>3</w:instrText>
      </w:r>
      <w:r w:rsidRPr="00773730">
        <w:fldChar w:fldCharType="end"/>
      </w:r>
      <w:r w:rsidRPr="00773730">
        <w:instrText xml:space="preserve">" "" </w:instrText>
      </w:r>
      <w:r w:rsidRPr="00773730">
        <w:fldChar w:fldCharType="separate"/>
      </w:r>
      <w:bookmarkStart w:id="8241" w:name="_Caption1470"/>
      <w:bookmarkStart w:id="8242" w:name="_Caption9838"/>
      <w:bookmarkStart w:id="8243" w:name="_Caption2046"/>
      <w:bookmarkStart w:id="8244" w:name="_Caption4907"/>
      <w:bookmarkStart w:id="8245" w:name="_Toc44598610"/>
      <w:bookmarkStart w:id="8246" w:name="_Toc45654241"/>
      <w:r w:rsidR="00272AF3">
        <w:rPr>
          <w:noProof/>
        </w:rPr>
        <w:t>I</w:t>
      </w:r>
      <w:r w:rsidR="00272AF3" w:rsidRPr="00773730">
        <w:rPr>
          <w:noProof/>
        </w:rPr>
        <w:t>.</w:t>
      </w:r>
      <w:r w:rsidR="00272AF3">
        <w:rPr>
          <w:noProof/>
        </w:rPr>
        <w:t>3</w:t>
      </w:r>
      <w:bookmarkEnd w:id="8241"/>
      <w:bookmarkEnd w:id="8242"/>
      <w:bookmarkEnd w:id="8243"/>
      <w:bookmarkEnd w:id="8244"/>
      <w:r w:rsidRPr="00773730">
        <w:fldChar w:fldCharType="end"/>
      </w:r>
      <w:r w:rsidRPr="00773730">
        <w:tab/>
        <w:t xml:space="preserve">Estimated </w:t>
      </w:r>
      <w:r>
        <w:t>cost to comply with LHDG standards: Townhouse</w:t>
      </w:r>
      <w:bookmarkEnd w:id="8245"/>
      <w:bookmarkEnd w:id="8246"/>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I.3"/>
        <w:tblDescription w:val="Estimated cost to comply with LHDG standards: Townhouse"/>
      </w:tblPr>
      <w:tblGrid>
        <w:gridCol w:w="3633"/>
        <w:gridCol w:w="1435"/>
        <w:gridCol w:w="1435"/>
        <w:gridCol w:w="1435"/>
      </w:tblGrid>
      <w:tr w:rsidR="007C6A5F" w:rsidRPr="00E90745" w:rsidTr="00EA2542">
        <w:trPr>
          <w:trHeight w:val="230"/>
          <w:tblHeader/>
        </w:trPr>
        <w:tc>
          <w:tcPr>
            <w:tcW w:w="3633" w:type="dxa"/>
            <w:shd w:val="clear" w:color="auto" w:fill="6F6652" w:themeFill="accent5"/>
          </w:tcPr>
          <w:p w:rsidR="007C6A5F" w:rsidRPr="00E90745" w:rsidRDefault="007C6A5F" w:rsidP="00C36DA4">
            <w:pPr>
              <w:pStyle w:val="TableDataColumnHeading"/>
              <w:jc w:val="left"/>
            </w:pPr>
            <w:r>
              <w:t>Design element</w:t>
            </w:r>
          </w:p>
        </w:tc>
        <w:tc>
          <w:tcPr>
            <w:tcW w:w="1435" w:type="dxa"/>
            <w:shd w:val="clear" w:color="auto" w:fill="6F6652" w:themeFill="accent5"/>
          </w:tcPr>
          <w:p w:rsidR="007C6A5F" w:rsidRDefault="007C6A5F" w:rsidP="00C36DA4">
            <w:pPr>
              <w:pStyle w:val="TableDataColumnHeading"/>
            </w:pPr>
            <w:r>
              <w:t>Silver</w:t>
            </w:r>
          </w:p>
          <w:p w:rsidR="008C121C" w:rsidRPr="00E90745" w:rsidRDefault="008C121C" w:rsidP="00C36DA4">
            <w:pPr>
              <w:pStyle w:val="TableDataColumnHeading"/>
            </w:pPr>
            <w:r>
              <w:t>($)</w:t>
            </w:r>
          </w:p>
        </w:tc>
        <w:tc>
          <w:tcPr>
            <w:tcW w:w="1435" w:type="dxa"/>
            <w:shd w:val="clear" w:color="auto" w:fill="6F6652" w:themeFill="accent5"/>
          </w:tcPr>
          <w:p w:rsidR="007C6A5F" w:rsidRDefault="007C6A5F" w:rsidP="00C36DA4">
            <w:pPr>
              <w:pStyle w:val="TableDataColumnHeading"/>
            </w:pPr>
            <w:r>
              <w:t>Gold</w:t>
            </w:r>
          </w:p>
          <w:p w:rsidR="008C121C" w:rsidRPr="00E90745" w:rsidRDefault="008C121C" w:rsidP="00C36DA4">
            <w:pPr>
              <w:pStyle w:val="TableDataColumnHeading"/>
            </w:pPr>
            <w:r>
              <w:t>($)</w:t>
            </w:r>
          </w:p>
        </w:tc>
        <w:tc>
          <w:tcPr>
            <w:tcW w:w="1435" w:type="dxa"/>
            <w:shd w:val="clear" w:color="auto" w:fill="6F6652" w:themeFill="accent5"/>
          </w:tcPr>
          <w:p w:rsidR="007C6A5F" w:rsidRDefault="007C6A5F" w:rsidP="00C36DA4">
            <w:pPr>
              <w:pStyle w:val="TableDataColumnHeading"/>
            </w:pPr>
            <w:r>
              <w:t>Gold+</w:t>
            </w:r>
          </w:p>
          <w:p w:rsidR="008C121C" w:rsidRPr="00E90745" w:rsidRDefault="008C121C" w:rsidP="00C36DA4">
            <w:pPr>
              <w:pStyle w:val="TableDataColumnHeading"/>
            </w:pPr>
            <w:r>
              <w:t>($)</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1A. Step-free path to dwelling (option A)</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501</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681</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681</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1B. Single-step access to dwelling (option B)</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2. Dwelling entrance</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105</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253</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253</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3. Internal doors and corridors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659</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2 676</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2 676</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4. Toilet on ground level</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951</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2 093</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2 093</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5. Shower</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3 051</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3 051</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6. Reinforcement of bathroom and toilet walls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124</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124</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124</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7. Internal stairways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2 677</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2 677</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8. Kitchen</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1 221</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2 848</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9. Laundry</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305</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1 136</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10. Ground-level bedroom space</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11. Light switches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12. Door handles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13. Window sills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sz w:val="18"/>
              </w:rPr>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119</w:t>
            </w:r>
          </w:p>
        </w:tc>
      </w:tr>
      <w:tr w:rsidR="007C6A5F" w:rsidRPr="0033389D" w:rsidTr="008819BB">
        <w:trPr>
          <w:trHeight w:val="230"/>
        </w:trPr>
        <w:tc>
          <w:tcPr>
            <w:tcW w:w="3633" w:type="dxa"/>
            <w:tcBorders>
              <w:top w:val="single" w:sz="8" w:space="0" w:color="FFFFFF" w:themeColor="background1"/>
              <w:bottom w:val="single" w:sz="8" w:space="0" w:color="FFFFFF" w:themeColor="background1"/>
            </w:tcBorders>
            <w:shd w:val="clear" w:color="auto" w:fill="C2DADB" w:themeFill="accent6" w:themeFillTint="99"/>
          </w:tcPr>
          <w:p w:rsidR="007C6A5F" w:rsidRPr="0033389D" w:rsidRDefault="007C6A5F" w:rsidP="00C36DA4">
            <w:pPr>
              <w:pStyle w:val="TableDataEntries"/>
              <w:jc w:val="left"/>
              <w:rPr>
                <w:rFonts w:ascii="Franklin Gothic Demi" w:hAnsi="Franklin Gothic Demi"/>
                <w:lang w:val="en-GB"/>
              </w:rPr>
            </w:pPr>
            <w:r w:rsidRPr="0033389D">
              <w:rPr>
                <w:rFonts w:ascii="Franklin Gothic Demi" w:hAnsi="Franklin Gothic Demi"/>
                <w:lang w:val="en-GB"/>
              </w:rPr>
              <w:t>Total (Option A)</w:t>
            </w:r>
          </w:p>
        </w:tc>
        <w:tc>
          <w:tcPr>
            <w:tcW w:w="1435" w:type="dxa"/>
            <w:tcBorders>
              <w:top w:val="single" w:sz="8" w:space="0" w:color="FFFFFF" w:themeColor="background1"/>
              <w:bottom w:val="single" w:sz="8" w:space="0" w:color="FFFFFF" w:themeColor="background1"/>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2 340</w:t>
            </w:r>
          </w:p>
        </w:tc>
        <w:tc>
          <w:tcPr>
            <w:tcW w:w="1435" w:type="dxa"/>
            <w:tcBorders>
              <w:top w:val="single" w:sz="8" w:space="0" w:color="FFFFFF" w:themeColor="background1"/>
              <w:bottom w:val="single" w:sz="8" w:space="0" w:color="FFFFFF" w:themeColor="background1"/>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13 079</w:t>
            </w:r>
          </w:p>
        </w:tc>
        <w:tc>
          <w:tcPr>
            <w:tcW w:w="1435" w:type="dxa"/>
            <w:tcBorders>
              <w:top w:val="single" w:sz="8" w:space="0" w:color="FFFFFF" w:themeColor="background1"/>
              <w:bottom w:val="single" w:sz="8" w:space="0" w:color="FFFFFF" w:themeColor="background1"/>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15 656</w:t>
            </w:r>
          </w:p>
        </w:tc>
      </w:tr>
      <w:tr w:rsidR="007C6A5F" w:rsidRPr="0033389D" w:rsidTr="008819BB">
        <w:trPr>
          <w:trHeight w:val="230"/>
        </w:trPr>
        <w:tc>
          <w:tcPr>
            <w:tcW w:w="3633" w:type="dxa"/>
            <w:tcBorders>
              <w:top w:val="single" w:sz="8" w:space="0" w:color="FFFFFF" w:themeColor="background1"/>
              <w:bottom w:val="single" w:sz="4" w:space="0" w:color="6F6652" w:themeColor="accent5"/>
            </w:tcBorders>
            <w:shd w:val="clear" w:color="auto" w:fill="C2DADB" w:themeFill="accent6" w:themeFillTint="99"/>
          </w:tcPr>
          <w:p w:rsidR="007C6A5F" w:rsidRPr="0033389D" w:rsidRDefault="007C6A5F" w:rsidP="00C36DA4">
            <w:pPr>
              <w:pStyle w:val="TableDataEntries"/>
              <w:jc w:val="left"/>
              <w:rPr>
                <w:rFonts w:ascii="Franklin Gothic Demi" w:hAnsi="Franklin Gothic Demi"/>
                <w:lang w:val="en-GB"/>
              </w:rPr>
            </w:pPr>
            <w:r w:rsidRPr="0033389D">
              <w:rPr>
                <w:rFonts w:ascii="Franklin Gothic Demi" w:hAnsi="Franklin Gothic Demi"/>
                <w:lang w:val="en-GB"/>
              </w:rPr>
              <w:t>Total (Option B)</w:t>
            </w:r>
          </w:p>
        </w:tc>
        <w:tc>
          <w:tcPr>
            <w:tcW w:w="1435" w:type="dxa"/>
            <w:tcBorders>
              <w:top w:val="single" w:sz="8" w:space="0" w:color="FFFFFF" w:themeColor="background1"/>
              <w:bottom w:val="single" w:sz="4" w:space="0" w:color="6F6652" w:themeColor="accent5"/>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1 839</w:t>
            </w:r>
          </w:p>
        </w:tc>
        <w:tc>
          <w:tcPr>
            <w:tcW w:w="1435" w:type="dxa"/>
            <w:tcBorders>
              <w:top w:val="single" w:sz="8" w:space="0" w:color="FFFFFF" w:themeColor="background1"/>
              <w:bottom w:val="single" w:sz="4" w:space="0" w:color="6F6652" w:themeColor="accent5"/>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12 398</w:t>
            </w:r>
          </w:p>
        </w:tc>
        <w:tc>
          <w:tcPr>
            <w:tcW w:w="1435" w:type="dxa"/>
            <w:tcBorders>
              <w:top w:val="single" w:sz="8" w:space="0" w:color="FFFFFF" w:themeColor="background1"/>
              <w:bottom w:val="single" w:sz="4" w:space="0" w:color="6F6652" w:themeColor="accent5"/>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14 975</w:t>
            </w:r>
          </w:p>
        </w:tc>
      </w:tr>
    </w:tbl>
    <w:p w:rsidR="007C6A5F" w:rsidRDefault="007C6A5F" w:rsidP="007C6A5F">
      <w:pPr>
        <w:pStyle w:val="Source"/>
      </w:pPr>
      <w:r>
        <w:rPr>
          <w:i/>
        </w:rPr>
        <w:t>Source</w:t>
      </w:r>
      <w:r w:rsidRPr="00E4232C">
        <w:rPr>
          <w:i/>
        </w:rPr>
        <w:t>:</w:t>
      </w:r>
      <w:r>
        <w:t xml:space="preserve"> DCWC estimates.</w:t>
      </w:r>
    </w:p>
    <w:p w:rsidR="007C6A5F" w:rsidRDefault="007C6A5F" w:rsidP="007C6A5F">
      <w:pPr>
        <w:pStyle w:val="Caption"/>
      </w:pPr>
      <w:r w:rsidRPr="00773730">
        <w:fldChar w:fldCharType="begin"/>
      </w:r>
      <w:r w:rsidRPr="00773730">
        <w:instrText xml:space="preserve"> IF 1 = 1 "</w:instrText>
      </w:r>
      <w:r w:rsidRPr="00773730">
        <w:fldChar w:fldCharType="begin"/>
      </w:r>
      <w:r w:rsidRPr="00773730">
        <w:instrText xml:space="preserve"> IF </w:instrText>
      </w:r>
      <w:r>
        <w:rPr>
          <w:noProof/>
        </w:rPr>
        <w:fldChar w:fldCharType="begin"/>
      </w:r>
      <w:r>
        <w:rPr>
          <w:noProof/>
        </w:rPr>
        <w:instrText xml:space="preserve"> STYLEREF "Heading 6" \l \n </w:instrText>
      </w:r>
      <w:r>
        <w:rPr>
          <w:noProof/>
        </w:rPr>
        <w:fldChar w:fldCharType="separate"/>
      </w:r>
      <w:r>
        <w:rPr>
          <w:noProof/>
        </w:rPr>
        <w:instrText>I</w:instrText>
      </w:r>
      <w:r>
        <w:rPr>
          <w:noProof/>
        </w:rPr>
        <w:fldChar w:fldCharType="end"/>
      </w:r>
      <w:r w:rsidRPr="00773730">
        <w:instrText xml:space="preserve"> = 0 "</w:instrText>
      </w:r>
      <w:r w:rsidRPr="00773730">
        <w:fldChar w:fldCharType="begin"/>
      </w:r>
      <w:r w:rsidRPr="00773730">
        <w:instrText xml:space="preserve"> IF </w:instrText>
      </w:r>
      <w:r>
        <w:rPr>
          <w:noProof/>
        </w:rPr>
        <w:fldChar w:fldCharType="begin"/>
      </w:r>
      <w:r>
        <w:rPr>
          <w:noProof/>
        </w:rPr>
        <w:instrText xml:space="preserve"> STYLEREF "Heading 1" \l \n </w:instrText>
      </w:r>
      <w:r>
        <w:rPr>
          <w:noProof/>
        </w:rPr>
        <w:fldChar w:fldCharType="separate"/>
      </w:r>
      <w:r w:rsidRPr="00773730">
        <w:rPr>
          <w:noProof/>
        </w:rPr>
        <w:instrText>0</w:instrText>
      </w:r>
      <w:r>
        <w:rPr>
          <w:noProof/>
        </w:rPr>
        <w:fldChar w:fldCharType="end"/>
      </w:r>
      <w:r w:rsidRPr="00773730">
        <w:instrText xml:space="preserve"> = 0 "" "</w:instrText>
      </w:r>
      <w:r>
        <w:rPr>
          <w:noProof/>
        </w:rPr>
        <w:fldChar w:fldCharType="begin"/>
      </w:r>
      <w:r>
        <w:rPr>
          <w:noProof/>
        </w:rPr>
        <w:instrText xml:space="preserve"> STYLEREF "Heading 1" \l \n </w:instrText>
      </w:r>
      <w:r>
        <w:rPr>
          <w:noProof/>
        </w:rPr>
        <w:fldChar w:fldCharType="separate"/>
      </w:r>
      <w:r w:rsidRPr="00773730">
        <w:rPr>
          <w:noProof/>
        </w:rPr>
        <w:instrText>2</w:instrText>
      </w:r>
      <w:r>
        <w:rPr>
          <w:noProof/>
        </w:rPr>
        <w:fldChar w:fldCharType="end"/>
      </w:r>
      <w:r w:rsidRPr="00773730">
        <w:instrText xml:space="preserve">." </w:instrText>
      </w:r>
      <w:r w:rsidRPr="00773730">
        <w:fldChar w:fldCharType="end"/>
      </w:r>
      <w:r w:rsidRPr="00773730">
        <w:instrText>" "</w:instrText>
      </w:r>
      <w:r>
        <w:rPr>
          <w:noProof/>
        </w:rPr>
        <w:fldChar w:fldCharType="begin"/>
      </w:r>
      <w:r>
        <w:rPr>
          <w:noProof/>
        </w:rPr>
        <w:instrText xml:space="preserve"> STYLEREF "Heading 6" \l \n </w:instrText>
      </w:r>
      <w:r>
        <w:rPr>
          <w:noProof/>
        </w:rPr>
        <w:fldChar w:fldCharType="separate"/>
      </w:r>
      <w:r>
        <w:rPr>
          <w:noProof/>
        </w:rPr>
        <w:instrText>I</w:instrText>
      </w:r>
      <w:r>
        <w:rPr>
          <w:noProof/>
        </w:rPr>
        <w:fldChar w:fldCharType="end"/>
      </w:r>
      <w:r w:rsidRPr="00773730">
        <w:instrText xml:space="preserve">." </w:instrText>
      </w:r>
      <w:r w:rsidRPr="00773730">
        <w:fldChar w:fldCharType="separate"/>
      </w:r>
      <w:r>
        <w:rPr>
          <w:noProof/>
        </w:rPr>
        <w:instrText>I</w:instrText>
      </w:r>
      <w:r w:rsidRPr="00773730">
        <w:rPr>
          <w:noProof/>
        </w:rPr>
        <w:instrText>.</w:instrText>
      </w:r>
      <w:r w:rsidRPr="00773730">
        <w:fldChar w:fldCharType="end"/>
      </w:r>
      <w:r w:rsidRPr="00773730">
        <w:fldChar w:fldCharType="begin"/>
      </w:r>
      <w:r w:rsidRPr="00773730">
        <w:instrText xml:space="preserve"> SEQ Item \* ARABIC \s </w:instrText>
      </w:r>
      <w:r w:rsidRPr="00773730">
        <w:fldChar w:fldCharType="begin"/>
      </w:r>
      <w:r w:rsidRPr="00773730">
        <w:instrText xml:space="preserve"> IF </w:instrText>
      </w:r>
      <w:r>
        <w:rPr>
          <w:noProof/>
        </w:rPr>
        <w:fldChar w:fldCharType="begin"/>
      </w:r>
      <w:r>
        <w:rPr>
          <w:noProof/>
        </w:rPr>
        <w:instrText xml:space="preserve"> STYLEREF "Heading 6" \l \n </w:instrText>
      </w:r>
      <w:r>
        <w:rPr>
          <w:noProof/>
        </w:rPr>
        <w:fldChar w:fldCharType="separate"/>
      </w:r>
      <w:r>
        <w:rPr>
          <w:noProof/>
        </w:rPr>
        <w:instrText>I</w:instrText>
      </w:r>
      <w:r>
        <w:rPr>
          <w:noProof/>
        </w:rPr>
        <w:fldChar w:fldCharType="end"/>
      </w:r>
      <w:r w:rsidRPr="00773730">
        <w:instrText xml:space="preserve"> = 0 "</w:instrText>
      </w:r>
      <w:r w:rsidRPr="00773730">
        <w:fldChar w:fldCharType="begin"/>
      </w:r>
      <w:r w:rsidRPr="00773730">
        <w:instrText xml:space="preserve"> IF </w:instrText>
      </w:r>
      <w:r>
        <w:rPr>
          <w:noProof/>
        </w:rPr>
        <w:fldChar w:fldCharType="begin"/>
      </w:r>
      <w:r>
        <w:rPr>
          <w:noProof/>
        </w:rPr>
        <w:instrText xml:space="preserve"> STYLEREF "Heading 1" \l \n </w:instrText>
      </w:r>
      <w:r>
        <w:rPr>
          <w:noProof/>
        </w:rPr>
        <w:fldChar w:fldCharType="separate"/>
      </w:r>
      <w:r w:rsidRPr="00773730">
        <w:rPr>
          <w:noProof/>
        </w:rPr>
        <w:instrText>0</w:instrText>
      </w:r>
      <w:r>
        <w:rPr>
          <w:noProof/>
        </w:rPr>
        <w:fldChar w:fldCharType="end"/>
      </w:r>
      <w:r w:rsidRPr="00773730">
        <w:instrText xml:space="preserve"> = 0 "" "1" </w:instrText>
      </w:r>
      <w:r w:rsidRPr="00773730">
        <w:fldChar w:fldCharType="end"/>
      </w:r>
      <w:r w:rsidRPr="00773730">
        <w:instrText xml:space="preserve">" "6" </w:instrText>
      </w:r>
      <w:r w:rsidRPr="00773730">
        <w:fldChar w:fldCharType="separate"/>
      </w:r>
      <w:r w:rsidRPr="00773730">
        <w:rPr>
          <w:noProof/>
        </w:rPr>
        <w:instrText>6</w:instrText>
      </w:r>
      <w:r w:rsidRPr="00773730">
        <w:fldChar w:fldCharType="end"/>
      </w:r>
      <w:r w:rsidRPr="00773730">
        <w:instrText xml:space="preserve"> </w:instrText>
      </w:r>
      <w:r w:rsidRPr="00773730">
        <w:fldChar w:fldCharType="separate"/>
      </w:r>
      <w:r>
        <w:rPr>
          <w:noProof/>
        </w:rPr>
        <w:instrText>4</w:instrText>
      </w:r>
      <w:r w:rsidRPr="00773730">
        <w:fldChar w:fldCharType="end"/>
      </w:r>
      <w:r w:rsidRPr="00773730">
        <w:instrText xml:space="preserve">" "" </w:instrText>
      </w:r>
      <w:r w:rsidRPr="00773730">
        <w:fldChar w:fldCharType="separate"/>
      </w:r>
      <w:bookmarkStart w:id="8247" w:name="_Caption5130"/>
      <w:bookmarkStart w:id="8248" w:name="_Caption7941"/>
      <w:bookmarkStart w:id="8249" w:name="_Caption1639"/>
      <w:bookmarkStart w:id="8250" w:name="_Caption5418"/>
      <w:bookmarkStart w:id="8251" w:name="_Toc44598611"/>
      <w:bookmarkStart w:id="8252" w:name="_Toc45654242"/>
      <w:r w:rsidR="00272AF3">
        <w:rPr>
          <w:noProof/>
        </w:rPr>
        <w:t>I</w:t>
      </w:r>
      <w:r w:rsidR="00272AF3" w:rsidRPr="00773730">
        <w:rPr>
          <w:noProof/>
        </w:rPr>
        <w:t>.</w:t>
      </w:r>
      <w:r w:rsidR="00272AF3">
        <w:rPr>
          <w:noProof/>
        </w:rPr>
        <w:t>4</w:t>
      </w:r>
      <w:bookmarkEnd w:id="8247"/>
      <w:bookmarkEnd w:id="8248"/>
      <w:bookmarkEnd w:id="8249"/>
      <w:bookmarkEnd w:id="8250"/>
      <w:r w:rsidRPr="00773730">
        <w:fldChar w:fldCharType="end"/>
      </w:r>
      <w:r w:rsidRPr="00773730">
        <w:tab/>
        <w:t xml:space="preserve">Estimated </w:t>
      </w:r>
      <w:r>
        <w:t>cost to comply with LHDG standards: Volume home</w:t>
      </w:r>
      <w:bookmarkEnd w:id="8251"/>
      <w:bookmarkEnd w:id="8252"/>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I.4"/>
        <w:tblDescription w:val="Estimated cost to comply with LHDG standards: Volume home"/>
      </w:tblPr>
      <w:tblGrid>
        <w:gridCol w:w="3633"/>
        <w:gridCol w:w="1435"/>
        <w:gridCol w:w="1435"/>
        <w:gridCol w:w="1435"/>
      </w:tblGrid>
      <w:tr w:rsidR="007C6A5F" w:rsidRPr="00E90745" w:rsidTr="000F1718">
        <w:trPr>
          <w:trHeight w:val="230"/>
          <w:tblHeader/>
        </w:trPr>
        <w:tc>
          <w:tcPr>
            <w:tcW w:w="3633" w:type="dxa"/>
            <w:shd w:val="clear" w:color="auto" w:fill="6F6652" w:themeFill="accent5"/>
          </w:tcPr>
          <w:p w:rsidR="007C6A5F" w:rsidRPr="00E90745" w:rsidRDefault="007C6A5F" w:rsidP="00C36DA4">
            <w:pPr>
              <w:pStyle w:val="TableDataColumnHeading"/>
              <w:jc w:val="left"/>
            </w:pPr>
            <w:r>
              <w:t>Design element</w:t>
            </w:r>
          </w:p>
        </w:tc>
        <w:tc>
          <w:tcPr>
            <w:tcW w:w="1435" w:type="dxa"/>
            <w:shd w:val="clear" w:color="auto" w:fill="6F6652" w:themeFill="accent5"/>
          </w:tcPr>
          <w:p w:rsidR="007C6A5F" w:rsidRDefault="007C6A5F" w:rsidP="00C36DA4">
            <w:pPr>
              <w:pStyle w:val="TableDataColumnHeading"/>
            </w:pPr>
            <w:r>
              <w:t>Silver</w:t>
            </w:r>
          </w:p>
          <w:p w:rsidR="008C121C" w:rsidRPr="00E90745" w:rsidRDefault="008C121C" w:rsidP="00C36DA4">
            <w:pPr>
              <w:pStyle w:val="TableDataColumnHeading"/>
            </w:pPr>
            <w:r>
              <w:t>($)</w:t>
            </w:r>
          </w:p>
        </w:tc>
        <w:tc>
          <w:tcPr>
            <w:tcW w:w="1435" w:type="dxa"/>
            <w:shd w:val="clear" w:color="auto" w:fill="6F6652" w:themeFill="accent5"/>
          </w:tcPr>
          <w:p w:rsidR="007C6A5F" w:rsidRDefault="007C6A5F" w:rsidP="00C36DA4">
            <w:pPr>
              <w:pStyle w:val="TableDataColumnHeading"/>
            </w:pPr>
            <w:r>
              <w:t>Gold</w:t>
            </w:r>
          </w:p>
          <w:p w:rsidR="008C121C" w:rsidRPr="00E90745" w:rsidRDefault="008C121C" w:rsidP="00C36DA4">
            <w:pPr>
              <w:pStyle w:val="TableDataColumnHeading"/>
            </w:pPr>
            <w:r>
              <w:t>($)</w:t>
            </w:r>
          </w:p>
        </w:tc>
        <w:tc>
          <w:tcPr>
            <w:tcW w:w="1435" w:type="dxa"/>
            <w:shd w:val="clear" w:color="auto" w:fill="6F6652" w:themeFill="accent5"/>
          </w:tcPr>
          <w:p w:rsidR="007C6A5F" w:rsidRDefault="007C6A5F" w:rsidP="00C36DA4">
            <w:pPr>
              <w:pStyle w:val="TableDataColumnHeading"/>
            </w:pPr>
            <w:r>
              <w:t>Gold+</w:t>
            </w:r>
          </w:p>
          <w:p w:rsidR="008C121C" w:rsidRPr="00E90745" w:rsidRDefault="008C121C" w:rsidP="00C36DA4">
            <w:pPr>
              <w:pStyle w:val="TableDataColumnHeading"/>
            </w:pPr>
            <w:r>
              <w:t>($)</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1A. Step-free path to dwelling (option A)</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501</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681</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681</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1B. Single-step access to dwelling (option B)</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2. Dwelling entrance</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18</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112</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112</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3. Internal doors and corridors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565</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2 154</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2 154</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4. Toilet on ground level</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326</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1 284</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1 284</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5. Shower</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2 536</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2 536</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6. Reinforcement of bathroom and toilet walls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124</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124</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124</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7. Internal stairways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8. Kitchen</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1 221</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2 848</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9. Laundry</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305</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1 136</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10. Ground-level bedroom space</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11. Light switches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12. Door handles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13. Window sills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sz w:val="18"/>
              </w:rPr>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238</w:t>
            </w:r>
          </w:p>
        </w:tc>
      </w:tr>
      <w:tr w:rsidR="007C6A5F" w:rsidRPr="0033389D" w:rsidTr="008819BB">
        <w:trPr>
          <w:trHeight w:val="230"/>
        </w:trPr>
        <w:tc>
          <w:tcPr>
            <w:tcW w:w="3633" w:type="dxa"/>
            <w:tcBorders>
              <w:top w:val="single" w:sz="8" w:space="0" w:color="FFFFFF" w:themeColor="background1"/>
              <w:bottom w:val="single" w:sz="8" w:space="0" w:color="FFFFFF" w:themeColor="background1"/>
            </w:tcBorders>
            <w:shd w:val="clear" w:color="auto" w:fill="C2DADB" w:themeFill="accent6" w:themeFillTint="99"/>
          </w:tcPr>
          <w:p w:rsidR="007C6A5F" w:rsidRPr="0033389D" w:rsidRDefault="007C6A5F" w:rsidP="00C36DA4">
            <w:pPr>
              <w:pStyle w:val="TableDataEntries"/>
              <w:jc w:val="left"/>
              <w:rPr>
                <w:rFonts w:ascii="Franklin Gothic Demi" w:hAnsi="Franklin Gothic Demi"/>
                <w:lang w:val="en-GB"/>
              </w:rPr>
            </w:pPr>
            <w:r w:rsidRPr="0033389D">
              <w:rPr>
                <w:rFonts w:ascii="Franklin Gothic Demi" w:hAnsi="Franklin Gothic Demi"/>
                <w:lang w:val="en-GB"/>
              </w:rPr>
              <w:t>Total (Option A)</w:t>
            </w:r>
          </w:p>
        </w:tc>
        <w:tc>
          <w:tcPr>
            <w:tcW w:w="1435" w:type="dxa"/>
            <w:tcBorders>
              <w:top w:val="single" w:sz="8" w:space="0" w:color="FFFFFF" w:themeColor="background1"/>
              <w:bottom w:val="single" w:sz="8" w:space="0" w:color="FFFFFF" w:themeColor="background1"/>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1 533</w:t>
            </w:r>
          </w:p>
        </w:tc>
        <w:tc>
          <w:tcPr>
            <w:tcW w:w="1435" w:type="dxa"/>
            <w:tcBorders>
              <w:top w:val="single" w:sz="8" w:space="0" w:color="FFFFFF" w:themeColor="background1"/>
              <w:bottom w:val="single" w:sz="8" w:space="0" w:color="FFFFFF" w:themeColor="background1"/>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8 417</w:t>
            </w:r>
          </w:p>
        </w:tc>
        <w:tc>
          <w:tcPr>
            <w:tcW w:w="1435" w:type="dxa"/>
            <w:tcBorders>
              <w:top w:val="single" w:sz="8" w:space="0" w:color="FFFFFF" w:themeColor="background1"/>
              <w:bottom w:val="single" w:sz="8" w:space="0" w:color="FFFFFF" w:themeColor="background1"/>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11 113</w:t>
            </w:r>
          </w:p>
        </w:tc>
      </w:tr>
      <w:tr w:rsidR="007C6A5F" w:rsidRPr="0033389D" w:rsidTr="008819BB">
        <w:trPr>
          <w:trHeight w:val="230"/>
        </w:trPr>
        <w:tc>
          <w:tcPr>
            <w:tcW w:w="3633" w:type="dxa"/>
            <w:tcBorders>
              <w:top w:val="single" w:sz="8" w:space="0" w:color="FFFFFF" w:themeColor="background1"/>
              <w:bottom w:val="single" w:sz="4" w:space="0" w:color="6F6652" w:themeColor="accent5"/>
            </w:tcBorders>
            <w:shd w:val="clear" w:color="auto" w:fill="C2DADB" w:themeFill="accent6" w:themeFillTint="99"/>
          </w:tcPr>
          <w:p w:rsidR="007C6A5F" w:rsidRPr="0033389D" w:rsidRDefault="007C6A5F" w:rsidP="00C36DA4">
            <w:pPr>
              <w:pStyle w:val="TableDataEntries"/>
              <w:jc w:val="left"/>
              <w:rPr>
                <w:rFonts w:ascii="Franklin Gothic Demi" w:hAnsi="Franklin Gothic Demi"/>
                <w:lang w:val="en-GB"/>
              </w:rPr>
            </w:pPr>
            <w:r w:rsidRPr="0033389D">
              <w:rPr>
                <w:rFonts w:ascii="Franklin Gothic Demi" w:hAnsi="Franklin Gothic Demi"/>
                <w:lang w:val="en-GB"/>
              </w:rPr>
              <w:t>Total (Option B)</w:t>
            </w:r>
          </w:p>
        </w:tc>
        <w:tc>
          <w:tcPr>
            <w:tcW w:w="1435" w:type="dxa"/>
            <w:tcBorders>
              <w:top w:val="single" w:sz="8" w:space="0" w:color="FFFFFF" w:themeColor="background1"/>
              <w:bottom w:val="single" w:sz="4" w:space="0" w:color="6F6652" w:themeColor="accent5"/>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1 032</w:t>
            </w:r>
          </w:p>
        </w:tc>
        <w:tc>
          <w:tcPr>
            <w:tcW w:w="1435" w:type="dxa"/>
            <w:tcBorders>
              <w:top w:val="single" w:sz="8" w:space="0" w:color="FFFFFF" w:themeColor="background1"/>
              <w:bottom w:val="single" w:sz="4" w:space="0" w:color="6F6652" w:themeColor="accent5"/>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7 736</w:t>
            </w:r>
          </w:p>
        </w:tc>
        <w:tc>
          <w:tcPr>
            <w:tcW w:w="1435" w:type="dxa"/>
            <w:tcBorders>
              <w:top w:val="single" w:sz="8" w:space="0" w:color="FFFFFF" w:themeColor="background1"/>
              <w:bottom w:val="single" w:sz="4" w:space="0" w:color="6F6652" w:themeColor="accent5"/>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10 432</w:t>
            </w:r>
          </w:p>
        </w:tc>
      </w:tr>
    </w:tbl>
    <w:p w:rsidR="007C6A5F" w:rsidRDefault="007C6A5F" w:rsidP="007C6A5F">
      <w:pPr>
        <w:pStyle w:val="Source"/>
      </w:pPr>
      <w:r>
        <w:rPr>
          <w:i/>
        </w:rPr>
        <w:t>Source</w:t>
      </w:r>
      <w:r w:rsidRPr="00E4232C">
        <w:rPr>
          <w:i/>
        </w:rPr>
        <w:t>:</w:t>
      </w:r>
      <w:r>
        <w:t xml:space="preserve"> DCWC estimates.</w:t>
      </w:r>
    </w:p>
    <w:p w:rsidR="007C6A5F" w:rsidRDefault="007C6A5F" w:rsidP="007C6A5F">
      <w:pPr>
        <w:spacing w:before="140"/>
        <w:rPr>
          <w:rFonts w:asciiTheme="minorHAnsi" w:eastAsia="Times New Roman" w:hAnsiTheme="minorHAnsi"/>
        </w:rPr>
      </w:pPr>
    </w:p>
    <w:p w:rsidR="007C6A5F" w:rsidRDefault="007C6A5F" w:rsidP="007C6A5F">
      <w:pPr>
        <w:pStyle w:val="Caption"/>
      </w:pPr>
      <w:r w:rsidRPr="00773730">
        <w:lastRenderedPageBreak/>
        <w:fldChar w:fldCharType="begin"/>
      </w:r>
      <w:r w:rsidRPr="00773730">
        <w:instrText xml:space="preserve"> IF 1 = 1 "</w:instrText>
      </w:r>
      <w:r w:rsidRPr="00773730">
        <w:fldChar w:fldCharType="begin"/>
      </w:r>
      <w:r w:rsidRPr="00773730">
        <w:instrText xml:space="preserve"> IF </w:instrText>
      </w:r>
      <w:r>
        <w:rPr>
          <w:noProof/>
        </w:rPr>
        <w:fldChar w:fldCharType="begin"/>
      </w:r>
      <w:r>
        <w:rPr>
          <w:noProof/>
        </w:rPr>
        <w:instrText xml:space="preserve"> STYLEREF "Heading 6" \l \n </w:instrText>
      </w:r>
      <w:r>
        <w:rPr>
          <w:noProof/>
        </w:rPr>
        <w:fldChar w:fldCharType="separate"/>
      </w:r>
      <w:r>
        <w:rPr>
          <w:noProof/>
        </w:rPr>
        <w:instrText>I</w:instrText>
      </w:r>
      <w:r>
        <w:rPr>
          <w:noProof/>
        </w:rPr>
        <w:fldChar w:fldCharType="end"/>
      </w:r>
      <w:r w:rsidRPr="00773730">
        <w:instrText xml:space="preserve"> = 0 "</w:instrText>
      </w:r>
      <w:r w:rsidRPr="00773730">
        <w:fldChar w:fldCharType="begin"/>
      </w:r>
      <w:r w:rsidRPr="00773730">
        <w:instrText xml:space="preserve"> IF </w:instrText>
      </w:r>
      <w:r>
        <w:rPr>
          <w:noProof/>
        </w:rPr>
        <w:fldChar w:fldCharType="begin"/>
      </w:r>
      <w:r>
        <w:rPr>
          <w:noProof/>
        </w:rPr>
        <w:instrText xml:space="preserve"> STYLEREF "Heading 1" \l \n </w:instrText>
      </w:r>
      <w:r>
        <w:rPr>
          <w:noProof/>
        </w:rPr>
        <w:fldChar w:fldCharType="separate"/>
      </w:r>
      <w:r w:rsidRPr="00773730">
        <w:rPr>
          <w:noProof/>
        </w:rPr>
        <w:instrText>0</w:instrText>
      </w:r>
      <w:r>
        <w:rPr>
          <w:noProof/>
        </w:rPr>
        <w:fldChar w:fldCharType="end"/>
      </w:r>
      <w:r w:rsidRPr="00773730">
        <w:instrText xml:space="preserve"> = 0 "" "</w:instrText>
      </w:r>
      <w:r>
        <w:rPr>
          <w:noProof/>
        </w:rPr>
        <w:fldChar w:fldCharType="begin"/>
      </w:r>
      <w:r>
        <w:rPr>
          <w:noProof/>
        </w:rPr>
        <w:instrText xml:space="preserve"> STYLEREF "Heading 1" \l \n </w:instrText>
      </w:r>
      <w:r>
        <w:rPr>
          <w:noProof/>
        </w:rPr>
        <w:fldChar w:fldCharType="separate"/>
      </w:r>
      <w:r w:rsidRPr="00773730">
        <w:rPr>
          <w:noProof/>
        </w:rPr>
        <w:instrText>2</w:instrText>
      </w:r>
      <w:r>
        <w:rPr>
          <w:noProof/>
        </w:rPr>
        <w:fldChar w:fldCharType="end"/>
      </w:r>
      <w:r w:rsidRPr="00773730">
        <w:instrText xml:space="preserve">." </w:instrText>
      </w:r>
      <w:r w:rsidRPr="00773730">
        <w:fldChar w:fldCharType="end"/>
      </w:r>
      <w:r w:rsidRPr="00773730">
        <w:instrText>" "</w:instrText>
      </w:r>
      <w:r>
        <w:rPr>
          <w:noProof/>
        </w:rPr>
        <w:fldChar w:fldCharType="begin"/>
      </w:r>
      <w:r>
        <w:rPr>
          <w:noProof/>
        </w:rPr>
        <w:instrText xml:space="preserve"> STYLEREF "Heading 6" \l \n </w:instrText>
      </w:r>
      <w:r>
        <w:rPr>
          <w:noProof/>
        </w:rPr>
        <w:fldChar w:fldCharType="separate"/>
      </w:r>
      <w:r>
        <w:rPr>
          <w:noProof/>
        </w:rPr>
        <w:instrText>I</w:instrText>
      </w:r>
      <w:r>
        <w:rPr>
          <w:noProof/>
        </w:rPr>
        <w:fldChar w:fldCharType="end"/>
      </w:r>
      <w:r w:rsidRPr="00773730">
        <w:instrText xml:space="preserve">." </w:instrText>
      </w:r>
      <w:r w:rsidRPr="00773730">
        <w:fldChar w:fldCharType="separate"/>
      </w:r>
      <w:r>
        <w:rPr>
          <w:noProof/>
        </w:rPr>
        <w:instrText>I</w:instrText>
      </w:r>
      <w:r w:rsidRPr="00773730">
        <w:rPr>
          <w:noProof/>
        </w:rPr>
        <w:instrText>.</w:instrText>
      </w:r>
      <w:r w:rsidRPr="00773730">
        <w:fldChar w:fldCharType="end"/>
      </w:r>
      <w:r w:rsidRPr="00773730">
        <w:fldChar w:fldCharType="begin"/>
      </w:r>
      <w:r w:rsidRPr="00773730">
        <w:instrText xml:space="preserve"> SEQ Item \* ARABIC \s </w:instrText>
      </w:r>
      <w:r w:rsidRPr="00773730">
        <w:fldChar w:fldCharType="begin"/>
      </w:r>
      <w:r w:rsidRPr="00773730">
        <w:instrText xml:space="preserve"> IF </w:instrText>
      </w:r>
      <w:r>
        <w:rPr>
          <w:noProof/>
        </w:rPr>
        <w:fldChar w:fldCharType="begin"/>
      </w:r>
      <w:r>
        <w:rPr>
          <w:noProof/>
        </w:rPr>
        <w:instrText xml:space="preserve"> STYLEREF "Heading 6" \l \n </w:instrText>
      </w:r>
      <w:r>
        <w:rPr>
          <w:noProof/>
        </w:rPr>
        <w:fldChar w:fldCharType="separate"/>
      </w:r>
      <w:r>
        <w:rPr>
          <w:noProof/>
        </w:rPr>
        <w:instrText>I</w:instrText>
      </w:r>
      <w:r>
        <w:rPr>
          <w:noProof/>
        </w:rPr>
        <w:fldChar w:fldCharType="end"/>
      </w:r>
      <w:r w:rsidRPr="00773730">
        <w:instrText xml:space="preserve"> = 0 "</w:instrText>
      </w:r>
      <w:r w:rsidRPr="00773730">
        <w:fldChar w:fldCharType="begin"/>
      </w:r>
      <w:r w:rsidRPr="00773730">
        <w:instrText xml:space="preserve"> IF </w:instrText>
      </w:r>
      <w:r>
        <w:rPr>
          <w:noProof/>
        </w:rPr>
        <w:fldChar w:fldCharType="begin"/>
      </w:r>
      <w:r>
        <w:rPr>
          <w:noProof/>
        </w:rPr>
        <w:instrText xml:space="preserve"> STYLEREF "Heading 1" \l \n </w:instrText>
      </w:r>
      <w:r>
        <w:rPr>
          <w:noProof/>
        </w:rPr>
        <w:fldChar w:fldCharType="separate"/>
      </w:r>
      <w:r w:rsidRPr="00773730">
        <w:rPr>
          <w:noProof/>
        </w:rPr>
        <w:instrText>0</w:instrText>
      </w:r>
      <w:r>
        <w:rPr>
          <w:noProof/>
        </w:rPr>
        <w:fldChar w:fldCharType="end"/>
      </w:r>
      <w:r w:rsidRPr="00773730">
        <w:instrText xml:space="preserve"> = 0 "" "1" </w:instrText>
      </w:r>
      <w:r w:rsidRPr="00773730">
        <w:fldChar w:fldCharType="end"/>
      </w:r>
      <w:r w:rsidRPr="00773730">
        <w:instrText xml:space="preserve">" "6" </w:instrText>
      </w:r>
      <w:r w:rsidRPr="00773730">
        <w:fldChar w:fldCharType="separate"/>
      </w:r>
      <w:r w:rsidRPr="00773730">
        <w:rPr>
          <w:noProof/>
        </w:rPr>
        <w:instrText>6</w:instrText>
      </w:r>
      <w:r w:rsidRPr="00773730">
        <w:fldChar w:fldCharType="end"/>
      </w:r>
      <w:r w:rsidRPr="00773730">
        <w:instrText xml:space="preserve"> </w:instrText>
      </w:r>
      <w:r w:rsidRPr="00773730">
        <w:fldChar w:fldCharType="separate"/>
      </w:r>
      <w:r>
        <w:rPr>
          <w:noProof/>
        </w:rPr>
        <w:instrText>5</w:instrText>
      </w:r>
      <w:r w:rsidRPr="00773730">
        <w:fldChar w:fldCharType="end"/>
      </w:r>
      <w:r w:rsidRPr="00773730">
        <w:instrText xml:space="preserve">" "" </w:instrText>
      </w:r>
      <w:r w:rsidRPr="00773730">
        <w:fldChar w:fldCharType="separate"/>
      </w:r>
      <w:bookmarkStart w:id="8253" w:name="_Caption8751"/>
      <w:bookmarkStart w:id="8254" w:name="_Caption3779"/>
      <w:bookmarkStart w:id="8255" w:name="_Caption1469"/>
      <w:bookmarkStart w:id="8256" w:name="_Caption8903"/>
      <w:bookmarkStart w:id="8257" w:name="_Toc44598612"/>
      <w:bookmarkStart w:id="8258" w:name="_Toc45654243"/>
      <w:r w:rsidR="00272AF3">
        <w:rPr>
          <w:noProof/>
        </w:rPr>
        <w:t>I</w:t>
      </w:r>
      <w:r w:rsidR="00272AF3" w:rsidRPr="00773730">
        <w:rPr>
          <w:noProof/>
        </w:rPr>
        <w:t>.</w:t>
      </w:r>
      <w:r w:rsidR="00272AF3">
        <w:rPr>
          <w:noProof/>
        </w:rPr>
        <w:t>5</w:t>
      </w:r>
      <w:bookmarkEnd w:id="8253"/>
      <w:bookmarkEnd w:id="8254"/>
      <w:bookmarkEnd w:id="8255"/>
      <w:bookmarkEnd w:id="8256"/>
      <w:r w:rsidRPr="00773730">
        <w:fldChar w:fldCharType="end"/>
      </w:r>
      <w:r w:rsidRPr="00773730">
        <w:tab/>
        <w:t xml:space="preserve">Estimated </w:t>
      </w:r>
      <w:r>
        <w:t>cost to comply with LHDG standards: Custom home</w:t>
      </w:r>
      <w:bookmarkEnd w:id="8257"/>
      <w:bookmarkEnd w:id="8258"/>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I.5"/>
      </w:tblPr>
      <w:tblGrid>
        <w:gridCol w:w="3633"/>
        <w:gridCol w:w="1435"/>
        <w:gridCol w:w="1435"/>
        <w:gridCol w:w="1435"/>
      </w:tblGrid>
      <w:tr w:rsidR="007C6A5F" w:rsidRPr="00E90745" w:rsidTr="00DD2346">
        <w:trPr>
          <w:trHeight w:val="230"/>
          <w:tblHeader/>
        </w:trPr>
        <w:tc>
          <w:tcPr>
            <w:tcW w:w="3633" w:type="dxa"/>
            <w:shd w:val="clear" w:color="auto" w:fill="6F6652" w:themeFill="accent5"/>
          </w:tcPr>
          <w:p w:rsidR="007C6A5F" w:rsidRPr="00E90745" w:rsidRDefault="007C6A5F" w:rsidP="00C36DA4">
            <w:pPr>
              <w:pStyle w:val="TableDataColumnHeading"/>
              <w:jc w:val="left"/>
            </w:pPr>
            <w:r>
              <w:t>Design element</w:t>
            </w:r>
          </w:p>
        </w:tc>
        <w:tc>
          <w:tcPr>
            <w:tcW w:w="1435" w:type="dxa"/>
            <w:shd w:val="clear" w:color="auto" w:fill="6F6652" w:themeFill="accent5"/>
          </w:tcPr>
          <w:p w:rsidR="007C6A5F" w:rsidRDefault="007C6A5F" w:rsidP="00C36DA4">
            <w:pPr>
              <w:pStyle w:val="TableDataColumnHeading"/>
            </w:pPr>
            <w:r>
              <w:t>Silver</w:t>
            </w:r>
          </w:p>
          <w:p w:rsidR="008C121C" w:rsidRPr="00E90745" w:rsidRDefault="008C121C" w:rsidP="00C36DA4">
            <w:pPr>
              <w:pStyle w:val="TableDataColumnHeading"/>
            </w:pPr>
            <w:r>
              <w:t>($)</w:t>
            </w:r>
          </w:p>
        </w:tc>
        <w:tc>
          <w:tcPr>
            <w:tcW w:w="1435" w:type="dxa"/>
            <w:shd w:val="clear" w:color="auto" w:fill="6F6652" w:themeFill="accent5"/>
          </w:tcPr>
          <w:p w:rsidR="007C6A5F" w:rsidRDefault="007C6A5F" w:rsidP="00C36DA4">
            <w:pPr>
              <w:pStyle w:val="TableDataColumnHeading"/>
            </w:pPr>
            <w:r>
              <w:t>Gold</w:t>
            </w:r>
          </w:p>
          <w:p w:rsidR="008C121C" w:rsidRPr="00E90745" w:rsidRDefault="008C121C" w:rsidP="00C36DA4">
            <w:pPr>
              <w:pStyle w:val="TableDataColumnHeading"/>
            </w:pPr>
            <w:r>
              <w:t>($)</w:t>
            </w:r>
          </w:p>
        </w:tc>
        <w:tc>
          <w:tcPr>
            <w:tcW w:w="1435" w:type="dxa"/>
            <w:shd w:val="clear" w:color="auto" w:fill="6F6652" w:themeFill="accent5"/>
          </w:tcPr>
          <w:p w:rsidR="007C6A5F" w:rsidRDefault="007C6A5F" w:rsidP="00C36DA4">
            <w:pPr>
              <w:pStyle w:val="TableDataColumnHeading"/>
            </w:pPr>
            <w:r>
              <w:t>Gold+</w:t>
            </w:r>
          </w:p>
          <w:p w:rsidR="008C121C" w:rsidRPr="00E90745" w:rsidRDefault="008C121C" w:rsidP="00C36DA4">
            <w:pPr>
              <w:pStyle w:val="TableDataColumnHeading"/>
            </w:pPr>
            <w:r>
              <w:t>($)</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1A. Step-free path to dwelling (option A)</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551</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738</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738</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1B. Single-step access to dwelling (option B)</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2. Dwelling entrance</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80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80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3. Internal doors and corridors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283</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1 255</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1 255</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4. Toilet on ground level</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326</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1 390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1 390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5. Shower</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2 238</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2 238</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6. Reinforcement of bathroom and toilet walls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124</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124</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124</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7. Internal stairways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8. Kitchen</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814</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1 831</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9. Laundry</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305</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1 136</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10. Ground-level bedroom space</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11. Light switches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12. Door handles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13. Window sills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sz w:val="18"/>
              </w:rPr>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356</w:t>
            </w:r>
          </w:p>
        </w:tc>
      </w:tr>
      <w:tr w:rsidR="007C6A5F" w:rsidRPr="0033389D" w:rsidTr="008819BB">
        <w:trPr>
          <w:trHeight w:val="230"/>
        </w:trPr>
        <w:tc>
          <w:tcPr>
            <w:tcW w:w="3633" w:type="dxa"/>
            <w:tcBorders>
              <w:top w:val="single" w:sz="8" w:space="0" w:color="FFFFFF" w:themeColor="background1"/>
              <w:bottom w:val="single" w:sz="8" w:space="0" w:color="FFFFFF" w:themeColor="background1"/>
            </w:tcBorders>
            <w:shd w:val="clear" w:color="auto" w:fill="C2DADB" w:themeFill="accent6" w:themeFillTint="99"/>
          </w:tcPr>
          <w:p w:rsidR="007C6A5F" w:rsidRPr="0033389D" w:rsidRDefault="007C6A5F" w:rsidP="00C36DA4">
            <w:pPr>
              <w:pStyle w:val="TableDataEntries"/>
              <w:jc w:val="left"/>
              <w:rPr>
                <w:rFonts w:ascii="Franklin Gothic Demi" w:hAnsi="Franklin Gothic Demi"/>
                <w:lang w:val="en-GB"/>
              </w:rPr>
            </w:pPr>
            <w:r w:rsidRPr="0033389D">
              <w:rPr>
                <w:rFonts w:ascii="Franklin Gothic Demi" w:hAnsi="Franklin Gothic Demi"/>
                <w:lang w:val="en-GB"/>
              </w:rPr>
              <w:t>Total (Option A)</w:t>
            </w:r>
          </w:p>
        </w:tc>
        <w:tc>
          <w:tcPr>
            <w:tcW w:w="1435" w:type="dxa"/>
            <w:tcBorders>
              <w:top w:val="single" w:sz="8" w:space="0" w:color="FFFFFF" w:themeColor="background1"/>
              <w:bottom w:val="single" w:sz="8" w:space="0" w:color="FFFFFF" w:themeColor="background1"/>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1 283</w:t>
            </w:r>
          </w:p>
        </w:tc>
        <w:tc>
          <w:tcPr>
            <w:tcW w:w="1435" w:type="dxa"/>
            <w:tcBorders>
              <w:top w:val="single" w:sz="8" w:space="0" w:color="FFFFFF" w:themeColor="background1"/>
              <w:bottom w:val="single" w:sz="8" w:space="0" w:color="FFFFFF" w:themeColor="background1"/>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6 944</w:t>
            </w:r>
          </w:p>
        </w:tc>
        <w:tc>
          <w:tcPr>
            <w:tcW w:w="1435" w:type="dxa"/>
            <w:tcBorders>
              <w:top w:val="single" w:sz="8" w:space="0" w:color="FFFFFF" w:themeColor="background1"/>
              <w:bottom w:val="single" w:sz="8" w:space="0" w:color="FFFFFF" w:themeColor="background1"/>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9 148</w:t>
            </w:r>
          </w:p>
        </w:tc>
      </w:tr>
      <w:tr w:rsidR="007C6A5F" w:rsidRPr="0033389D" w:rsidTr="008819BB">
        <w:trPr>
          <w:trHeight w:val="230"/>
        </w:trPr>
        <w:tc>
          <w:tcPr>
            <w:tcW w:w="3633" w:type="dxa"/>
            <w:tcBorders>
              <w:top w:val="single" w:sz="8" w:space="0" w:color="FFFFFF" w:themeColor="background1"/>
              <w:bottom w:val="single" w:sz="4" w:space="0" w:color="6F6652" w:themeColor="accent5"/>
            </w:tcBorders>
            <w:shd w:val="clear" w:color="auto" w:fill="C2DADB" w:themeFill="accent6" w:themeFillTint="99"/>
          </w:tcPr>
          <w:p w:rsidR="007C6A5F" w:rsidRPr="0033389D" w:rsidRDefault="007C6A5F" w:rsidP="00C36DA4">
            <w:pPr>
              <w:pStyle w:val="TableDataEntries"/>
              <w:jc w:val="left"/>
              <w:rPr>
                <w:rFonts w:ascii="Franklin Gothic Demi" w:hAnsi="Franklin Gothic Demi"/>
                <w:lang w:val="en-GB"/>
              </w:rPr>
            </w:pPr>
            <w:r w:rsidRPr="0033389D">
              <w:rPr>
                <w:rFonts w:ascii="Franklin Gothic Demi" w:hAnsi="Franklin Gothic Demi"/>
                <w:lang w:val="en-GB"/>
              </w:rPr>
              <w:t>Total (Option B)</w:t>
            </w:r>
          </w:p>
        </w:tc>
        <w:tc>
          <w:tcPr>
            <w:tcW w:w="1435" w:type="dxa"/>
            <w:tcBorders>
              <w:top w:val="single" w:sz="8" w:space="0" w:color="FFFFFF" w:themeColor="background1"/>
              <w:bottom w:val="single" w:sz="4" w:space="0" w:color="6F6652" w:themeColor="accent5"/>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 xml:space="preserve"> 732</w:t>
            </w:r>
          </w:p>
        </w:tc>
        <w:tc>
          <w:tcPr>
            <w:tcW w:w="1435" w:type="dxa"/>
            <w:tcBorders>
              <w:top w:val="single" w:sz="8" w:space="0" w:color="FFFFFF" w:themeColor="background1"/>
              <w:bottom w:val="single" w:sz="4" w:space="0" w:color="6F6652" w:themeColor="accent5"/>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6 206</w:t>
            </w:r>
          </w:p>
        </w:tc>
        <w:tc>
          <w:tcPr>
            <w:tcW w:w="1435" w:type="dxa"/>
            <w:tcBorders>
              <w:top w:val="single" w:sz="8" w:space="0" w:color="FFFFFF" w:themeColor="background1"/>
              <w:bottom w:val="single" w:sz="4" w:space="0" w:color="6F6652" w:themeColor="accent5"/>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8 411</w:t>
            </w:r>
          </w:p>
        </w:tc>
      </w:tr>
    </w:tbl>
    <w:p w:rsidR="007C6A5F" w:rsidRDefault="007C6A5F" w:rsidP="007C6A5F">
      <w:pPr>
        <w:pStyle w:val="Source"/>
      </w:pPr>
      <w:r>
        <w:rPr>
          <w:i/>
        </w:rPr>
        <w:t>Source</w:t>
      </w:r>
      <w:r w:rsidRPr="00E4232C">
        <w:rPr>
          <w:i/>
        </w:rPr>
        <w:t>:</w:t>
      </w:r>
      <w:r>
        <w:t xml:space="preserve"> DCWC estimates.</w:t>
      </w:r>
    </w:p>
    <w:p w:rsidR="007C6A5F" w:rsidRDefault="007C6A5F" w:rsidP="007C6A5F">
      <w:pPr>
        <w:pStyle w:val="Caption"/>
      </w:pPr>
      <w:r w:rsidRPr="00773730">
        <w:fldChar w:fldCharType="begin"/>
      </w:r>
      <w:r w:rsidRPr="00773730">
        <w:instrText xml:space="preserve"> IF 1 = 1 "</w:instrText>
      </w:r>
      <w:r w:rsidRPr="00773730">
        <w:fldChar w:fldCharType="begin"/>
      </w:r>
      <w:r w:rsidRPr="00773730">
        <w:instrText xml:space="preserve"> IF </w:instrText>
      </w:r>
      <w:r>
        <w:rPr>
          <w:noProof/>
        </w:rPr>
        <w:fldChar w:fldCharType="begin"/>
      </w:r>
      <w:r>
        <w:rPr>
          <w:noProof/>
        </w:rPr>
        <w:instrText xml:space="preserve"> STYLEREF "Heading 6" \l \n </w:instrText>
      </w:r>
      <w:r>
        <w:rPr>
          <w:noProof/>
        </w:rPr>
        <w:fldChar w:fldCharType="separate"/>
      </w:r>
      <w:r>
        <w:rPr>
          <w:noProof/>
        </w:rPr>
        <w:instrText>I</w:instrText>
      </w:r>
      <w:r>
        <w:rPr>
          <w:noProof/>
        </w:rPr>
        <w:fldChar w:fldCharType="end"/>
      </w:r>
      <w:r w:rsidRPr="00773730">
        <w:instrText xml:space="preserve"> = 0 "</w:instrText>
      </w:r>
      <w:r w:rsidRPr="00773730">
        <w:fldChar w:fldCharType="begin"/>
      </w:r>
      <w:r w:rsidRPr="00773730">
        <w:instrText xml:space="preserve"> IF </w:instrText>
      </w:r>
      <w:r>
        <w:rPr>
          <w:noProof/>
        </w:rPr>
        <w:fldChar w:fldCharType="begin"/>
      </w:r>
      <w:r>
        <w:rPr>
          <w:noProof/>
        </w:rPr>
        <w:instrText xml:space="preserve"> STYLEREF "Heading 1" \l \n </w:instrText>
      </w:r>
      <w:r>
        <w:rPr>
          <w:noProof/>
        </w:rPr>
        <w:fldChar w:fldCharType="separate"/>
      </w:r>
      <w:r w:rsidRPr="00773730">
        <w:rPr>
          <w:noProof/>
        </w:rPr>
        <w:instrText>0</w:instrText>
      </w:r>
      <w:r>
        <w:rPr>
          <w:noProof/>
        </w:rPr>
        <w:fldChar w:fldCharType="end"/>
      </w:r>
      <w:r w:rsidRPr="00773730">
        <w:instrText xml:space="preserve"> = 0 "" "</w:instrText>
      </w:r>
      <w:r>
        <w:rPr>
          <w:noProof/>
        </w:rPr>
        <w:fldChar w:fldCharType="begin"/>
      </w:r>
      <w:r>
        <w:rPr>
          <w:noProof/>
        </w:rPr>
        <w:instrText xml:space="preserve"> STYLEREF "Heading 1" \l \n </w:instrText>
      </w:r>
      <w:r>
        <w:rPr>
          <w:noProof/>
        </w:rPr>
        <w:fldChar w:fldCharType="separate"/>
      </w:r>
      <w:r w:rsidRPr="00773730">
        <w:rPr>
          <w:noProof/>
        </w:rPr>
        <w:instrText>2</w:instrText>
      </w:r>
      <w:r>
        <w:rPr>
          <w:noProof/>
        </w:rPr>
        <w:fldChar w:fldCharType="end"/>
      </w:r>
      <w:r w:rsidRPr="00773730">
        <w:instrText xml:space="preserve">." </w:instrText>
      </w:r>
      <w:r w:rsidRPr="00773730">
        <w:fldChar w:fldCharType="end"/>
      </w:r>
      <w:r w:rsidRPr="00773730">
        <w:instrText>" "</w:instrText>
      </w:r>
      <w:r>
        <w:rPr>
          <w:noProof/>
        </w:rPr>
        <w:fldChar w:fldCharType="begin"/>
      </w:r>
      <w:r>
        <w:rPr>
          <w:noProof/>
        </w:rPr>
        <w:instrText xml:space="preserve"> STYLEREF "Heading 6" \l \n </w:instrText>
      </w:r>
      <w:r>
        <w:rPr>
          <w:noProof/>
        </w:rPr>
        <w:fldChar w:fldCharType="separate"/>
      </w:r>
      <w:r>
        <w:rPr>
          <w:noProof/>
        </w:rPr>
        <w:instrText>I</w:instrText>
      </w:r>
      <w:r>
        <w:rPr>
          <w:noProof/>
        </w:rPr>
        <w:fldChar w:fldCharType="end"/>
      </w:r>
      <w:r w:rsidRPr="00773730">
        <w:instrText xml:space="preserve">." </w:instrText>
      </w:r>
      <w:r w:rsidRPr="00773730">
        <w:fldChar w:fldCharType="separate"/>
      </w:r>
      <w:r>
        <w:rPr>
          <w:noProof/>
        </w:rPr>
        <w:instrText>I</w:instrText>
      </w:r>
      <w:r w:rsidRPr="00773730">
        <w:rPr>
          <w:noProof/>
        </w:rPr>
        <w:instrText>.</w:instrText>
      </w:r>
      <w:r w:rsidRPr="00773730">
        <w:fldChar w:fldCharType="end"/>
      </w:r>
      <w:r w:rsidRPr="00773730">
        <w:fldChar w:fldCharType="begin"/>
      </w:r>
      <w:r w:rsidRPr="00773730">
        <w:instrText xml:space="preserve"> SEQ Item \* ARABIC \s </w:instrText>
      </w:r>
      <w:r w:rsidRPr="00773730">
        <w:fldChar w:fldCharType="begin"/>
      </w:r>
      <w:r w:rsidRPr="00773730">
        <w:instrText xml:space="preserve"> IF </w:instrText>
      </w:r>
      <w:r>
        <w:rPr>
          <w:noProof/>
        </w:rPr>
        <w:fldChar w:fldCharType="begin"/>
      </w:r>
      <w:r>
        <w:rPr>
          <w:noProof/>
        </w:rPr>
        <w:instrText xml:space="preserve"> STYLEREF "Heading 6" \l \n </w:instrText>
      </w:r>
      <w:r>
        <w:rPr>
          <w:noProof/>
        </w:rPr>
        <w:fldChar w:fldCharType="separate"/>
      </w:r>
      <w:r>
        <w:rPr>
          <w:noProof/>
        </w:rPr>
        <w:instrText>I</w:instrText>
      </w:r>
      <w:r>
        <w:rPr>
          <w:noProof/>
        </w:rPr>
        <w:fldChar w:fldCharType="end"/>
      </w:r>
      <w:r w:rsidRPr="00773730">
        <w:instrText xml:space="preserve"> = 0 "</w:instrText>
      </w:r>
      <w:r w:rsidRPr="00773730">
        <w:fldChar w:fldCharType="begin"/>
      </w:r>
      <w:r w:rsidRPr="00773730">
        <w:instrText xml:space="preserve"> IF </w:instrText>
      </w:r>
      <w:r>
        <w:rPr>
          <w:noProof/>
        </w:rPr>
        <w:fldChar w:fldCharType="begin"/>
      </w:r>
      <w:r>
        <w:rPr>
          <w:noProof/>
        </w:rPr>
        <w:instrText xml:space="preserve"> STYLEREF "Heading 1" \l \n </w:instrText>
      </w:r>
      <w:r>
        <w:rPr>
          <w:noProof/>
        </w:rPr>
        <w:fldChar w:fldCharType="separate"/>
      </w:r>
      <w:r w:rsidRPr="00773730">
        <w:rPr>
          <w:noProof/>
        </w:rPr>
        <w:instrText>0</w:instrText>
      </w:r>
      <w:r>
        <w:rPr>
          <w:noProof/>
        </w:rPr>
        <w:fldChar w:fldCharType="end"/>
      </w:r>
      <w:r w:rsidRPr="00773730">
        <w:instrText xml:space="preserve"> = 0 "" "1" </w:instrText>
      </w:r>
      <w:r w:rsidRPr="00773730">
        <w:fldChar w:fldCharType="end"/>
      </w:r>
      <w:r w:rsidRPr="00773730">
        <w:instrText xml:space="preserve">" "6" </w:instrText>
      </w:r>
      <w:r w:rsidRPr="00773730">
        <w:fldChar w:fldCharType="separate"/>
      </w:r>
      <w:r w:rsidRPr="00773730">
        <w:rPr>
          <w:noProof/>
        </w:rPr>
        <w:instrText>6</w:instrText>
      </w:r>
      <w:r w:rsidRPr="00773730">
        <w:fldChar w:fldCharType="end"/>
      </w:r>
      <w:r w:rsidRPr="00773730">
        <w:instrText xml:space="preserve"> </w:instrText>
      </w:r>
      <w:r w:rsidRPr="00773730">
        <w:fldChar w:fldCharType="separate"/>
      </w:r>
      <w:r>
        <w:rPr>
          <w:noProof/>
        </w:rPr>
        <w:instrText>6</w:instrText>
      </w:r>
      <w:r w:rsidRPr="00773730">
        <w:fldChar w:fldCharType="end"/>
      </w:r>
      <w:r w:rsidRPr="00773730">
        <w:instrText xml:space="preserve">" "" </w:instrText>
      </w:r>
      <w:r w:rsidRPr="00773730">
        <w:fldChar w:fldCharType="separate"/>
      </w:r>
      <w:bookmarkStart w:id="8259" w:name="_Caption2798"/>
      <w:bookmarkStart w:id="8260" w:name="_Caption3193"/>
      <w:bookmarkStart w:id="8261" w:name="_Caption6574"/>
      <w:bookmarkStart w:id="8262" w:name="_Caption9245"/>
      <w:bookmarkStart w:id="8263" w:name="_Toc44598613"/>
      <w:bookmarkStart w:id="8264" w:name="_Toc45654244"/>
      <w:r w:rsidR="00272AF3">
        <w:rPr>
          <w:noProof/>
        </w:rPr>
        <w:t>I</w:t>
      </w:r>
      <w:r w:rsidR="00272AF3" w:rsidRPr="00773730">
        <w:rPr>
          <w:noProof/>
        </w:rPr>
        <w:t>.</w:t>
      </w:r>
      <w:r w:rsidR="00272AF3">
        <w:rPr>
          <w:noProof/>
        </w:rPr>
        <w:t>6</w:t>
      </w:r>
      <w:bookmarkEnd w:id="8259"/>
      <w:bookmarkEnd w:id="8260"/>
      <w:bookmarkEnd w:id="8261"/>
      <w:bookmarkEnd w:id="8262"/>
      <w:r w:rsidRPr="00773730">
        <w:fldChar w:fldCharType="end"/>
      </w:r>
      <w:r w:rsidRPr="00773730">
        <w:tab/>
        <w:t xml:space="preserve">Estimated </w:t>
      </w:r>
      <w:r>
        <w:t>cost to comply with LHDG standards: Walk-up apartment</w:t>
      </w:r>
      <w:bookmarkEnd w:id="8263"/>
      <w:bookmarkEnd w:id="8264"/>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I.6"/>
        <w:tblDescription w:val="Estimated cost to comply with LHDG standards: Walk-up apartment"/>
      </w:tblPr>
      <w:tblGrid>
        <w:gridCol w:w="3633"/>
        <w:gridCol w:w="1435"/>
        <w:gridCol w:w="1435"/>
        <w:gridCol w:w="1435"/>
      </w:tblGrid>
      <w:tr w:rsidR="007C6A5F" w:rsidRPr="00E90745" w:rsidTr="00DD2346">
        <w:trPr>
          <w:trHeight w:val="230"/>
          <w:tblHeader/>
        </w:trPr>
        <w:tc>
          <w:tcPr>
            <w:tcW w:w="3633" w:type="dxa"/>
            <w:shd w:val="clear" w:color="auto" w:fill="6F6652" w:themeFill="accent5"/>
          </w:tcPr>
          <w:p w:rsidR="007C6A5F" w:rsidRPr="00E90745" w:rsidRDefault="007C6A5F" w:rsidP="00C36DA4">
            <w:pPr>
              <w:pStyle w:val="TableDataColumnHeading"/>
              <w:jc w:val="left"/>
            </w:pPr>
            <w:r>
              <w:t>Design element</w:t>
            </w:r>
          </w:p>
        </w:tc>
        <w:tc>
          <w:tcPr>
            <w:tcW w:w="1435" w:type="dxa"/>
            <w:shd w:val="clear" w:color="auto" w:fill="6F6652" w:themeFill="accent5"/>
          </w:tcPr>
          <w:p w:rsidR="007C6A5F" w:rsidRDefault="007C6A5F" w:rsidP="00C36DA4">
            <w:pPr>
              <w:pStyle w:val="TableDataColumnHeading"/>
            </w:pPr>
            <w:r>
              <w:t>Silver</w:t>
            </w:r>
          </w:p>
          <w:p w:rsidR="008C121C" w:rsidRPr="00E90745" w:rsidRDefault="008C121C" w:rsidP="00C36DA4">
            <w:pPr>
              <w:pStyle w:val="TableDataColumnHeading"/>
            </w:pPr>
            <w:r>
              <w:t>($)</w:t>
            </w:r>
          </w:p>
        </w:tc>
        <w:tc>
          <w:tcPr>
            <w:tcW w:w="1435" w:type="dxa"/>
            <w:shd w:val="clear" w:color="auto" w:fill="6F6652" w:themeFill="accent5"/>
          </w:tcPr>
          <w:p w:rsidR="007C6A5F" w:rsidRDefault="007C6A5F" w:rsidP="00C36DA4">
            <w:pPr>
              <w:pStyle w:val="TableDataColumnHeading"/>
            </w:pPr>
            <w:r>
              <w:t>Gold</w:t>
            </w:r>
          </w:p>
          <w:p w:rsidR="008C121C" w:rsidRPr="00E90745" w:rsidRDefault="008C121C" w:rsidP="00C36DA4">
            <w:pPr>
              <w:pStyle w:val="TableDataColumnHeading"/>
            </w:pPr>
            <w:r>
              <w:t>($)</w:t>
            </w:r>
          </w:p>
        </w:tc>
        <w:tc>
          <w:tcPr>
            <w:tcW w:w="1435" w:type="dxa"/>
            <w:shd w:val="clear" w:color="auto" w:fill="6F6652" w:themeFill="accent5"/>
          </w:tcPr>
          <w:p w:rsidR="007C6A5F" w:rsidRDefault="007C6A5F" w:rsidP="00C36DA4">
            <w:pPr>
              <w:pStyle w:val="TableDataColumnHeading"/>
            </w:pPr>
            <w:r>
              <w:t>Gold+</w:t>
            </w:r>
          </w:p>
          <w:p w:rsidR="008C121C" w:rsidRPr="00E90745" w:rsidRDefault="008C121C" w:rsidP="00C36DA4">
            <w:pPr>
              <w:pStyle w:val="TableDataColumnHeading"/>
            </w:pPr>
            <w:r>
              <w:t>($)</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1A. Step-free path to dwelling (option A)</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1B. Single-step access to dwelling (option B)</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2. Dwelling entrance</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80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80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3. Internal doors and corridors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819</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2 966</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2 966</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4. Toilet on ground level</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379</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1 539</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1 539</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5. Shower</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3 063</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3 063</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6. Reinforcement of bathroom and toilet walls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124</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124</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124</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7. Internal stairways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8. Kitchen</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1 229</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2 948</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9. Laundry</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369</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1 372</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10. Ground-level bedroom space</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11. Light switches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12. Door handles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13. Window sills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sz w:val="18"/>
              </w:rPr>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119</w:t>
            </w:r>
          </w:p>
        </w:tc>
      </w:tr>
      <w:tr w:rsidR="007C6A5F" w:rsidRPr="0033389D" w:rsidTr="008819BB">
        <w:trPr>
          <w:trHeight w:val="230"/>
        </w:trPr>
        <w:tc>
          <w:tcPr>
            <w:tcW w:w="3633" w:type="dxa"/>
            <w:tcBorders>
              <w:top w:val="single" w:sz="8" w:space="0" w:color="FFFFFF" w:themeColor="background1"/>
              <w:bottom w:val="single" w:sz="8" w:space="0" w:color="FFFFFF" w:themeColor="background1"/>
            </w:tcBorders>
            <w:shd w:val="clear" w:color="auto" w:fill="C2DADB" w:themeFill="accent6" w:themeFillTint="99"/>
          </w:tcPr>
          <w:p w:rsidR="007C6A5F" w:rsidRPr="0033389D" w:rsidRDefault="007C6A5F" w:rsidP="00C36DA4">
            <w:pPr>
              <w:pStyle w:val="TableDataEntries"/>
              <w:jc w:val="left"/>
              <w:rPr>
                <w:rFonts w:ascii="Franklin Gothic Demi" w:hAnsi="Franklin Gothic Demi"/>
                <w:lang w:val="en-GB"/>
              </w:rPr>
            </w:pPr>
            <w:r w:rsidRPr="0033389D">
              <w:rPr>
                <w:rFonts w:ascii="Franklin Gothic Demi" w:hAnsi="Franklin Gothic Demi"/>
                <w:lang w:val="en-GB"/>
              </w:rPr>
              <w:t>Total (Option A)</w:t>
            </w:r>
          </w:p>
        </w:tc>
        <w:tc>
          <w:tcPr>
            <w:tcW w:w="1435" w:type="dxa"/>
            <w:tcBorders>
              <w:top w:val="single" w:sz="8" w:space="0" w:color="FFFFFF" w:themeColor="background1"/>
              <w:bottom w:val="single" w:sz="8" w:space="0" w:color="FFFFFF" w:themeColor="background1"/>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1 322</w:t>
            </w:r>
          </w:p>
        </w:tc>
        <w:tc>
          <w:tcPr>
            <w:tcW w:w="1435" w:type="dxa"/>
            <w:tcBorders>
              <w:top w:val="single" w:sz="8" w:space="0" w:color="FFFFFF" w:themeColor="background1"/>
              <w:bottom w:val="single" w:sz="8" w:space="0" w:color="FFFFFF" w:themeColor="background1"/>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9 368</w:t>
            </w:r>
          </w:p>
        </w:tc>
        <w:tc>
          <w:tcPr>
            <w:tcW w:w="1435" w:type="dxa"/>
            <w:tcBorders>
              <w:top w:val="single" w:sz="8" w:space="0" w:color="FFFFFF" w:themeColor="background1"/>
              <w:bottom w:val="single" w:sz="8" w:space="0" w:color="FFFFFF" w:themeColor="background1"/>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12 210</w:t>
            </w:r>
          </w:p>
        </w:tc>
      </w:tr>
      <w:tr w:rsidR="007C6A5F" w:rsidRPr="0033389D" w:rsidTr="008819BB">
        <w:trPr>
          <w:trHeight w:val="230"/>
        </w:trPr>
        <w:tc>
          <w:tcPr>
            <w:tcW w:w="3633" w:type="dxa"/>
            <w:tcBorders>
              <w:top w:val="single" w:sz="8" w:space="0" w:color="FFFFFF" w:themeColor="background1"/>
              <w:bottom w:val="single" w:sz="4" w:space="0" w:color="6F6652" w:themeColor="accent5"/>
            </w:tcBorders>
            <w:shd w:val="clear" w:color="auto" w:fill="C2DADB" w:themeFill="accent6" w:themeFillTint="99"/>
          </w:tcPr>
          <w:p w:rsidR="007C6A5F" w:rsidRPr="0033389D" w:rsidRDefault="007C6A5F" w:rsidP="00C36DA4">
            <w:pPr>
              <w:pStyle w:val="TableDataEntries"/>
              <w:jc w:val="left"/>
              <w:rPr>
                <w:rFonts w:ascii="Franklin Gothic Demi" w:hAnsi="Franklin Gothic Demi"/>
                <w:lang w:val="en-GB"/>
              </w:rPr>
            </w:pPr>
            <w:r w:rsidRPr="0033389D">
              <w:rPr>
                <w:rFonts w:ascii="Franklin Gothic Demi" w:hAnsi="Franklin Gothic Demi"/>
                <w:lang w:val="en-GB"/>
              </w:rPr>
              <w:t>Total (Option B)</w:t>
            </w:r>
          </w:p>
        </w:tc>
        <w:tc>
          <w:tcPr>
            <w:tcW w:w="1435" w:type="dxa"/>
            <w:tcBorders>
              <w:top w:val="single" w:sz="8" w:space="0" w:color="FFFFFF" w:themeColor="background1"/>
              <w:bottom w:val="single" w:sz="4" w:space="0" w:color="6F6652" w:themeColor="accent5"/>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1 322</w:t>
            </w:r>
          </w:p>
        </w:tc>
        <w:tc>
          <w:tcPr>
            <w:tcW w:w="1435" w:type="dxa"/>
            <w:tcBorders>
              <w:top w:val="single" w:sz="8" w:space="0" w:color="FFFFFF" w:themeColor="background1"/>
              <w:bottom w:val="single" w:sz="4" w:space="0" w:color="6F6652" w:themeColor="accent5"/>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9 368</w:t>
            </w:r>
          </w:p>
        </w:tc>
        <w:tc>
          <w:tcPr>
            <w:tcW w:w="1435" w:type="dxa"/>
            <w:tcBorders>
              <w:top w:val="single" w:sz="8" w:space="0" w:color="FFFFFF" w:themeColor="background1"/>
              <w:bottom w:val="single" w:sz="4" w:space="0" w:color="6F6652" w:themeColor="accent5"/>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12 210</w:t>
            </w:r>
          </w:p>
        </w:tc>
      </w:tr>
    </w:tbl>
    <w:p w:rsidR="007C6A5F" w:rsidRDefault="007C6A5F" w:rsidP="007C6A5F">
      <w:pPr>
        <w:pStyle w:val="Source"/>
      </w:pPr>
      <w:r>
        <w:rPr>
          <w:i/>
        </w:rPr>
        <w:t>Source</w:t>
      </w:r>
      <w:r w:rsidRPr="00E4232C">
        <w:rPr>
          <w:i/>
        </w:rPr>
        <w:t>:</w:t>
      </w:r>
      <w:r>
        <w:t xml:space="preserve"> DCWC estimates.</w:t>
      </w:r>
    </w:p>
    <w:p w:rsidR="007C6A5F" w:rsidRDefault="007C6A5F" w:rsidP="000F1718">
      <w:pPr>
        <w:pStyle w:val="Caption"/>
        <w:ind w:left="284" w:hanging="284"/>
      </w:pPr>
      <w:r w:rsidRPr="00773730">
        <w:lastRenderedPageBreak/>
        <w:fldChar w:fldCharType="begin"/>
      </w:r>
      <w:r w:rsidRPr="00773730">
        <w:instrText xml:space="preserve"> IF 1 = 1 "</w:instrText>
      </w:r>
      <w:r w:rsidRPr="00773730">
        <w:fldChar w:fldCharType="begin"/>
      </w:r>
      <w:r w:rsidRPr="00773730">
        <w:instrText xml:space="preserve"> IF </w:instrText>
      </w:r>
      <w:r>
        <w:rPr>
          <w:noProof/>
        </w:rPr>
        <w:fldChar w:fldCharType="begin"/>
      </w:r>
      <w:r>
        <w:rPr>
          <w:noProof/>
        </w:rPr>
        <w:instrText xml:space="preserve"> STYLEREF "Heading 6" \l \n </w:instrText>
      </w:r>
      <w:r>
        <w:rPr>
          <w:noProof/>
        </w:rPr>
        <w:fldChar w:fldCharType="separate"/>
      </w:r>
      <w:r>
        <w:rPr>
          <w:noProof/>
        </w:rPr>
        <w:instrText>I</w:instrText>
      </w:r>
      <w:r>
        <w:rPr>
          <w:noProof/>
        </w:rPr>
        <w:fldChar w:fldCharType="end"/>
      </w:r>
      <w:r w:rsidRPr="00773730">
        <w:instrText xml:space="preserve"> = 0 "</w:instrText>
      </w:r>
      <w:r w:rsidRPr="00773730">
        <w:fldChar w:fldCharType="begin"/>
      </w:r>
      <w:r w:rsidRPr="00773730">
        <w:instrText xml:space="preserve"> IF </w:instrText>
      </w:r>
      <w:r>
        <w:rPr>
          <w:noProof/>
        </w:rPr>
        <w:fldChar w:fldCharType="begin"/>
      </w:r>
      <w:r>
        <w:rPr>
          <w:noProof/>
        </w:rPr>
        <w:instrText xml:space="preserve"> STYLEREF "Heading 1" \l \n </w:instrText>
      </w:r>
      <w:r>
        <w:rPr>
          <w:noProof/>
        </w:rPr>
        <w:fldChar w:fldCharType="separate"/>
      </w:r>
      <w:r w:rsidRPr="00773730">
        <w:rPr>
          <w:noProof/>
        </w:rPr>
        <w:instrText>0</w:instrText>
      </w:r>
      <w:r>
        <w:rPr>
          <w:noProof/>
        </w:rPr>
        <w:fldChar w:fldCharType="end"/>
      </w:r>
      <w:r w:rsidRPr="00773730">
        <w:instrText xml:space="preserve"> = 0 "" "</w:instrText>
      </w:r>
      <w:r>
        <w:rPr>
          <w:noProof/>
        </w:rPr>
        <w:fldChar w:fldCharType="begin"/>
      </w:r>
      <w:r>
        <w:rPr>
          <w:noProof/>
        </w:rPr>
        <w:instrText xml:space="preserve"> STYLEREF "Heading 1" \l \n </w:instrText>
      </w:r>
      <w:r>
        <w:rPr>
          <w:noProof/>
        </w:rPr>
        <w:fldChar w:fldCharType="separate"/>
      </w:r>
      <w:r w:rsidRPr="00773730">
        <w:rPr>
          <w:noProof/>
        </w:rPr>
        <w:instrText>2</w:instrText>
      </w:r>
      <w:r>
        <w:rPr>
          <w:noProof/>
        </w:rPr>
        <w:fldChar w:fldCharType="end"/>
      </w:r>
      <w:r w:rsidRPr="00773730">
        <w:instrText xml:space="preserve">." </w:instrText>
      </w:r>
      <w:r w:rsidRPr="00773730">
        <w:fldChar w:fldCharType="end"/>
      </w:r>
      <w:r w:rsidRPr="00773730">
        <w:instrText>" "</w:instrText>
      </w:r>
      <w:r>
        <w:rPr>
          <w:noProof/>
        </w:rPr>
        <w:fldChar w:fldCharType="begin"/>
      </w:r>
      <w:r>
        <w:rPr>
          <w:noProof/>
        </w:rPr>
        <w:instrText xml:space="preserve"> STYLEREF "Heading 6" \l \n </w:instrText>
      </w:r>
      <w:r>
        <w:rPr>
          <w:noProof/>
        </w:rPr>
        <w:fldChar w:fldCharType="separate"/>
      </w:r>
      <w:r>
        <w:rPr>
          <w:noProof/>
        </w:rPr>
        <w:instrText>I</w:instrText>
      </w:r>
      <w:r>
        <w:rPr>
          <w:noProof/>
        </w:rPr>
        <w:fldChar w:fldCharType="end"/>
      </w:r>
      <w:r w:rsidRPr="00773730">
        <w:instrText xml:space="preserve">." </w:instrText>
      </w:r>
      <w:r w:rsidRPr="00773730">
        <w:fldChar w:fldCharType="separate"/>
      </w:r>
      <w:r>
        <w:rPr>
          <w:noProof/>
        </w:rPr>
        <w:instrText>I</w:instrText>
      </w:r>
      <w:r w:rsidRPr="00773730">
        <w:rPr>
          <w:noProof/>
        </w:rPr>
        <w:instrText>.</w:instrText>
      </w:r>
      <w:r w:rsidRPr="00773730">
        <w:fldChar w:fldCharType="end"/>
      </w:r>
      <w:r w:rsidRPr="00773730">
        <w:fldChar w:fldCharType="begin"/>
      </w:r>
      <w:r w:rsidRPr="00773730">
        <w:instrText xml:space="preserve"> SEQ Item \* ARABIC \s </w:instrText>
      </w:r>
      <w:r w:rsidRPr="00773730">
        <w:fldChar w:fldCharType="begin"/>
      </w:r>
      <w:r w:rsidRPr="00773730">
        <w:instrText xml:space="preserve"> IF </w:instrText>
      </w:r>
      <w:r>
        <w:rPr>
          <w:noProof/>
        </w:rPr>
        <w:fldChar w:fldCharType="begin"/>
      </w:r>
      <w:r>
        <w:rPr>
          <w:noProof/>
        </w:rPr>
        <w:instrText xml:space="preserve"> STYLEREF "Heading 6" \l \n </w:instrText>
      </w:r>
      <w:r>
        <w:rPr>
          <w:noProof/>
        </w:rPr>
        <w:fldChar w:fldCharType="separate"/>
      </w:r>
      <w:r>
        <w:rPr>
          <w:noProof/>
        </w:rPr>
        <w:instrText>I</w:instrText>
      </w:r>
      <w:r>
        <w:rPr>
          <w:noProof/>
        </w:rPr>
        <w:fldChar w:fldCharType="end"/>
      </w:r>
      <w:r w:rsidRPr="00773730">
        <w:instrText xml:space="preserve"> = 0 "</w:instrText>
      </w:r>
      <w:r w:rsidRPr="00773730">
        <w:fldChar w:fldCharType="begin"/>
      </w:r>
      <w:r w:rsidRPr="00773730">
        <w:instrText xml:space="preserve"> IF </w:instrText>
      </w:r>
      <w:r>
        <w:rPr>
          <w:noProof/>
        </w:rPr>
        <w:fldChar w:fldCharType="begin"/>
      </w:r>
      <w:r>
        <w:rPr>
          <w:noProof/>
        </w:rPr>
        <w:instrText xml:space="preserve"> STYLEREF "Heading 1" \l \n </w:instrText>
      </w:r>
      <w:r>
        <w:rPr>
          <w:noProof/>
        </w:rPr>
        <w:fldChar w:fldCharType="separate"/>
      </w:r>
      <w:r w:rsidRPr="00773730">
        <w:rPr>
          <w:noProof/>
        </w:rPr>
        <w:instrText>0</w:instrText>
      </w:r>
      <w:r>
        <w:rPr>
          <w:noProof/>
        </w:rPr>
        <w:fldChar w:fldCharType="end"/>
      </w:r>
      <w:r w:rsidRPr="00773730">
        <w:instrText xml:space="preserve"> = 0 "" "1" </w:instrText>
      </w:r>
      <w:r w:rsidRPr="00773730">
        <w:fldChar w:fldCharType="end"/>
      </w:r>
      <w:r w:rsidRPr="00773730">
        <w:instrText xml:space="preserve">" "6" </w:instrText>
      </w:r>
      <w:r w:rsidRPr="00773730">
        <w:fldChar w:fldCharType="separate"/>
      </w:r>
      <w:r w:rsidRPr="00773730">
        <w:rPr>
          <w:noProof/>
        </w:rPr>
        <w:instrText>6</w:instrText>
      </w:r>
      <w:r w:rsidRPr="00773730">
        <w:fldChar w:fldCharType="end"/>
      </w:r>
      <w:r w:rsidRPr="00773730">
        <w:instrText xml:space="preserve"> </w:instrText>
      </w:r>
      <w:r w:rsidRPr="00773730">
        <w:fldChar w:fldCharType="separate"/>
      </w:r>
      <w:r>
        <w:rPr>
          <w:noProof/>
        </w:rPr>
        <w:instrText>7</w:instrText>
      </w:r>
      <w:r w:rsidRPr="00773730">
        <w:fldChar w:fldCharType="end"/>
      </w:r>
      <w:r w:rsidRPr="00773730">
        <w:instrText xml:space="preserve">" "" </w:instrText>
      </w:r>
      <w:r w:rsidRPr="00773730">
        <w:fldChar w:fldCharType="separate"/>
      </w:r>
      <w:bookmarkStart w:id="8265" w:name="_Caption9614"/>
      <w:bookmarkStart w:id="8266" w:name="_Caption8776"/>
      <w:bookmarkStart w:id="8267" w:name="_Caption9637"/>
      <w:bookmarkStart w:id="8268" w:name="_Caption1595"/>
      <w:bookmarkStart w:id="8269" w:name="_Toc44598614"/>
      <w:bookmarkStart w:id="8270" w:name="_Toc45654245"/>
      <w:r w:rsidR="00272AF3">
        <w:rPr>
          <w:noProof/>
        </w:rPr>
        <w:t>I</w:t>
      </w:r>
      <w:r w:rsidR="00272AF3" w:rsidRPr="00773730">
        <w:rPr>
          <w:noProof/>
        </w:rPr>
        <w:t>.</w:t>
      </w:r>
      <w:r w:rsidR="00272AF3">
        <w:rPr>
          <w:noProof/>
        </w:rPr>
        <w:t>7</w:t>
      </w:r>
      <w:bookmarkEnd w:id="8265"/>
      <w:bookmarkEnd w:id="8266"/>
      <w:bookmarkEnd w:id="8267"/>
      <w:bookmarkEnd w:id="8268"/>
      <w:r w:rsidRPr="00773730">
        <w:fldChar w:fldCharType="end"/>
      </w:r>
      <w:r w:rsidRPr="00773730">
        <w:tab/>
        <w:t xml:space="preserve">Estimated </w:t>
      </w:r>
      <w:r>
        <w:t>cost to comply with LHDG standards: Apartment building with 4 or more storeys</w:t>
      </w:r>
      <w:bookmarkEnd w:id="8269"/>
      <w:bookmarkEnd w:id="8270"/>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I.7"/>
      </w:tblPr>
      <w:tblGrid>
        <w:gridCol w:w="3633"/>
        <w:gridCol w:w="1435"/>
        <w:gridCol w:w="1435"/>
        <w:gridCol w:w="1435"/>
      </w:tblGrid>
      <w:tr w:rsidR="007C6A5F" w:rsidRPr="00E90745" w:rsidTr="00DD2346">
        <w:trPr>
          <w:trHeight w:val="230"/>
          <w:tblHeader/>
        </w:trPr>
        <w:tc>
          <w:tcPr>
            <w:tcW w:w="3633" w:type="dxa"/>
            <w:shd w:val="clear" w:color="auto" w:fill="6F6652" w:themeFill="accent5"/>
          </w:tcPr>
          <w:p w:rsidR="007C6A5F" w:rsidRPr="00E90745" w:rsidRDefault="007C6A5F" w:rsidP="00C36DA4">
            <w:pPr>
              <w:pStyle w:val="TableDataColumnHeading"/>
              <w:jc w:val="left"/>
            </w:pPr>
            <w:r>
              <w:t>Design element</w:t>
            </w:r>
          </w:p>
        </w:tc>
        <w:tc>
          <w:tcPr>
            <w:tcW w:w="1435" w:type="dxa"/>
            <w:shd w:val="clear" w:color="auto" w:fill="6F6652" w:themeFill="accent5"/>
          </w:tcPr>
          <w:p w:rsidR="007C6A5F" w:rsidRDefault="007C6A5F" w:rsidP="00C36DA4">
            <w:pPr>
              <w:pStyle w:val="TableDataColumnHeading"/>
            </w:pPr>
            <w:r>
              <w:t>Silver</w:t>
            </w:r>
          </w:p>
          <w:p w:rsidR="008C121C" w:rsidRPr="00E90745" w:rsidRDefault="008C121C" w:rsidP="00C36DA4">
            <w:pPr>
              <w:pStyle w:val="TableDataColumnHeading"/>
            </w:pPr>
            <w:r>
              <w:t>($)</w:t>
            </w:r>
          </w:p>
        </w:tc>
        <w:tc>
          <w:tcPr>
            <w:tcW w:w="1435" w:type="dxa"/>
            <w:shd w:val="clear" w:color="auto" w:fill="6F6652" w:themeFill="accent5"/>
          </w:tcPr>
          <w:p w:rsidR="007C6A5F" w:rsidRDefault="007C6A5F" w:rsidP="00C36DA4">
            <w:pPr>
              <w:pStyle w:val="TableDataColumnHeading"/>
            </w:pPr>
            <w:r>
              <w:t>Gold</w:t>
            </w:r>
          </w:p>
          <w:p w:rsidR="008C121C" w:rsidRPr="00E90745" w:rsidRDefault="008C121C" w:rsidP="00C36DA4">
            <w:pPr>
              <w:pStyle w:val="TableDataColumnHeading"/>
            </w:pPr>
            <w:r>
              <w:t>($)</w:t>
            </w:r>
          </w:p>
        </w:tc>
        <w:tc>
          <w:tcPr>
            <w:tcW w:w="1435" w:type="dxa"/>
            <w:shd w:val="clear" w:color="auto" w:fill="6F6652" w:themeFill="accent5"/>
          </w:tcPr>
          <w:p w:rsidR="007C6A5F" w:rsidRDefault="007C6A5F" w:rsidP="00C36DA4">
            <w:pPr>
              <w:pStyle w:val="TableDataColumnHeading"/>
            </w:pPr>
            <w:r>
              <w:t>Gold+</w:t>
            </w:r>
          </w:p>
          <w:p w:rsidR="008C121C" w:rsidRPr="00E90745" w:rsidRDefault="008C121C" w:rsidP="00C36DA4">
            <w:pPr>
              <w:pStyle w:val="TableDataColumnHeading"/>
            </w:pPr>
            <w:r>
              <w:t>($)</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1A. Step-free path to dwelling (option A)</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4 373</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7 713</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7 713</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1B. Single-step access to dwelling (option B)</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2. Dwelling entrance</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40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40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3. Internal doors and corridors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819</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2 966</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2 966</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4. Toilet on ground level</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695</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2 391</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2 391</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5. Shower</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1 900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1 900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6. Reinforcement of bathroom and toilet walls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124</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124</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124</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7. Internal stairways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8. Kitchen</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737</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1 720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9. Laundry</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369</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1 372</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10. Ground-level bedroom space</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11. Light switches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12. Door handles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r>
      <w:tr w:rsidR="007C6A5F" w:rsidTr="000F1718">
        <w:trPr>
          <w:trHeight w:val="230"/>
        </w:trPr>
        <w:tc>
          <w:tcPr>
            <w:tcW w:w="3633"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jc w:val="left"/>
              <w:rPr>
                <w:lang w:val="en-GB"/>
              </w:rPr>
            </w:pPr>
            <w:r>
              <w:rPr>
                <w:lang w:val="en-GB"/>
              </w:rPr>
              <w:t>13. Window sills</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DataEntries"/>
              <w:rPr>
                <w:sz w:val="18"/>
              </w:rPr>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0</w:t>
            </w:r>
          </w:p>
        </w:tc>
        <w:tc>
          <w:tcPr>
            <w:tcW w:w="1435" w:type="dxa"/>
            <w:tcBorders>
              <w:top w:val="single" w:sz="8" w:space="0" w:color="FFFFFF" w:themeColor="background1"/>
              <w:bottom w:val="single" w:sz="8" w:space="0" w:color="FFFFFF" w:themeColor="background1"/>
            </w:tcBorders>
            <w:shd w:val="clear" w:color="auto" w:fill="E9E8E5" w:themeFill="background2"/>
          </w:tcPr>
          <w:p w:rsidR="007C6A5F" w:rsidRPr="00B62B0D" w:rsidRDefault="007C6A5F" w:rsidP="00C36DA4">
            <w:pPr>
              <w:pStyle w:val="TableDataEntries"/>
            </w:pPr>
            <w:r>
              <w:rPr>
                <w:szCs w:val="16"/>
              </w:rPr>
              <w:t xml:space="preserve"> 166</w:t>
            </w:r>
          </w:p>
        </w:tc>
      </w:tr>
      <w:tr w:rsidR="007C6A5F" w:rsidRPr="0033389D" w:rsidTr="008819BB">
        <w:trPr>
          <w:trHeight w:val="230"/>
        </w:trPr>
        <w:tc>
          <w:tcPr>
            <w:tcW w:w="3633" w:type="dxa"/>
            <w:tcBorders>
              <w:top w:val="single" w:sz="8" w:space="0" w:color="FFFFFF" w:themeColor="background1"/>
              <w:bottom w:val="single" w:sz="8" w:space="0" w:color="FFFFFF" w:themeColor="background1"/>
            </w:tcBorders>
            <w:shd w:val="clear" w:color="auto" w:fill="C2DADB" w:themeFill="accent6" w:themeFillTint="99"/>
          </w:tcPr>
          <w:p w:rsidR="007C6A5F" w:rsidRPr="0033389D" w:rsidRDefault="007C6A5F" w:rsidP="00C36DA4">
            <w:pPr>
              <w:pStyle w:val="TableDataEntries"/>
              <w:jc w:val="left"/>
              <w:rPr>
                <w:rFonts w:ascii="Franklin Gothic Demi" w:hAnsi="Franklin Gothic Demi"/>
                <w:lang w:val="en-GB"/>
              </w:rPr>
            </w:pPr>
            <w:r w:rsidRPr="0033389D">
              <w:rPr>
                <w:rFonts w:ascii="Franklin Gothic Demi" w:hAnsi="Franklin Gothic Demi"/>
                <w:lang w:val="en-GB"/>
              </w:rPr>
              <w:t>Total (Option A)</w:t>
            </w:r>
          </w:p>
        </w:tc>
        <w:tc>
          <w:tcPr>
            <w:tcW w:w="1435" w:type="dxa"/>
            <w:tcBorders>
              <w:top w:val="single" w:sz="8" w:space="0" w:color="FFFFFF" w:themeColor="background1"/>
              <w:bottom w:val="single" w:sz="8" w:space="0" w:color="FFFFFF" w:themeColor="background1"/>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6 011</w:t>
            </w:r>
          </w:p>
        </w:tc>
        <w:tc>
          <w:tcPr>
            <w:tcW w:w="1435" w:type="dxa"/>
            <w:tcBorders>
              <w:top w:val="single" w:sz="8" w:space="0" w:color="FFFFFF" w:themeColor="background1"/>
              <w:bottom w:val="single" w:sz="8" w:space="0" w:color="FFFFFF" w:themeColor="background1"/>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16 239</w:t>
            </w:r>
          </w:p>
        </w:tc>
        <w:tc>
          <w:tcPr>
            <w:tcW w:w="1435" w:type="dxa"/>
            <w:tcBorders>
              <w:top w:val="single" w:sz="8" w:space="0" w:color="FFFFFF" w:themeColor="background1"/>
              <w:bottom w:val="single" w:sz="8" w:space="0" w:color="FFFFFF" w:themeColor="background1"/>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18 391</w:t>
            </w:r>
          </w:p>
        </w:tc>
      </w:tr>
      <w:tr w:rsidR="007C6A5F" w:rsidRPr="0033389D" w:rsidTr="008819BB">
        <w:trPr>
          <w:trHeight w:val="230"/>
        </w:trPr>
        <w:tc>
          <w:tcPr>
            <w:tcW w:w="3633" w:type="dxa"/>
            <w:tcBorders>
              <w:top w:val="single" w:sz="8" w:space="0" w:color="FFFFFF" w:themeColor="background1"/>
              <w:bottom w:val="single" w:sz="4" w:space="0" w:color="6F6652" w:themeColor="accent5"/>
            </w:tcBorders>
            <w:shd w:val="clear" w:color="auto" w:fill="C2DADB" w:themeFill="accent6" w:themeFillTint="99"/>
          </w:tcPr>
          <w:p w:rsidR="007C6A5F" w:rsidRPr="0033389D" w:rsidRDefault="007C6A5F" w:rsidP="00C36DA4">
            <w:pPr>
              <w:pStyle w:val="TableDataEntries"/>
              <w:jc w:val="left"/>
              <w:rPr>
                <w:rFonts w:ascii="Franklin Gothic Demi" w:hAnsi="Franklin Gothic Demi"/>
                <w:lang w:val="en-GB"/>
              </w:rPr>
            </w:pPr>
            <w:r w:rsidRPr="0033389D">
              <w:rPr>
                <w:rFonts w:ascii="Franklin Gothic Demi" w:hAnsi="Franklin Gothic Demi"/>
                <w:lang w:val="en-GB"/>
              </w:rPr>
              <w:t>Total (Option B)</w:t>
            </w:r>
          </w:p>
        </w:tc>
        <w:tc>
          <w:tcPr>
            <w:tcW w:w="1435" w:type="dxa"/>
            <w:tcBorders>
              <w:top w:val="single" w:sz="8" w:space="0" w:color="FFFFFF" w:themeColor="background1"/>
              <w:bottom w:val="single" w:sz="4" w:space="0" w:color="6F6652" w:themeColor="accent5"/>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1 637</w:t>
            </w:r>
          </w:p>
        </w:tc>
        <w:tc>
          <w:tcPr>
            <w:tcW w:w="1435" w:type="dxa"/>
            <w:tcBorders>
              <w:top w:val="single" w:sz="8" w:space="0" w:color="FFFFFF" w:themeColor="background1"/>
              <w:bottom w:val="single" w:sz="4" w:space="0" w:color="6F6652" w:themeColor="accent5"/>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8 526</w:t>
            </w:r>
          </w:p>
        </w:tc>
        <w:tc>
          <w:tcPr>
            <w:tcW w:w="1435" w:type="dxa"/>
            <w:tcBorders>
              <w:top w:val="single" w:sz="8" w:space="0" w:color="FFFFFF" w:themeColor="background1"/>
              <w:bottom w:val="single" w:sz="4" w:space="0" w:color="6F6652" w:themeColor="accent5"/>
            </w:tcBorders>
            <w:shd w:val="clear" w:color="auto" w:fill="C2DADB" w:themeFill="accent6" w:themeFillTint="99"/>
          </w:tcPr>
          <w:p w:rsidR="007C6A5F" w:rsidRPr="0033389D" w:rsidRDefault="007C6A5F" w:rsidP="00C36DA4">
            <w:pPr>
              <w:pStyle w:val="TableDataEntries"/>
              <w:rPr>
                <w:rFonts w:ascii="Franklin Gothic Demi" w:hAnsi="Franklin Gothic Demi"/>
              </w:rPr>
            </w:pPr>
            <w:r w:rsidRPr="0033389D">
              <w:rPr>
                <w:rFonts w:ascii="Franklin Gothic Demi" w:hAnsi="Franklin Gothic Demi"/>
                <w:szCs w:val="16"/>
              </w:rPr>
              <w:t>10 678</w:t>
            </w:r>
          </w:p>
        </w:tc>
      </w:tr>
    </w:tbl>
    <w:p w:rsidR="007C6A5F" w:rsidRDefault="007C6A5F" w:rsidP="007C6A5F">
      <w:pPr>
        <w:pStyle w:val="Source"/>
      </w:pPr>
      <w:r>
        <w:rPr>
          <w:i/>
        </w:rPr>
        <w:t>Source</w:t>
      </w:r>
      <w:r w:rsidRPr="00E4232C">
        <w:rPr>
          <w:i/>
        </w:rPr>
        <w:t>:</w:t>
      </w:r>
      <w:r>
        <w:t xml:space="preserve"> DCWC estimates.</w:t>
      </w:r>
    </w:p>
    <w:p w:rsidR="007C6A5F" w:rsidRPr="00425547" w:rsidRDefault="007C6A5F" w:rsidP="007C6A5F">
      <w:pPr>
        <w:pStyle w:val="BodyText"/>
      </w:pPr>
    </w:p>
    <w:p w:rsidR="007C6A5F" w:rsidRDefault="007C6A5F" w:rsidP="007C6A5F">
      <w:pPr>
        <w:spacing w:before="140"/>
      </w:pPr>
      <w:r>
        <w:br w:type="page"/>
      </w:r>
    </w:p>
    <w:p w:rsidR="007C6A5F" w:rsidRDefault="007C6A5F" w:rsidP="007C6A5F">
      <w:pPr>
        <w:pStyle w:val="Heading6"/>
        <w:numPr>
          <w:ilvl w:val="5"/>
          <w:numId w:val="5"/>
        </w:numPr>
      </w:pPr>
      <w:bookmarkStart w:id="8271" w:name="_Toc32321782"/>
      <w:bookmarkStart w:id="8272" w:name="_Ref32942717"/>
      <w:bookmarkStart w:id="8273" w:name="_Toc44598472"/>
      <w:bookmarkStart w:id="8274" w:name="_Toc45654103"/>
      <w:bookmarkStart w:id="8275" w:name="_Ref31915299"/>
      <w:r>
        <w:lastRenderedPageBreak/>
        <w:t>Space costs estimates</w:t>
      </w:r>
      <w:bookmarkEnd w:id="8271"/>
      <w:bookmarkEnd w:id="8272"/>
      <w:bookmarkEnd w:id="8273"/>
      <w:bookmarkEnd w:id="8274"/>
    </w:p>
    <w:p w:rsidR="007C6A5F" w:rsidRDefault="007C6A5F" w:rsidP="007C6A5F">
      <w:pPr>
        <w:pStyle w:val="BodyText"/>
        <w:rPr>
          <w:lang w:bidi="fa-IR"/>
        </w:rPr>
      </w:pPr>
      <w:r>
        <w:rPr>
          <w:lang w:bidi="fa-IR"/>
        </w:rPr>
        <w:t>In addition to construction costs, incorporating accessibility standards into the NCC will impact the space of buildings. To estimate these impacts, we use estimates from DCWC, land values data and data from our own survey.</w:t>
      </w:r>
    </w:p>
    <w:p w:rsidR="007C6A5F" w:rsidRDefault="007C6A5F" w:rsidP="007C6A5F">
      <w:pPr>
        <w:pStyle w:val="Heading7"/>
        <w:numPr>
          <w:ilvl w:val="6"/>
          <w:numId w:val="5"/>
        </w:numPr>
        <w:rPr>
          <w:lang w:bidi="fa-IR"/>
        </w:rPr>
      </w:pPr>
      <w:r>
        <w:rPr>
          <w:lang w:bidi="fa-IR"/>
        </w:rPr>
        <w:t>Framing assumptions for understanding these impacts</w:t>
      </w:r>
    </w:p>
    <w:p w:rsidR="007C6A5F" w:rsidRDefault="007C6A5F" w:rsidP="007C6A5F">
      <w:pPr>
        <w:pStyle w:val="BodyText"/>
        <w:rPr>
          <w:lang w:bidi="fa-IR"/>
        </w:rPr>
      </w:pPr>
      <w:r>
        <w:rPr>
          <w:lang w:bidi="fa-IR"/>
        </w:rPr>
        <w:t>Based on their professional judgement, DCWC assume:</w:t>
      </w:r>
    </w:p>
    <w:p w:rsidR="007C6A5F" w:rsidRDefault="007C6A5F" w:rsidP="005A6F87">
      <w:pPr>
        <w:pStyle w:val="ListBullet"/>
        <w:numPr>
          <w:ilvl w:val="0"/>
          <w:numId w:val="17"/>
        </w:numPr>
        <w:rPr>
          <w:lang w:bidi="fa-IR"/>
        </w:rPr>
      </w:pPr>
      <w:r>
        <w:rPr>
          <w:lang w:bidi="fa-IR"/>
        </w:rPr>
        <w:t>Where townhouses and detached houses require more space to incorporate space changes, the footprint of these dwellings expand to incorporate this space. Therefore, we must value the cost of this additional space.</w:t>
      </w:r>
    </w:p>
    <w:p w:rsidR="007C6A5F" w:rsidRDefault="007C6A5F" w:rsidP="005A6F87">
      <w:pPr>
        <w:pStyle w:val="ListBullet"/>
        <w:numPr>
          <w:ilvl w:val="0"/>
          <w:numId w:val="17"/>
        </w:numPr>
        <w:rPr>
          <w:lang w:bidi="fa-IR"/>
        </w:rPr>
      </w:pPr>
      <w:r>
        <w:rPr>
          <w:lang w:bidi="fa-IR"/>
        </w:rPr>
        <w:t>Where apartments require more space, they are redesigned. In effect this involves space apportioning away from ‘living areas’ (loungerooms/dining areas, bedrooms) allocating it to ‘functional rooms’ (bathrooms, laundries, kitchens, etc.). Therefore, we must understand the lost amenity to buyers from having space reallocated in this way.</w:t>
      </w:r>
    </w:p>
    <w:p w:rsidR="007C6A5F" w:rsidRDefault="007C6A5F" w:rsidP="007C6A5F">
      <w:pPr>
        <w:pStyle w:val="ListBullet"/>
        <w:numPr>
          <w:ilvl w:val="0"/>
          <w:numId w:val="0"/>
        </w:numPr>
        <w:rPr>
          <w:lang w:bidi="fa-IR"/>
        </w:rPr>
      </w:pPr>
      <w:r>
        <w:rPr>
          <w:lang w:bidi="fa-IR"/>
        </w:rPr>
        <w:t xml:space="preserve">Where houses and townhouses expand in space, we assume the cost of this expansion is $506 per square metre (see table </w:t>
      </w:r>
      <w:r>
        <w:rPr>
          <w:lang w:bidi="fa-IR"/>
        </w:rPr>
        <w:fldChar w:fldCharType="begin"/>
      </w:r>
      <w:r>
        <w:rPr>
          <w:lang w:bidi="fa-IR"/>
        </w:rPr>
        <w:instrText xml:space="preserve"> REF _Caption2341 </w:instrText>
      </w:r>
      <w:r>
        <w:rPr>
          <w:lang w:bidi="fa-IR"/>
        </w:rPr>
        <w:fldChar w:fldCharType="separate"/>
      </w:r>
      <w:r>
        <w:rPr>
          <w:noProof/>
        </w:rPr>
        <w:t>5</w:t>
      </w:r>
      <w:r w:rsidRPr="00695C93">
        <w:rPr>
          <w:noProof/>
        </w:rPr>
        <w:t>.</w:t>
      </w:r>
      <w:r>
        <w:rPr>
          <w:noProof/>
        </w:rPr>
        <w:t>7</w:t>
      </w:r>
      <w:r>
        <w:rPr>
          <w:lang w:bidi="fa-IR"/>
        </w:rPr>
        <w:fldChar w:fldCharType="end"/>
      </w:r>
      <w:r>
        <w:rPr>
          <w:lang w:bidi="fa-IR"/>
        </w:rPr>
        <w:t xml:space="preserve">). Where apartments are reallocated, we assume the cost of this is $4 517 per square metre (see table </w:t>
      </w:r>
      <w:r>
        <w:rPr>
          <w:lang w:bidi="fa-IR"/>
        </w:rPr>
        <w:fldChar w:fldCharType="begin"/>
      </w:r>
      <w:r>
        <w:rPr>
          <w:lang w:bidi="fa-IR"/>
        </w:rPr>
        <w:instrText xml:space="preserve"> REF _Caption3296 </w:instrText>
      </w:r>
      <w:r>
        <w:rPr>
          <w:lang w:bidi="fa-IR"/>
        </w:rPr>
        <w:fldChar w:fldCharType="separate"/>
      </w:r>
      <w:r>
        <w:rPr>
          <w:noProof/>
        </w:rPr>
        <w:t>5</w:t>
      </w:r>
      <w:r w:rsidRPr="00695C93">
        <w:rPr>
          <w:noProof/>
        </w:rPr>
        <w:t>.</w:t>
      </w:r>
      <w:r>
        <w:rPr>
          <w:noProof/>
        </w:rPr>
        <w:t>8</w:t>
      </w:r>
      <w:r>
        <w:rPr>
          <w:lang w:bidi="fa-IR"/>
        </w:rPr>
        <w:fldChar w:fldCharType="end"/>
      </w:r>
      <w:r>
        <w:rPr>
          <w:lang w:bidi="fa-IR"/>
        </w:rPr>
        <w:t xml:space="preserve">). </w:t>
      </w:r>
    </w:p>
    <w:p w:rsidR="007C6A5F" w:rsidRDefault="007C6A5F" w:rsidP="007C6A5F">
      <w:pPr>
        <w:pStyle w:val="Heading7"/>
        <w:numPr>
          <w:ilvl w:val="6"/>
          <w:numId w:val="5"/>
        </w:numPr>
        <w:rPr>
          <w:lang w:bidi="fa-IR"/>
        </w:rPr>
      </w:pPr>
      <w:r>
        <w:rPr>
          <w:lang w:bidi="fa-IR"/>
        </w:rPr>
        <w:t>Underlying assumptions for estimating the space impacts</w:t>
      </w:r>
    </w:p>
    <w:p w:rsidR="007C6A5F" w:rsidRDefault="007C6A5F" w:rsidP="007C6A5F">
      <w:pPr>
        <w:pStyle w:val="BodyText"/>
        <w:rPr>
          <w:lang w:bidi="fa-IR"/>
        </w:rPr>
      </w:pPr>
      <w:r>
        <w:rPr>
          <w:lang w:bidi="fa-IR"/>
        </w:rPr>
        <w:t xml:space="preserve">Based on their professional judgement, DCWC estimates the key drivers of space impacts of LHDG standards for each design element for houses and apartments (see table </w:t>
      </w:r>
      <w:r w:rsidRPr="00CA718E">
        <w:rPr>
          <w:lang w:bidi="fa-IR"/>
        </w:rPr>
        <w:t>J.1).</w:t>
      </w:r>
    </w:p>
    <w:p w:rsidR="007C6A5F" w:rsidRDefault="007C6A5F" w:rsidP="007C6A5F">
      <w:pPr>
        <w:pStyle w:val="BodyText"/>
        <w:rPr>
          <w:lang w:bidi="fa-IR"/>
        </w:rPr>
      </w:pPr>
      <w:r>
        <w:rPr>
          <w:lang w:bidi="fa-IR"/>
        </w:rPr>
        <w:t>As can be seen from the table, there are multiple entries (lines) for one element (same numbering) which reflect different ways to meet the required standard or different baselines (for example for those Silver compliant entry element, the required space to meet Gold or Gold+ standard is less than those not complying with the Silver standard).</w:t>
      </w:r>
    </w:p>
    <w:p w:rsidR="0033389D" w:rsidRDefault="0033389D" w:rsidP="007C6A5F">
      <w:pPr>
        <w:pStyle w:val="Caption"/>
      </w:pPr>
      <w:bookmarkStart w:id="8276" w:name="_Toc32321909"/>
      <w:r>
        <w:br w:type="page"/>
      </w:r>
    </w:p>
    <w:p w:rsidR="007C6A5F" w:rsidRDefault="007C6A5F" w:rsidP="007C6A5F">
      <w:pPr>
        <w:pStyle w:val="Caption"/>
        <w:rPr>
          <w:noProof/>
        </w:rPr>
      </w:pPr>
      <w:r w:rsidRPr="00773730">
        <w:lastRenderedPageBreak/>
        <w:fldChar w:fldCharType="begin"/>
      </w:r>
      <w:r w:rsidRPr="00773730">
        <w:instrText xml:space="preserve"> IF 1 = 1 "</w:instrText>
      </w:r>
      <w:r w:rsidRPr="00773730">
        <w:fldChar w:fldCharType="begin"/>
      </w:r>
      <w:r w:rsidRPr="00773730">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773730">
        <w:instrText xml:space="preserve"> = 0 "</w:instrText>
      </w:r>
      <w:r w:rsidRPr="00773730">
        <w:fldChar w:fldCharType="begin"/>
      </w:r>
      <w:r w:rsidRPr="00773730">
        <w:instrText xml:space="preserve"> IF </w:instrText>
      </w:r>
      <w:r>
        <w:rPr>
          <w:noProof/>
        </w:rPr>
        <w:fldChar w:fldCharType="begin"/>
      </w:r>
      <w:r>
        <w:rPr>
          <w:noProof/>
        </w:rPr>
        <w:instrText xml:space="preserve"> STYLEREF "Heading 1" \l \n </w:instrText>
      </w:r>
      <w:r>
        <w:rPr>
          <w:noProof/>
        </w:rPr>
        <w:fldChar w:fldCharType="separate"/>
      </w:r>
      <w:r w:rsidRPr="00773730">
        <w:rPr>
          <w:noProof/>
        </w:rPr>
        <w:instrText>0</w:instrText>
      </w:r>
      <w:r>
        <w:rPr>
          <w:noProof/>
        </w:rPr>
        <w:fldChar w:fldCharType="end"/>
      </w:r>
      <w:r w:rsidRPr="00773730">
        <w:instrText xml:space="preserve"> = 0 "" "</w:instrText>
      </w:r>
      <w:r>
        <w:rPr>
          <w:noProof/>
        </w:rPr>
        <w:fldChar w:fldCharType="begin"/>
      </w:r>
      <w:r>
        <w:rPr>
          <w:noProof/>
        </w:rPr>
        <w:instrText xml:space="preserve"> STYLEREF "Heading 1" \l \n </w:instrText>
      </w:r>
      <w:r>
        <w:rPr>
          <w:noProof/>
        </w:rPr>
        <w:fldChar w:fldCharType="separate"/>
      </w:r>
      <w:r w:rsidRPr="00773730">
        <w:rPr>
          <w:noProof/>
        </w:rPr>
        <w:instrText>2</w:instrText>
      </w:r>
      <w:r>
        <w:rPr>
          <w:noProof/>
        </w:rPr>
        <w:fldChar w:fldCharType="end"/>
      </w:r>
      <w:r w:rsidRPr="00773730">
        <w:instrText xml:space="preserve">." </w:instrText>
      </w:r>
      <w:r w:rsidRPr="00773730">
        <w:fldChar w:fldCharType="end"/>
      </w:r>
      <w:r w:rsidRPr="00773730">
        <w:instrText>"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773730">
        <w:instrText xml:space="preserve">." </w:instrText>
      </w:r>
      <w:r w:rsidRPr="00773730">
        <w:fldChar w:fldCharType="separate"/>
      </w:r>
      <w:r>
        <w:rPr>
          <w:noProof/>
        </w:rPr>
        <w:instrText>J</w:instrText>
      </w:r>
      <w:r w:rsidRPr="00773730">
        <w:rPr>
          <w:noProof/>
        </w:rPr>
        <w:instrText>.</w:instrText>
      </w:r>
      <w:r w:rsidRPr="00773730">
        <w:fldChar w:fldCharType="end"/>
      </w:r>
      <w:r w:rsidRPr="00773730">
        <w:fldChar w:fldCharType="begin"/>
      </w:r>
      <w:r w:rsidRPr="00773730">
        <w:instrText xml:space="preserve"> SEQ Item \* ARABIC \s </w:instrText>
      </w:r>
      <w:r w:rsidRPr="00773730">
        <w:fldChar w:fldCharType="begin"/>
      </w:r>
      <w:r w:rsidRPr="00773730">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773730">
        <w:instrText xml:space="preserve"> = 0 "</w:instrText>
      </w:r>
      <w:r w:rsidRPr="00773730">
        <w:fldChar w:fldCharType="begin"/>
      </w:r>
      <w:r w:rsidRPr="00773730">
        <w:instrText xml:space="preserve"> IF </w:instrText>
      </w:r>
      <w:r>
        <w:rPr>
          <w:noProof/>
        </w:rPr>
        <w:fldChar w:fldCharType="begin"/>
      </w:r>
      <w:r>
        <w:rPr>
          <w:noProof/>
        </w:rPr>
        <w:instrText xml:space="preserve"> STYLEREF "Heading 1" \l \n </w:instrText>
      </w:r>
      <w:r>
        <w:rPr>
          <w:noProof/>
        </w:rPr>
        <w:fldChar w:fldCharType="separate"/>
      </w:r>
      <w:r w:rsidRPr="00773730">
        <w:rPr>
          <w:noProof/>
        </w:rPr>
        <w:instrText>0</w:instrText>
      </w:r>
      <w:r>
        <w:rPr>
          <w:noProof/>
        </w:rPr>
        <w:fldChar w:fldCharType="end"/>
      </w:r>
      <w:r w:rsidRPr="00773730">
        <w:instrText xml:space="preserve"> = 0 "" "1" </w:instrText>
      </w:r>
      <w:r w:rsidRPr="00773730">
        <w:fldChar w:fldCharType="end"/>
      </w:r>
      <w:r w:rsidRPr="00773730">
        <w:instrText xml:space="preserve">" "6" </w:instrText>
      </w:r>
      <w:r w:rsidRPr="00773730">
        <w:fldChar w:fldCharType="separate"/>
      </w:r>
      <w:r w:rsidRPr="00773730">
        <w:rPr>
          <w:noProof/>
        </w:rPr>
        <w:instrText>6</w:instrText>
      </w:r>
      <w:r w:rsidRPr="00773730">
        <w:fldChar w:fldCharType="end"/>
      </w:r>
      <w:r w:rsidRPr="00773730">
        <w:instrText xml:space="preserve"> </w:instrText>
      </w:r>
      <w:r w:rsidRPr="00773730">
        <w:fldChar w:fldCharType="separate"/>
      </w:r>
      <w:r>
        <w:rPr>
          <w:noProof/>
        </w:rPr>
        <w:instrText>1</w:instrText>
      </w:r>
      <w:r w:rsidRPr="00773730">
        <w:fldChar w:fldCharType="end"/>
      </w:r>
      <w:r w:rsidRPr="00773730">
        <w:instrText xml:space="preserve">" "" </w:instrText>
      </w:r>
      <w:r w:rsidRPr="00773730">
        <w:fldChar w:fldCharType="separate"/>
      </w:r>
      <w:bookmarkStart w:id="8277" w:name="_Caption2527"/>
      <w:bookmarkStart w:id="8278" w:name="_Caption0191"/>
      <w:bookmarkStart w:id="8279" w:name="_Caption4675"/>
      <w:bookmarkStart w:id="8280" w:name="_Caption6955"/>
      <w:bookmarkStart w:id="8281" w:name="_Toc44598615"/>
      <w:bookmarkStart w:id="8282" w:name="_Toc45654246"/>
      <w:r w:rsidR="00272AF3">
        <w:rPr>
          <w:noProof/>
        </w:rPr>
        <w:t>J</w:t>
      </w:r>
      <w:r w:rsidR="00272AF3" w:rsidRPr="00773730">
        <w:rPr>
          <w:noProof/>
        </w:rPr>
        <w:t>.</w:t>
      </w:r>
      <w:r w:rsidR="00272AF3">
        <w:rPr>
          <w:noProof/>
        </w:rPr>
        <w:t>1</w:t>
      </w:r>
      <w:bookmarkEnd w:id="8277"/>
      <w:bookmarkEnd w:id="8278"/>
      <w:bookmarkEnd w:id="8279"/>
      <w:bookmarkEnd w:id="8280"/>
      <w:r w:rsidRPr="00773730">
        <w:fldChar w:fldCharType="end"/>
      </w:r>
      <w:r w:rsidRPr="00773730">
        <w:tab/>
      </w:r>
      <w:r>
        <w:tab/>
      </w:r>
      <w:r>
        <w:rPr>
          <w:noProof/>
        </w:rPr>
        <w:t>Potential impact of LHDG standards on the space of new dwellings</w:t>
      </w:r>
      <w:bookmarkEnd w:id="8276"/>
      <w:bookmarkEnd w:id="8281"/>
      <w:bookmarkEnd w:id="8282"/>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J.1"/>
        <w:tblDescription w:val="Potential impact of LHDG standards on the space of new dwellings"/>
      </w:tblPr>
      <w:tblGrid>
        <w:gridCol w:w="4820"/>
        <w:gridCol w:w="1039"/>
        <w:gridCol w:w="1039"/>
        <w:gridCol w:w="1040"/>
      </w:tblGrid>
      <w:tr w:rsidR="007C6A5F" w:rsidRPr="00AC2E57" w:rsidTr="00554883">
        <w:trPr>
          <w:trHeight w:val="252"/>
          <w:tblHeader/>
        </w:trPr>
        <w:tc>
          <w:tcPr>
            <w:tcW w:w="4820" w:type="dxa"/>
            <w:shd w:val="clear" w:color="auto" w:fill="6F6652" w:themeFill="accent5"/>
            <w:noWrap/>
            <w:hideMark/>
          </w:tcPr>
          <w:p w:rsidR="007C6A5F" w:rsidRPr="00167FC0" w:rsidRDefault="00FB6EFE" w:rsidP="0033389D">
            <w:pPr>
              <w:pStyle w:val="TableDataColumnHeading"/>
              <w:jc w:val="left"/>
            </w:pPr>
            <w:r>
              <w:t>Dwelling type</w:t>
            </w:r>
            <w:r w:rsidR="00DD2346">
              <w:t>/Design element</w:t>
            </w:r>
          </w:p>
        </w:tc>
        <w:tc>
          <w:tcPr>
            <w:tcW w:w="1039" w:type="dxa"/>
            <w:shd w:val="clear" w:color="auto" w:fill="6F6652" w:themeFill="accent5"/>
            <w:noWrap/>
            <w:hideMark/>
          </w:tcPr>
          <w:p w:rsidR="007C6A5F" w:rsidRDefault="007C6A5F" w:rsidP="0033389D">
            <w:pPr>
              <w:pStyle w:val="TableDataColumnHeading"/>
            </w:pPr>
            <w:r>
              <w:t>Silver</w:t>
            </w:r>
          </w:p>
          <w:p w:rsidR="005F17BE" w:rsidRPr="00167FC0" w:rsidRDefault="005F17BE" w:rsidP="0033389D">
            <w:pPr>
              <w:pStyle w:val="TableDataColumnHeading"/>
            </w:pPr>
            <w:r>
              <w:t>(sqm)</w:t>
            </w:r>
          </w:p>
        </w:tc>
        <w:tc>
          <w:tcPr>
            <w:tcW w:w="1039" w:type="dxa"/>
            <w:shd w:val="clear" w:color="auto" w:fill="6F6652" w:themeFill="accent5"/>
            <w:noWrap/>
            <w:hideMark/>
          </w:tcPr>
          <w:p w:rsidR="007C6A5F" w:rsidRDefault="007C6A5F" w:rsidP="0033389D">
            <w:pPr>
              <w:pStyle w:val="TableDataColumnHeading"/>
            </w:pPr>
            <w:r>
              <w:t>Gold</w:t>
            </w:r>
          </w:p>
          <w:p w:rsidR="005F17BE" w:rsidRPr="00167FC0" w:rsidRDefault="005F17BE" w:rsidP="0033389D">
            <w:pPr>
              <w:pStyle w:val="TableDataColumnHeading"/>
            </w:pPr>
            <w:r>
              <w:t>(sqm)</w:t>
            </w:r>
          </w:p>
        </w:tc>
        <w:tc>
          <w:tcPr>
            <w:tcW w:w="1040" w:type="dxa"/>
            <w:shd w:val="clear" w:color="auto" w:fill="6F6652" w:themeFill="accent5"/>
            <w:noWrap/>
            <w:hideMark/>
          </w:tcPr>
          <w:p w:rsidR="007C6A5F" w:rsidRDefault="007C6A5F" w:rsidP="0033389D">
            <w:pPr>
              <w:pStyle w:val="TableDataColumnHeading"/>
            </w:pPr>
            <w:r>
              <w:t>Gold +</w:t>
            </w:r>
          </w:p>
          <w:p w:rsidR="005F17BE" w:rsidRPr="00167FC0" w:rsidRDefault="005F17BE" w:rsidP="0033389D">
            <w:pPr>
              <w:pStyle w:val="TableDataColumnHeading"/>
            </w:pPr>
            <w:r>
              <w:t>(sqm)</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pPr>
            <w:r>
              <w:t xml:space="preserve">House: </w:t>
            </w:r>
            <w:r w:rsidR="007C6A5F">
              <w:t>1b. Larger car space</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0.78</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0.78</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0.78</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pPr>
            <w:r>
              <w:t xml:space="preserve">House: </w:t>
            </w:r>
            <w:r w:rsidR="007C6A5F">
              <w:t>1b. Larger space and increased height</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0.78</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0.78</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pPr>
            <w:r>
              <w:t xml:space="preserve">House: </w:t>
            </w:r>
            <w:r w:rsidR="007C6A5F">
              <w:t>2. Dwelling entrance - larger landing</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0.54</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0.92</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0.92</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pPr>
            <w:r>
              <w:t xml:space="preserve">House: </w:t>
            </w:r>
            <w:r w:rsidR="007C6A5F">
              <w:t>2. Dwelling entrance - less larger landing (from Silver compliant)</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0.38</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0.38</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pPr>
            <w:r>
              <w:t xml:space="preserve">House: </w:t>
            </w:r>
            <w:r w:rsidR="007C6A5F">
              <w:t>3. Wider doors and wider corridor</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0.50</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1.50</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1.50</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pPr>
            <w:r>
              <w:t xml:space="preserve">House: </w:t>
            </w:r>
            <w:r w:rsidR="007C6A5F">
              <w:t>3. Wider doors and less wider corridor (from Silver compliant)</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1.00</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1.00</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pPr>
            <w:r>
              <w:t xml:space="preserve">House: </w:t>
            </w:r>
            <w:r w:rsidR="007C6A5F">
              <w:t>4. Toilet - additional clear space with slider door design</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0.00</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0.54</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0.54</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pPr>
            <w:r>
              <w:t xml:space="preserve">House: </w:t>
            </w:r>
            <w:r w:rsidR="007C6A5F">
              <w:t>4. Toilet - additional clear space with swing door design</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1.39</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2.16</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2.16</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pPr>
            <w:r>
              <w:t xml:space="preserve">House: </w:t>
            </w:r>
            <w:r w:rsidR="007C6A5F">
              <w:t>4. New toilet with slider door design</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1.58</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2.10</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2.10</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pPr>
            <w:r>
              <w:t xml:space="preserve">House: </w:t>
            </w:r>
            <w:r w:rsidR="007C6A5F">
              <w:t>4. New toilet with swing door design</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2.34</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3.12</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3.12</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pPr>
            <w:r>
              <w:t xml:space="preserve">House: </w:t>
            </w:r>
            <w:r w:rsidR="007C6A5F">
              <w:t>5. Shower - additional space with slider door design</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1.53</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1.53</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pPr>
            <w:r>
              <w:t xml:space="preserve">House: </w:t>
            </w:r>
            <w:r w:rsidR="007C6A5F">
              <w:t>5. Shower - additional space with swing door design</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1.99</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1.99</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pPr>
            <w:r>
              <w:t xml:space="preserve">House: </w:t>
            </w:r>
            <w:r w:rsidR="007C6A5F">
              <w:t>5. New shower with slider door design</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3.15</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3.15</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pPr>
            <w:r>
              <w:t xml:space="preserve">House: </w:t>
            </w:r>
            <w:r w:rsidR="007C6A5F">
              <w:t>5. New shower with swing door design</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4.27</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4.27</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pPr>
            <w:r>
              <w:t xml:space="preserve">House: </w:t>
            </w:r>
            <w:r w:rsidR="007C6A5F">
              <w:t>7. Internal stairways</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1.35</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pPr>
            <w:r>
              <w:t>1.35</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rPr>
                <w:sz w:val="18"/>
              </w:rPr>
            </w:pPr>
            <w:r>
              <w:t xml:space="preserve">House: </w:t>
            </w:r>
            <w:r w:rsidR="007C6A5F">
              <w:t>8. Kitchen space</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1.08</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2.16</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rPr>
                <w:sz w:val="18"/>
              </w:rPr>
            </w:pPr>
            <w:r>
              <w:t xml:space="preserve">House: </w:t>
            </w:r>
            <w:r w:rsidR="007C6A5F">
              <w:t>8. Kitchen space (from Gold to Gold+)</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1.08</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rPr>
                <w:sz w:val="18"/>
              </w:rPr>
            </w:pPr>
            <w:r>
              <w:t xml:space="preserve">House: </w:t>
            </w:r>
            <w:r w:rsidR="007C6A5F">
              <w:t>9. Laundry space</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0.54</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1.17</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rPr>
                <w:sz w:val="18"/>
              </w:rPr>
            </w:pPr>
            <w:r>
              <w:t xml:space="preserve">House: </w:t>
            </w:r>
            <w:r w:rsidR="007C6A5F">
              <w:t>9. Laundry space (from Gold to Gold+)</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0.63</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rPr>
                <w:sz w:val="18"/>
              </w:rPr>
            </w:pPr>
            <w:r>
              <w:t xml:space="preserve">Apartment: </w:t>
            </w:r>
            <w:r w:rsidR="007C6A5F">
              <w:t>3. Wider corridor</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0.60</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1.80</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1.80</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rPr>
                <w:sz w:val="18"/>
              </w:rPr>
            </w:pPr>
            <w:r>
              <w:t xml:space="preserve">Apartment: </w:t>
            </w:r>
            <w:r w:rsidR="007C6A5F">
              <w:t>3. Wider corridor (form Silver to Gold/Gold+)</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1.20</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1.20</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rPr>
                <w:sz w:val="18"/>
              </w:rPr>
            </w:pPr>
            <w:r>
              <w:t xml:space="preserve">Apartment: </w:t>
            </w:r>
            <w:r w:rsidR="007C6A5F">
              <w:t>4. Toilet - additional clear space with slider door design</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0.00</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0.54</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0.54</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rPr>
                <w:sz w:val="18"/>
              </w:rPr>
            </w:pPr>
            <w:r>
              <w:t xml:space="preserve">Apartment: </w:t>
            </w:r>
            <w:r w:rsidR="007C6A5F">
              <w:t>4. Toilet - additional clear space with swing door design</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1.39</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2.16</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2.16</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rPr>
                <w:sz w:val="18"/>
              </w:rPr>
            </w:pPr>
            <w:r>
              <w:t xml:space="preserve">Apartment: </w:t>
            </w:r>
            <w:r w:rsidR="007C6A5F">
              <w:t>5. Shower - additional space with slider door design</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1.53</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1.53</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rPr>
                <w:sz w:val="18"/>
              </w:rPr>
            </w:pPr>
            <w:r>
              <w:t xml:space="preserve">Apartment: </w:t>
            </w:r>
            <w:r w:rsidR="007C6A5F">
              <w:t>5. Shower - additional space with swing door design</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1.99</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1.99</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rPr>
                <w:sz w:val="18"/>
              </w:rPr>
            </w:pPr>
            <w:r>
              <w:t xml:space="preserve">Apartment: </w:t>
            </w:r>
            <w:r w:rsidR="007C6A5F">
              <w:t>8. Kitchen space</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1.08</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2.16</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rPr>
                <w:sz w:val="18"/>
              </w:rPr>
            </w:pPr>
            <w:r>
              <w:t xml:space="preserve">Apartment: </w:t>
            </w:r>
            <w:r w:rsidR="007C6A5F">
              <w:t>8. Kitchen space (from Gold to Gold+)</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1.08</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rPr>
                <w:sz w:val="18"/>
              </w:rPr>
            </w:pPr>
            <w:r>
              <w:t xml:space="preserve">Apartment: </w:t>
            </w:r>
            <w:r w:rsidR="007C6A5F">
              <w:t>9. Laundry space</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0.54</w:t>
            </w: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1.17</w:t>
            </w:r>
          </w:p>
        </w:tc>
      </w:tr>
      <w:tr w:rsidR="007C6A5F" w:rsidRPr="00AC2E57" w:rsidTr="00554883">
        <w:trPr>
          <w:trHeight w:val="252"/>
        </w:trPr>
        <w:tc>
          <w:tcPr>
            <w:tcW w:w="4820" w:type="dxa"/>
            <w:tcBorders>
              <w:top w:val="single" w:sz="8" w:space="0" w:color="FFFFFF" w:themeColor="background1"/>
              <w:bottom w:val="single" w:sz="8" w:space="0" w:color="FFFFFF" w:themeColor="background1"/>
            </w:tcBorders>
            <w:shd w:val="clear" w:color="auto" w:fill="E9E8E5" w:themeFill="background2"/>
            <w:noWrap/>
          </w:tcPr>
          <w:p w:rsidR="007C6A5F" w:rsidRDefault="00DD2346" w:rsidP="0033389D">
            <w:pPr>
              <w:pStyle w:val="TableDataEntries"/>
              <w:jc w:val="left"/>
              <w:rPr>
                <w:sz w:val="18"/>
              </w:rPr>
            </w:pPr>
            <w:r>
              <w:t xml:space="preserve">Apartment: </w:t>
            </w:r>
            <w:r w:rsidR="007C6A5F">
              <w:t>9. Laundry space (from Gold to Gold+)</w:t>
            </w: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p>
        </w:tc>
        <w:tc>
          <w:tcPr>
            <w:tcW w:w="1039"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p>
        </w:tc>
        <w:tc>
          <w:tcPr>
            <w:tcW w:w="1040"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33389D">
            <w:pPr>
              <w:pStyle w:val="TableDataEntries"/>
              <w:rPr>
                <w:sz w:val="18"/>
              </w:rPr>
            </w:pPr>
            <w:r>
              <w:t>0.63</w:t>
            </w:r>
          </w:p>
        </w:tc>
      </w:tr>
      <w:tr w:rsidR="007C6A5F" w:rsidRPr="00AC2E57" w:rsidTr="00554883">
        <w:trPr>
          <w:trHeight w:val="252"/>
        </w:trPr>
        <w:tc>
          <w:tcPr>
            <w:tcW w:w="4820" w:type="dxa"/>
            <w:tcBorders>
              <w:top w:val="single" w:sz="8" w:space="0" w:color="FFFFFF" w:themeColor="background1"/>
              <w:bottom w:val="single" w:sz="4" w:space="0" w:color="6F6652" w:themeColor="accent5"/>
            </w:tcBorders>
            <w:shd w:val="clear" w:color="auto" w:fill="E9E8E5" w:themeFill="background2"/>
            <w:noWrap/>
          </w:tcPr>
          <w:p w:rsidR="007C6A5F" w:rsidRPr="00AC2E57" w:rsidRDefault="00DD2346" w:rsidP="0033389D">
            <w:pPr>
              <w:pStyle w:val="TableDataEntries"/>
              <w:jc w:val="left"/>
            </w:pPr>
            <w:r>
              <w:t xml:space="preserve">Apartment: </w:t>
            </w:r>
            <w:r w:rsidR="007C6A5F">
              <w:t>9. Laundry space</w:t>
            </w:r>
          </w:p>
        </w:tc>
        <w:tc>
          <w:tcPr>
            <w:tcW w:w="1039" w:type="dxa"/>
            <w:tcBorders>
              <w:top w:val="single" w:sz="8" w:space="0" w:color="FFFFFF" w:themeColor="background1"/>
              <w:bottom w:val="single" w:sz="4" w:space="0" w:color="6F6652" w:themeColor="accent5"/>
            </w:tcBorders>
            <w:shd w:val="clear" w:color="auto" w:fill="E9E8E5" w:themeFill="background2"/>
            <w:noWrap/>
            <w:hideMark/>
          </w:tcPr>
          <w:p w:rsidR="007C6A5F" w:rsidRPr="00AC2E57" w:rsidRDefault="007C6A5F" w:rsidP="0033389D">
            <w:pPr>
              <w:pStyle w:val="TableDataEntries"/>
            </w:pPr>
          </w:p>
        </w:tc>
        <w:tc>
          <w:tcPr>
            <w:tcW w:w="1039" w:type="dxa"/>
            <w:tcBorders>
              <w:top w:val="single" w:sz="8" w:space="0" w:color="FFFFFF" w:themeColor="background1"/>
              <w:bottom w:val="single" w:sz="4" w:space="0" w:color="6F6652" w:themeColor="accent5"/>
            </w:tcBorders>
            <w:shd w:val="clear" w:color="auto" w:fill="E9E8E5" w:themeFill="background2"/>
            <w:noWrap/>
            <w:hideMark/>
          </w:tcPr>
          <w:p w:rsidR="007C6A5F" w:rsidRPr="00AC2E57" w:rsidRDefault="007C6A5F" w:rsidP="0033389D">
            <w:pPr>
              <w:pStyle w:val="TableDataEntries"/>
            </w:pPr>
            <w:r>
              <w:t>0.72</w:t>
            </w:r>
          </w:p>
        </w:tc>
        <w:tc>
          <w:tcPr>
            <w:tcW w:w="1040" w:type="dxa"/>
            <w:tcBorders>
              <w:top w:val="single" w:sz="8" w:space="0" w:color="FFFFFF" w:themeColor="background1"/>
              <w:bottom w:val="single" w:sz="4" w:space="0" w:color="6F6652" w:themeColor="accent5"/>
            </w:tcBorders>
            <w:shd w:val="clear" w:color="auto" w:fill="E9E8E5" w:themeFill="background2"/>
            <w:noWrap/>
            <w:hideMark/>
          </w:tcPr>
          <w:p w:rsidR="007C6A5F" w:rsidRPr="00AC2E57" w:rsidRDefault="007C6A5F" w:rsidP="0033389D">
            <w:pPr>
              <w:pStyle w:val="TableDataEntries"/>
            </w:pPr>
            <w:r>
              <w:t>1.17</w:t>
            </w:r>
          </w:p>
        </w:tc>
      </w:tr>
    </w:tbl>
    <w:p w:rsidR="007C6A5F" w:rsidRDefault="007C6A5F" w:rsidP="007C6A5F">
      <w:pPr>
        <w:pStyle w:val="Source"/>
        <w:rPr>
          <w:lang w:bidi="fa-IR"/>
        </w:rPr>
      </w:pPr>
      <w:r w:rsidRPr="00AC2E57">
        <w:rPr>
          <w:i/>
          <w:lang w:bidi="fa-IR"/>
        </w:rPr>
        <w:t>Source:</w:t>
      </w:r>
      <w:r>
        <w:rPr>
          <w:lang w:bidi="fa-IR"/>
        </w:rPr>
        <w:t xml:space="preserve"> </w:t>
      </w:r>
      <w:r w:rsidR="00DE71A3">
        <w:rPr>
          <w:lang w:bidi="fa-IR"/>
        </w:rPr>
        <w:t>CIE.</w:t>
      </w:r>
    </w:p>
    <w:p w:rsidR="007C6A5F" w:rsidRDefault="007C6A5F" w:rsidP="00DE71A3">
      <w:pPr>
        <w:pStyle w:val="BodyText"/>
        <w:spacing w:before="240"/>
        <w:rPr>
          <w:lang w:bidi="fa-IR"/>
        </w:rPr>
      </w:pPr>
      <w:r>
        <w:rPr>
          <w:lang w:bidi="fa-IR"/>
        </w:rPr>
        <w:t xml:space="preserve">DCWC consider scenarios for new builds where incorporating the LHDG standards creates different impacts. In these scenarios, accompanying ‘scenario weights’ or share of new builds, impose different impacts on new builds. For example, these scenarios imply that for volume houses, only 15 per cent of new build volume houses require larger car space, 10 per cent require more space for entrance, 60 per cent require wider corridors, 10 per cent require additional clear space for toilet to meet LHDG silver (another 80 per cent could meet Silver by replacing a swing door with a cavity slider door, without </w:t>
      </w:r>
      <w:r>
        <w:rPr>
          <w:lang w:bidi="fa-IR"/>
        </w:rPr>
        <w:lastRenderedPageBreak/>
        <w:t>requiring additional space). This means that the weighted average space impact of LHDG silver on new volume houses is therefore 0.61 sqm (table J.2).</w:t>
      </w:r>
    </w:p>
    <w:p w:rsidR="007C6A5F" w:rsidRDefault="007C6A5F" w:rsidP="007C6A5F">
      <w:pPr>
        <w:pStyle w:val="BodyText"/>
        <w:rPr>
          <w:lang w:bidi="fa-IR"/>
        </w:rPr>
      </w:pPr>
      <w:r>
        <w:rPr>
          <w:lang w:bidi="fa-IR"/>
        </w:rPr>
        <w:t>Our assumptions for all new build homes, for Silver, Gold and Gold+ are as follows.</w:t>
      </w:r>
    </w:p>
    <w:p w:rsidR="007C6A5F" w:rsidRDefault="007C6A5F" w:rsidP="007C6A5F">
      <w:pPr>
        <w:pStyle w:val="Heading7"/>
        <w:numPr>
          <w:ilvl w:val="6"/>
          <w:numId w:val="5"/>
        </w:numPr>
        <w:rPr>
          <w:lang w:bidi="fa-IR"/>
        </w:rPr>
      </w:pPr>
      <w:r>
        <w:rPr>
          <w:lang w:bidi="fa-IR"/>
        </w:rPr>
        <w:t>Space impacts: detached houses</w:t>
      </w:r>
    </w:p>
    <w:p w:rsidR="007C6A5F" w:rsidRDefault="007C6A5F" w:rsidP="00DE71A3">
      <w:pPr>
        <w:pStyle w:val="Caption"/>
        <w:spacing w:before="240"/>
        <w:rPr>
          <w:noProof/>
        </w:rPr>
      </w:pPr>
      <w:r w:rsidRPr="00695C93">
        <w:rPr>
          <w:noProof/>
        </w:rPr>
        <w:fldChar w:fldCharType="begin"/>
      </w:r>
      <w:r w:rsidRPr="00695C93">
        <w:rPr>
          <w:noProof/>
        </w:rPr>
        <w:instrText xml:space="preserve"> IF 1 = 1 "</w:instrText>
      </w:r>
      <w:r w:rsidRPr="00695C93">
        <w:rPr>
          <w:noProof/>
        </w:rPr>
        <w:fldChar w:fldCharType="begin"/>
      </w:r>
      <w:r w:rsidRPr="00695C93">
        <w:rPr>
          <w:noProof/>
        </w:rPr>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rPr>
          <w:noProof/>
        </w:rPr>
        <w:instrText xml:space="preserve"> = 0 "</w:instrText>
      </w:r>
      <w:r w:rsidRPr="00695C93">
        <w:rPr>
          <w:noProof/>
        </w:rPr>
        <w:fldChar w:fldCharType="begin"/>
      </w:r>
      <w:r w:rsidRPr="00695C93">
        <w:rPr>
          <w:noProof/>
        </w:rPr>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rPr>
          <w:noProof/>
        </w:rPr>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rPr>
          <w:noProof/>
        </w:rPr>
        <w:instrText xml:space="preserve">." </w:instrText>
      </w:r>
      <w:r w:rsidRPr="00695C93">
        <w:rPr>
          <w:noProof/>
        </w:rPr>
        <w:fldChar w:fldCharType="end"/>
      </w:r>
      <w:r w:rsidRPr="00695C93">
        <w:rPr>
          <w:noProof/>
        </w:rPr>
        <w:instrText>"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rPr>
          <w:noProof/>
        </w:rPr>
        <w:instrText xml:space="preserve">." </w:instrText>
      </w:r>
      <w:r w:rsidRPr="00695C93">
        <w:rPr>
          <w:noProof/>
        </w:rPr>
        <w:fldChar w:fldCharType="separate"/>
      </w:r>
      <w:r>
        <w:rPr>
          <w:noProof/>
        </w:rPr>
        <w:instrText>J</w:instrText>
      </w:r>
      <w:r w:rsidRPr="00695C93">
        <w:rPr>
          <w:noProof/>
        </w:rPr>
        <w:instrText>.</w:instrText>
      </w:r>
      <w:r w:rsidRPr="00695C93">
        <w:rPr>
          <w:noProof/>
        </w:rPr>
        <w:fldChar w:fldCharType="end"/>
      </w:r>
      <w:r w:rsidRPr="00695C93">
        <w:rPr>
          <w:noProof/>
        </w:rPr>
        <w:fldChar w:fldCharType="begin"/>
      </w:r>
      <w:r w:rsidRPr="00695C93">
        <w:rPr>
          <w:noProof/>
        </w:rPr>
        <w:instrText xml:space="preserve"> SEQ Item \* ARABIC \s </w:instrText>
      </w:r>
      <w:r w:rsidRPr="00695C93">
        <w:rPr>
          <w:noProof/>
        </w:rPr>
        <w:fldChar w:fldCharType="begin"/>
      </w:r>
      <w:r w:rsidRPr="00695C93">
        <w:rPr>
          <w:noProof/>
        </w:rPr>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rPr>
          <w:noProof/>
        </w:rPr>
        <w:instrText xml:space="preserve"> = 0 "</w:instrText>
      </w:r>
      <w:r w:rsidRPr="00695C93">
        <w:rPr>
          <w:noProof/>
        </w:rPr>
        <w:fldChar w:fldCharType="begin"/>
      </w:r>
      <w:r w:rsidRPr="00695C93">
        <w:rPr>
          <w:noProof/>
        </w:rPr>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rPr>
          <w:noProof/>
        </w:rPr>
        <w:instrText xml:space="preserve"> = 0 "" "1" </w:instrText>
      </w:r>
      <w:r w:rsidRPr="00695C93">
        <w:rPr>
          <w:noProof/>
        </w:rPr>
        <w:fldChar w:fldCharType="end"/>
      </w:r>
      <w:r w:rsidRPr="00695C93">
        <w:rPr>
          <w:noProof/>
        </w:rPr>
        <w:instrText xml:space="preserve">" "6" </w:instrText>
      </w:r>
      <w:r w:rsidRPr="00695C93">
        <w:rPr>
          <w:noProof/>
        </w:rPr>
        <w:fldChar w:fldCharType="separate"/>
      </w:r>
      <w:r w:rsidRPr="00695C93">
        <w:rPr>
          <w:noProof/>
        </w:rPr>
        <w:instrText>6</w:instrText>
      </w:r>
      <w:r w:rsidRPr="00695C93">
        <w:rPr>
          <w:noProof/>
        </w:rPr>
        <w:fldChar w:fldCharType="end"/>
      </w:r>
      <w:r w:rsidRPr="00695C93">
        <w:rPr>
          <w:noProof/>
        </w:rPr>
        <w:instrText xml:space="preserve"> </w:instrText>
      </w:r>
      <w:r w:rsidRPr="00695C93">
        <w:rPr>
          <w:noProof/>
        </w:rPr>
        <w:fldChar w:fldCharType="separate"/>
      </w:r>
      <w:r>
        <w:rPr>
          <w:noProof/>
        </w:rPr>
        <w:instrText>2</w:instrText>
      </w:r>
      <w:r w:rsidRPr="00695C93">
        <w:rPr>
          <w:noProof/>
        </w:rPr>
        <w:fldChar w:fldCharType="end"/>
      </w:r>
      <w:r w:rsidRPr="00695C93">
        <w:rPr>
          <w:noProof/>
        </w:rPr>
        <w:instrText xml:space="preserve">" "" </w:instrText>
      </w:r>
      <w:r w:rsidRPr="00695C93">
        <w:rPr>
          <w:noProof/>
        </w:rPr>
        <w:fldChar w:fldCharType="separate"/>
      </w:r>
      <w:bookmarkStart w:id="8283" w:name="_Caption8033"/>
      <w:bookmarkStart w:id="8284" w:name="_Caption5956"/>
      <w:bookmarkStart w:id="8285" w:name="_Caption6682"/>
      <w:bookmarkStart w:id="8286" w:name="_Caption7983"/>
      <w:bookmarkStart w:id="8287" w:name="_Caption8424"/>
      <w:bookmarkStart w:id="8288" w:name="_Caption4927"/>
      <w:bookmarkStart w:id="8289" w:name="_Caption9599"/>
      <w:bookmarkStart w:id="8290" w:name="_Caption5178"/>
      <w:bookmarkStart w:id="8291" w:name="_Caption1312"/>
      <w:bookmarkStart w:id="8292" w:name="_Caption5125"/>
      <w:bookmarkStart w:id="8293" w:name="_Caption5261"/>
      <w:bookmarkStart w:id="8294" w:name="_Caption6341"/>
      <w:bookmarkStart w:id="8295" w:name="_Caption9088"/>
      <w:bookmarkStart w:id="8296" w:name="_Caption9216"/>
      <w:bookmarkStart w:id="8297" w:name="_Caption6286"/>
      <w:bookmarkStart w:id="8298" w:name="_Caption0562"/>
      <w:bookmarkStart w:id="8299" w:name="_Caption4453"/>
      <w:bookmarkStart w:id="8300" w:name="_Caption2607"/>
      <w:bookmarkStart w:id="8301" w:name="_Caption7441"/>
      <w:bookmarkStart w:id="8302" w:name="_Caption5934"/>
      <w:bookmarkStart w:id="8303" w:name="_Caption9640"/>
      <w:bookmarkStart w:id="8304" w:name="_Caption0040"/>
      <w:bookmarkStart w:id="8305" w:name="_Caption0326"/>
      <w:bookmarkStart w:id="8306" w:name="_Caption0682"/>
      <w:bookmarkStart w:id="8307" w:name="_Caption9120"/>
      <w:bookmarkStart w:id="8308" w:name="_Caption8647"/>
      <w:bookmarkStart w:id="8309" w:name="_Caption3298"/>
      <w:bookmarkStart w:id="8310" w:name="_Caption8163"/>
      <w:bookmarkStart w:id="8311" w:name="_Caption6741"/>
      <w:bookmarkStart w:id="8312" w:name="_Caption1651"/>
      <w:bookmarkStart w:id="8313" w:name="_Caption9926"/>
      <w:bookmarkStart w:id="8314" w:name="_Caption9875"/>
      <w:bookmarkStart w:id="8315" w:name="_Caption9580"/>
      <w:bookmarkStart w:id="8316" w:name="_Caption4918"/>
      <w:bookmarkStart w:id="8317" w:name="_Toc32321910"/>
      <w:bookmarkStart w:id="8318" w:name="_Toc44598616"/>
      <w:bookmarkStart w:id="8319" w:name="_Toc45654247"/>
      <w:r w:rsidR="00272AF3">
        <w:rPr>
          <w:noProof/>
        </w:rPr>
        <w:t>J</w:t>
      </w:r>
      <w:r w:rsidR="00272AF3" w:rsidRPr="00695C93">
        <w:rPr>
          <w:noProof/>
        </w:rPr>
        <w:t>.</w:t>
      </w:r>
      <w:r w:rsidR="00272AF3">
        <w:rPr>
          <w:noProof/>
        </w:rPr>
        <w:t>2</w:t>
      </w:r>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r w:rsidRPr="00695C93">
        <w:rPr>
          <w:noProof/>
        </w:rPr>
        <w:fldChar w:fldCharType="end"/>
      </w:r>
      <w:r w:rsidRPr="00695C93">
        <w:rPr>
          <w:noProof/>
        </w:rPr>
        <w:tab/>
      </w:r>
      <w:r>
        <w:rPr>
          <w:noProof/>
        </w:rPr>
        <w:t>Total impact of Silver standard on space of volume build detached houses</w:t>
      </w:r>
      <w:bookmarkEnd w:id="8317"/>
      <w:bookmarkEnd w:id="8318"/>
      <w:bookmarkEnd w:id="8319"/>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J.2"/>
        <w:tblDescription w:val="Total impact of Silver standard on space of volume build detached houses"/>
      </w:tblPr>
      <w:tblGrid>
        <w:gridCol w:w="2410"/>
        <w:gridCol w:w="1843"/>
        <w:gridCol w:w="1134"/>
        <w:gridCol w:w="1417"/>
        <w:gridCol w:w="1133"/>
      </w:tblGrid>
      <w:tr w:rsidR="007C6A5F" w:rsidRPr="002E67CD" w:rsidTr="002E76D5">
        <w:trPr>
          <w:trHeight w:val="252"/>
          <w:tblHeader/>
        </w:trPr>
        <w:tc>
          <w:tcPr>
            <w:tcW w:w="2410" w:type="dxa"/>
            <w:shd w:val="clear" w:color="auto" w:fill="6F6652" w:themeFill="accent5"/>
            <w:noWrap/>
            <w:hideMark/>
          </w:tcPr>
          <w:p w:rsidR="007C6A5F" w:rsidRPr="002E67CD" w:rsidRDefault="002E76D5" w:rsidP="00C36DA4">
            <w:pPr>
              <w:pStyle w:val="TableDataColumnHeading"/>
              <w:jc w:val="left"/>
            </w:pPr>
            <w:r>
              <w:t>Design element</w:t>
            </w:r>
          </w:p>
        </w:tc>
        <w:tc>
          <w:tcPr>
            <w:tcW w:w="1843" w:type="dxa"/>
            <w:shd w:val="clear" w:color="auto" w:fill="6F6652" w:themeFill="accent5"/>
            <w:noWrap/>
            <w:hideMark/>
          </w:tcPr>
          <w:p w:rsidR="007C6A5F" w:rsidRDefault="007C6A5F" w:rsidP="00C36DA4">
            <w:pPr>
              <w:pStyle w:val="TableDataColumnHeading"/>
              <w:rPr>
                <w:szCs w:val="16"/>
              </w:rPr>
            </w:pPr>
            <w:r w:rsidRPr="00167FC0">
              <w:rPr>
                <w:szCs w:val="16"/>
              </w:rPr>
              <w:t>Scenario weight for space impact</w:t>
            </w:r>
          </w:p>
          <w:p w:rsidR="005F50B7" w:rsidRPr="00167FC0" w:rsidRDefault="005F50B7" w:rsidP="00C36DA4">
            <w:pPr>
              <w:pStyle w:val="TableDataColumnHeading"/>
              <w:rPr>
                <w:szCs w:val="16"/>
              </w:rPr>
            </w:pPr>
            <w:r>
              <w:rPr>
                <w:szCs w:val="16"/>
              </w:rPr>
              <w:t>(Probability)</w:t>
            </w:r>
          </w:p>
        </w:tc>
        <w:tc>
          <w:tcPr>
            <w:tcW w:w="1134" w:type="dxa"/>
            <w:shd w:val="clear" w:color="auto" w:fill="6F6652" w:themeFill="accent5"/>
            <w:noWrap/>
            <w:hideMark/>
          </w:tcPr>
          <w:p w:rsidR="007C6A5F" w:rsidRDefault="007C6A5F" w:rsidP="00C36DA4">
            <w:pPr>
              <w:pStyle w:val="TableDataColumnHeading"/>
              <w:rPr>
                <w:szCs w:val="16"/>
              </w:rPr>
            </w:pPr>
            <w:r w:rsidRPr="00167FC0">
              <w:rPr>
                <w:szCs w:val="16"/>
              </w:rPr>
              <w:t>Potential impact</w:t>
            </w:r>
          </w:p>
          <w:p w:rsidR="005F50B7" w:rsidRPr="00167FC0" w:rsidRDefault="005F50B7" w:rsidP="00C36DA4">
            <w:pPr>
              <w:pStyle w:val="TableDataColumnHeading"/>
              <w:rPr>
                <w:szCs w:val="16"/>
              </w:rPr>
            </w:pPr>
            <w:r>
              <w:rPr>
                <w:szCs w:val="16"/>
              </w:rPr>
              <w:t>(sqm)</w:t>
            </w:r>
          </w:p>
        </w:tc>
        <w:tc>
          <w:tcPr>
            <w:tcW w:w="1417" w:type="dxa"/>
            <w:shd w:val="clear" w:color="auto" w:fill="6F6652" w:themeFill="accent5"/>
            <w:noWrap/>
            <w:hideMark/>
          </w:tcPr>
          <w:p w:rsidR="007C6A5F" w:rsidRDefault="007C6A5F" w:rsidP="00C36DA4">
            <w:pPr>
              <w:pStyle w:val="TableDataColumnHeading"/>
              <w:rPr>
                <w:szCs w:val="16"/>
              </w:rPr>
            </w:pPr>
            <w:r w:rsidRPr="00167FC0">
              <w:rPr>
                <w:szCs w:val="16"/>
              </w:rPr>
              <w:t>Weighted average impact</w:t>
            </w:r>
          </w:p>
          <w:p w:rsidR="005F50B7" w:rsidRPr="00167FC0" w:rsidRDefault="005F50B7" w:rsidP="00C36DA4">
            <w:pPr>
              <w:pStyle w:val="TableDataColumnHeading"/>
              <w:rPr>
                <w:szCs w:val="16"/>
              </w:rPr>
            </w:pPr>
            <w:r>
              <w:rPr>
                <w:szCs w:val="16"/>
              </w:rPr>
              <w:t>(sqm)</w:t>
            </w:r>
          </w:p>
        </w:tc>
        <w:tc>
          <w:tcPr>
            <w:tcW w:w="1133" w:type="dxa"/>
            <w:shd w:val="clear" w:color="auto" w:fill="6F6652" w:themeFill="accent5"/>
          </w:tcPr>
          <w:p w:rsidR="007C6A5F" w:rsidRDefault="007C6A5F" w:rsidP="00C36DA4">
            <w:pPr>
              <w:pStyle w:val="TableDataColumnHeading"/>
              <w:rPr>
                <w:szCs w:val="16"/>
              </w:rPr>
            </w:pPr>
            <w:r w:rsidRPr="00167FC0">
              <w:rPr>
                <w:szCs w:val="16"/>
              </w:rPr>
              <w:t>Total impact</w:t>
            </w:r>
          </w:p>
          <w:p w:rsidR="005F50B7" w:rsidRPr="00167FC0" w:rsidRDefault="005F50B7" w:rsidP="005F17BE">
            <w:pPr>
              <w:pStyle w:val="TableDataColumnHeading"/>
              <w:spacing w:before="280"/>
              <w:rPr>
                <w:szCs w:val="16"/>
              </w:rPr>
            </w:pPr>
            <w:r>
              <w:rPr>
                <w:szCs w:val="16"/>
              </w:rPr>
              <w:t>($)</w:t>
            </w: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Unit"/>
              <w:jc w:val="left"/>
            </w:pPr>
            <w:r>
              <w:rPr>
                <w:szCs w:val="16"/>
              </w:rPr>
              <w:t>1b. Larger car space</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pPr>
            <w:r>
              <w:rPr>
                <w:szCs w:val="16"/>
              </w:rPr>
              <w:t>15%</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pPr>
            <w:r>
              <w:rPr>
                <w:szCs w:val="16"/>
              </w:rPr>
              <w:t>0.78</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pPr>
            <w:r>
              <w:rPr>
                <w:szCs w:val="16"/>
              </w:rPr>
              <w:t>0.12</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2E67CD"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2. Dwelling entrance - larger landing</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pPr>
            <w:r>
              <w:rPr>
                <w:szCs w:val="16"/>
              </w:rPr>
              <w:t>10%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pPr>
            <w:r>
              <w:rPr>
                <w:szCs w:val="16"/>
              </w:rPr>
              <w:t>0.54</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pPr>
            <w:r>
              <w:rPr>
                <w:szCs w:val="16"/>
              </w:rPr>
              <w:t>0.05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2E67CD"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3. Wider doors and wider corridor</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C36DA4">
            <w:pPr>
              <w:pStyle w:val="TableDataEntries"/>
              <w:rPr>
                <w:sz w:val="18"/>
              </w:rPr>
            </w:pPr>
            <w:r>
              <w:rPr>
                <w:szCs w:val="16"/>
              </w:rPr>
              <w:t>60%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C36DA4">
            <w:pPr>
              <w:pStyle w:val="TableDataEntries"/>
              <w:rPr>
                <w:sz w:val="18"/>
              </w:rPr>
            </w:pPr>
            <w:r>
              <w:rPr>
                <w:szCs w:val="16"/>
              </w:rPr>
              <w:t>0.50</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C36DA4">
            <w:pPr>
              <w:pStyle w:val="TableDataEntries"/>
              <w:rPr>
                <w:sz w:val="18"/>
              </w:rPr>
            </w:pPr>
            <w:r>
              <w:rPr>
                <w:szCs w:val="16"/>
              </w:rPr>
              <w:t>0.30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2E67CD"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slider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C36DA4">
            <w:pPr>
              <w:pStyle w:val="TableDataEntries"/>
              <w:rPr>
                <w:sz w:val="18"/>
              </w:rPr>
            </w:pPr>
            <w:r>
              <w:rPr>
                <w:szCs w:val="16"/>
              </w:rPr>
              <w:t>80%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C36DA4">
            <w:pPr>
              <w:pStyle w:val="TableDataEntries"/>
              <w:rPr>
                <w:sz w:val="18"/>
              </w:rPr>
            </w:pPr>
            <w:r>
              <w:rPr>
                <w:szCs w:val="16"/>
              </w:rPr>
              <w:t>0.00</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C36DA4">
            <w:pPr>
              <w:pStyle w:val="TableDataEntries"/>
              <w:rPr>
                <w:sz w:val="18"/>
              </w:rPr>
            </w:pPr>
            <w:r>
              <w:rPr>
                <w:szCs w:val="16"/>
              </w:rPr>
              <w:t>0.00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2E67CD" w:rsidRDefault="007C6A5F" w:rsidP="00C36DA4">
            <w:pPr>
              <w:pStyle w:val="TableDataEntries"/>
            </w:pPr>
          </w:p>
        </w:tc>
      </w:tr>
      <w:tr w:rsidR="007C6A5F" w:rsidRPr="002E67CD" w:rsidTr="008819BB">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4. Toilet - additional clear space with swing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pPr>
            <w:r>
              <w:rPr>
                <w:szCs w:val="16"/>
              </w:rPr>
              <w:t>10%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pPr>
            <w:r>
              <w:rPr>
                <w:szCs w:val="16"/>
              </w:rPr>
              <w:t>1.39</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pPr>
            <w:r>
              <w:rPr>
                <w:szCs w:val="16"/>
              </w:rPr>
              <w:t>0.14</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2E67CD" w:rsidRDefault="007C6A5F" w:rsidP="00C36DA4">
            <w:pPr>
              <w:pStyle w:val="TableDataEntries"/>
            </w:pPr>
          </w:p>
        </w:tc>
      </w:tr>
      <w:tr w:rsidR="007C6A5F" w:rsidRPr="00EC39F3" w:rsidTr="008819BB">
        <w:trPr>
          <w:trHeight w:val="252"/>
        </w:trPr>
        <w:tc>
          <w:tcPr>
            <w:tcW w:w="2410"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EC39F3" w:rsidRDefault="007C6A5F" w:rsidP="00C36DA4">
            <w:pPr>
              <w:pStyle w:val="TableDataEntries"/>
              <w:jc w:val="left"/>
              <w:rPr>
                <w:rFonts w:ascii="Franklin Gothic Demi" w:hAnsi="Franklin Gothic Demi"/>
              </w:rPr>
            </w:pPr>
            <w:r w:rsidRPr="00EC39F3">
              <w:rPr>
                <w:rFonts w:ascii="Franklin Gothic Demi" w:hAnsi="Franklin Gothic Demi"/>
              </w:rPr>
              <w:t xml:space="preserve">Total impact </w:t>
            </w:r>
          </w:p>
        </w:tc>
        <w:tc>
          <w:tcPr>
            <w:tcW w:w="1843"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EC39F3" w:rsidRDefault="007C6A5F" w:rsidP="00C36DA4">
            <w:pPr>
              <w:pStyle w:val="TableDataEntries"/>
              <w:rPr>
                <w:rFonts w:ascii="Franklin Gothic Demi" w:hAnsi="Franklin Gothic Demi"/>
              </w:rPr>
            </w:pPr>
          </w:p>
        </w:tc>
        <w:tc>
          <w:tcPr>
            <w:tcW w:w="1134"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EC39F3" w:rsidRDefault="007C6A5F" w:rsidP="00C36DA4">
            <w:pPr>
              <w:pStyle w:val="TableDataEntries"/>
              <w:rPr>
                <w:rFonts w:ascii="Franklin Gothic Demi" w:hAnsi="Franklin Gothic Demi"/>
                <w:szCs w:val="20"/>
              </w:rPr>
            </w:pPr>
          </w:p>
        </w:tc>
        <w:tc>
          <w:tcPr>
            <w:tcW w:w="1417"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EC39F3" w:rsidRDefault="007C6A5F" w:rsidP="00C36DA4">
            <w:pPr>
              <w:pStyle w:val="TableDataEntries"/>
              <w:rPr>
                <w:rFonts w:ascii="Franklin Gothic Demi" w:hAnsi="Franklin Gothic Demi"/>
              </w:rPr>
            </w:pPr>
            <w:r>
              <w:rPr>
                <w:rFonts w:ascii="Franklin Gothic Demi" w:hAnsi="Franklin Gothic Demi"/>
              </w:rPr>
              <w:t>0.61</w:t>
            </w:r>
          </w:p>
        </w:tc>
        <w:tc>
          <w:tcPr>
            <w:tcW w:w="1133" w:type="dxa"/>
            <w:tcBorders>
              <w:top w:val="single" w:sz="8" w:space="0" w:color="FFFFFF" w:themeColor="background1"/>
              <w:bottom w:val="single" w:sz="4" w:space="0" w:color="6F6652" w:themeColor="accent5"/>
            </w:tcBorders>
            <w:shd w:val="clear" w:color="auto" w:fill="C2DADB" w:themeFill="accent6" w:themeFillTint="99"/>
          </w:tcPr>
          <w:p w:rsidR="007C6A5F" w:rsidRPr="00EC39F3" w:rsidRDefault="007C6A5F" w:rsidP="00C36DA4">
            <w:pPr>
              <w:pStyle w:val="TableDataEntries"/>
              <w:rPr>
                <w:rFonts w:ascii="Franklin Gothic Demi" w:hAnsi="Franklin Gothic Demi"/>
              </w:rPr>
            </w:pPr>
            <w:r>
              <w:rPr>
                <w:rFonts w:ascii="Franklin Gothic Demi" w:hAnsi="Franklin Gothic Demi"/>
              </w:rPr>
              <w:t>309</w:t>
            </w:r>
          </w:p>
        </w:tc>
      </w:tr>
    </w:tbl>
    <w:p w:rsidR="007C6A5F" w:rsidRDefault="007C6A5F" w:rsidP="007C6A5F">
      <w:pPr>
        <w:pStyle w:val="Source"/>
        <w:rPr>
          <w:lang w:bidi="fa-IR"/>
        </w:rPr>
      </w:pPr>
      <w:r w:rsidRPr="002E67CD">
        <w:rPr>
          <w:i/>
          <w:lang w:bidi="fa-IR"/>
        </w:rPr>
        <w:t>Source:</w:t>
      </w:r>
      <w:r>
        <w:rPr>
          <w:lang w:bidi="fa-IR"/>
        </w:rPr>
        <w:t xml:space="preserve"> </w:t>
      </w:r>
      <w:r w:rsidR="00DE71A3">
        <w:rPr>
          <w:lang w:bidi="fa-IR"/>
        </w:rPr>
        <w:t>CIE.</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w:instrText>
      </w:r>
      <w:r w:rsidRPr="00695C93">
        <w:fldChar w:fldCharType="separate"/>
      </w:r>
      <w:r>
        <w:rPr>
          <w:noProof/>
        </w:rPr>
        <w:instrText>J</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3</w:instrText>
      </w:r>
      <w:r w:rsidRPr="00695C93">
        <w:fldChar w:fldCharType="end"/>
      </w:r>
      <w:r w:rsidRPr="00695C93">
        <w:instrText xml:space="preserve">" "" </w:instrText>
      </w:r>
      <w:r w:rsidRPr="00695C93">
        <w:fldChar w:fldCharType="separate"/>
      </w:r>
      <w:bookmarkStart w:id="8320" w:name="_Caption8047"/>
      <w:bookmarkStart w:id="8321" w:name="_Caption0454"/>
      <w:bookmarkStart w:id="8322" w:name="_Caption6999"/>
      <w:bookmarkStart w:id="8323" w:name="_Caption6124"/>
      <w:bookmarkStart w:id="8324" w:name="_Caption3640"/>
      <w:bookmarkStart w:id="8325" w:name="_Caption3579"/>
      <w:bookmarkStart w:id="8326" w:name="_Caption0783"/>
      <w:bookmarkStart w:id="8327" w:name="_Caption4081"/>
      <w:bookmarkStart w:id="8328" w:name="_Caption0998"/>
      <w:bookmarkStart w:id="8329" w:name="_Caption8090"/>
      <w:bookmarkStart w:id="8330" w:name="_Caption2123"/>
      <w:bookmarkStart w:id="8331" w:name="_Caption9119"/>
      <w:bookmarkStart w:id="8332" w:name="_Caption3747"/>
      <w:bookmarkStart w:id="8333" w:name="_Caption5584"/>
      <w:bookmarkStart w:id="8334" w:name="_Caption2654"/>
      <w:bookmarkStart w:id="8335" w:name="_Caption6570"/>
      <w:bookmarkStart w:id="8336" w:name="_Caption2441"/>
      <w:bookmarkStart w:id="8337" w:name="_Caption2460"/>
      <w:bookmarkStart w:id="8338" w:name="_Caption1846"/>
      <w:bookmarkStart w:id="8339" w:name="_Caption5694"/>
      <w:bookmarkStart w:id="8340" w:name="_Caption8211"/>
      <w:bookmarkStart w:id="8341" w:name="_Caption0814"/>
      <w:bookmarkStart w:id="8342" w:name="_Caption0095"/>
      <w:bookmarkStart w:id="8343" w:name="_Caption9040"/>
      <w:bookmarkStart w:id="8344" w:name="_Caption3205"/>
      <w:bookmarkStart w:id="8345" w:name="_Caption4013"/>
      <w:bookmarkStart w:id="8346" w:name="_Caption5761"/>
      <w:bookmarkStart w:id="8347" w:name="_Caption7472"/>
      <w:bookmarkStart w:id="8348" w:name="_Caption4310"/>
      <w:bookmarkStart w:id="8349" w:name="_Caption2104"/>
      <w:bookmarkStart w:id="8350" w:name="_Caption5739"/>
      <w:bookmarkStart w:id="8351" w:name="_Caption0906"/>
      <w:bookmarkStart w:id="8352" w:name="_Caption0541"/>
      <w:bookmarkStart w:id="8353" w:name="_Caption5732"/>
      <w:bookmarkStart w:id="8354" w:name="_Toc32321911"/>
      <w:bookmarkStart w:id="8355" w:name="_Toc44598617"/>
      <w:bookmarkStart w:id="8356" w:name="_Toc45654248"/>
      <w:r w:rsidR="00272AF3">
        <w:rPr>
          <w:noProof/>
        </w:rPr>
        <w:t>J</w:t>
      </w:r>
      <w:r w:rsidR="00272AF3" w:rsidRPr="00695C93">
        <w:rPr>
          <w:noProof/>
        </w:rPr>
        <w:t>.</w:t>
      </w:r>
      <w:r w:rsidR="00272AF3">
        <w:rPr>
          <w:noProof/>
        </w:rPr>
        <w:t>3</w:t>
      </w:r>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r w:rsidRPr="00695C93">
        <w:fldChar w:fldCharType="end"/>
      </w:r>
      <w:r w:rsidRPr="00695C93">
        <w:tab/>
      </w:r>
      <w:r>
        <w:t>Total impact of Gold standard on space of volume build detached houses</w:t>
      </w:r>
      <w:bookmarkEnd w:id="8354"/>
      <w:bookmarkEnd w:id="8355"/>
      <w:bookmarkEnd w:id="8356"/>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J.3"/>
        <w:tblDescription w:val="Total impact of Gold standard on space of volume build detached houses"/>
      </w:tblPr>
      <w:tblGrid>
        <w:gridCol w:w="2410"/>
        <w:gridCol w:w="1843"/>
        <w:gridCol w:w="1134"/>
        <w:gridCol w:w="1417"/>
        <w:gridCol w:w="1133"/>
      </w:tblGrid>
      <w:tr w:rsidR="005F17BE" w:rsidRPr="002E67CD" w:rsidTr="000F1718">
        <w:trPr>
          <w:trHeight w:val="252"/>
          <w:tblHeader/>
        </w:trPr>
        <w:tc>
          <w:tcPr>
            <w:tcW w:w="2410" w:type="dxa"/>
            <w:shd w:val="clear" w:color="auto" w:fill="6F6652" w:themeFill="accent5"/>
            <w:noWrap/>
            <w:hideMark/>
          </w:tcPr>
          <w:p w:rsidR="005F17BE" w:rsidRPr="002E67CD" w:rsidRDefault="002E76D5" w:rsidP="005F17BE">
            <w:pPr>
              <w:pStyle w:val="TableDataColumnHeading"/>
              <w:jc w:val="left"/>
            </w:pPr>
            <w:r>
              <w:t>Design element</w:t>
            </w:r>
          </w:p>
        </w:tc>
        <w:tc>
          <w:tcPr>
            <w:tcW w:w="1843" w:type="dxa"/>
            <w:shd w:val="clear" w:color="auto" w:fill="6F6652" w:themeFill="accent5"/>
            <w:noWrap/>
            <w:hideMark/>
          </w:tcPr>
          <w:p w:rsidR="005F17BE" w:rsidRDefault="005F17BE" w:rsidP="005F17BE">
            <w:pPr>
              <w:pStyle w:val="TableDataColumnHeading"/>
              <w:rPr>
                <w:szCs w:val="16"/>
              </w:rPr>
            </w:pPr>
            <w:r w:rsidRPr="00167FC0">
              <w:rPr>
                <w:szCs w:val="16"/>
              </w:rPr>
              <w:t>Scenario weight for space impact</w:t>
            </w:r>
          </w:p>
          <w:p w:rsidR="005F17BE" w:rsidRPr="00167FC0" w:rsidRDefault="005F17BE" w:rsidP="005F17BE">
            <w:pPr>
              <w:pStyle w:val="TableDataColumnHeading"/>
              <w:rPr>
                <w:szCs w:val="16"/>
              </w:rPr>
            </w:pPr>
            <w:r>
              <w:rPr>
                <w:szCs w:val="16"/>
              </w:rPr>
              <w:t>(Probability)</w:t>
            </w:r>
          </w:p>
        </w:tc>
        <w:tc>
          <w:tcPr>
            <w:tcW w:w="1134" w:type="dxa"/>
            <w:shd w:val="clear" w:color="auto" w:fill="6F6652" w:themeFill="accent5"/>
            <w:noWrap/>
            <w:hideMark/>
          </w:tcPr>
          <w:p w:rsidR="005F17BE" w:rsidRDefault="005F17BE" w:rsidP="005F17BE">
            <w:pPr>
              <w:pStyle w:val="TableDataColumnHeading"/>
              <w:rPr>
                <w:szCs w:val="16"/>
              </w:rPr>
            </w:pPr>
            <w:r w:rsidRPr="00167FC0">
              <w:rPr>
                <w:szCs w:val="16"/>
              </w:rPr>
              <w:t>Potential impact</w:t>
            </w:r>
          </w:p>
          <w:p w:rsidR="005F17BE" w:rsidRPr="00167FC0" w:rsidRDefault="005F17BE" w:rsidP="005F17BE">
            <w:pPr>
              <w:pStyle w:val="TableDataColumnHeading"/>
              <w:rPr>
                <w:szCs w:val="16"/>
              </w:rPr>
            </w:pPr>
            <w:r>
              <w:rPr>
                <w:szCs w:val="16"/>
              </w:rPr>
              <w:t>(sqm)</w:t>
            </w:r>
          </w:p>
        </w:tc>
        <w:tc>
          <w:tcPr>
            <w:tcW w:w="1417" w:type="dxa"/>
            <w:shd w:val="clear" w:color="auto" w:fill="6F6652" w:themeFill="accent5"/>
            <w:noWrap/>
            <w:hideMark/>
          </w:tcPr>
          <w:p w:rsidR="005F17BE" w:rsidRDefault="005F17BE" w:rsidP="005F17BE">
            <w:pPr>
              <w:pStyle w:val="TableDataColumnHeading"/>
              <w:rPr>
                <w:szCs w:val="16"/>
              </w:rPr>
            </w:pPr>
            <w:r w:rsidRPr="00167FC0">
              <w:rPr>
                <w:szCs w:val="16"/>
              </w:rPr>
              <w:t>Weighted average impact</w:t>
            </w:r>
          </w:p>
          <w:p w:rsidR="005F17BE" w:rsidRPr="00167FC0" w:rsidRDefault="005F17BE" w:rsidP="005F17BE">
            <w:pPr>
              <w:pStyle w:val="TableDataColumnHeading"/>
              <w:rPr>
                <w:szCs w:val="16"/>
              </w:rPr>
            </w:pPr>
            <w:r>
              <w:rPr>
                <w:szCs w:val="16"/>
              </w:rPr>
              <w:t>(sqm)</w:t>
            </w:r>
          </w:p>
        </w:tc>
        <w:tc>
          <w:tcPr>
            <w:tcW w:w="1133" w:type="dxa"/>
            <w:shd w:val="clear" w:color="auto" w:fill="6F6652" w:themeFill="accent5"/>
          </w:tcPr>
          <w:p w:rsidR="005F17BE" w:rsidRDefault="005F17BE" w:rsidP="005F17BE">
            <w:pPr>
              <w:pStyle w:val="TableDataColumnHeading"/>
              <w:rPr>
                <w:szCs w:val="16"/>
              </w:rPr>
            </w:pPr>
            <w:r w:rsidRPr="00167FC0">
              <w:rPr>
                <w:szCs w:val="16"/>
              </w:rPr>
              <w:t>Total impact</w:t>
            </w:r>
          </w:p>
          <w:p w:rsidR="005F17BE" w:rsidRDefault="005F17BE" w:rsidP="005F17BE">
            <w:pPr>
              <w:pStyle w:val="TableDataColumnHeading"/>
              <w:spacing w:before="0" w:after="0"/>
              <w:rPr>
                <w:szCs w:val="16"/>
              </w:rPr>
            </w:pPr>
          </w:p>
          <w:p w:rsidR="005F17BE" w:rsidRPr="00167FC0" w:rsidRDefault="005F17BE" w:rsidP="005F17BE">
            <w:pPr>
              <w:pStyle w:val="TableDataColumnHeading"/>
              <w:spacing w:before="0"/>
              <w:rPr>
                <w:szCs w:val="16"/>
              </w:rPr>
            </w:pPr>
            <w:r>
              <w:rPr>
                <w:szCs w:val="16"/>
              </w:rPr>
              <w:t>($)</w:t>
            </w: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Unit"/>
              <w:jc w:val="left"/>
            </w:pPr>
            <w:r>
              <w:rPr>
                <w:szCs w:val="16"/>
              </w:rPr>
              <w:t>1b. Larger car space</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13%</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0.78</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0.10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1b. Larger space and increased height</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2%</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0.78</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0.02</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2. Dwelling entrance - larger landing</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0.92</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0.09</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2. Dwelling entrance - less larger landing (from Silver compliant)</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0.38</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0.04</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3. Wider doors and wider corridor</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60%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1.50</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0.90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3. Wider doors and less wider corridor (from Silver compliant)</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1.00</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0.00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slider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80%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0.54</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0.43</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swing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2.16</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0.22</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5. Shower - additional space with slider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76%</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1.53</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1.16</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5. Shower - additional space with swing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9%</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1.99</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0.19</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lastRenderedPageBreak/>
              <w:t>8. Kitchen space</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60%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1.08</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0.65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8819BB">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9. Laundry space</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30%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0.54</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0.16</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EC39F3" w:rsidTr="008819BB">
        <w:trPr>
          <w:trHeight w:val="252"/>
        </w:trPr>
        <w:tc>
          <w:tcPr>
            <w:tcW w:w="2410"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EC39F3" w:rsidRDefault="007C6A5F" w:rsidP="00C36DA4">
            <w:pPr>
              <w:pStyle w:val="TableDataEntries"/>
              <w:jc w:val="left"/>
              <w:rPr>
                <w:rFonts w:ascii="Franklin Gothic Demi" w:hAnsi="Franklin Gothic Demi"/>
              </w:rPr>
            </w:pPr>
            <w:r w:rsidRPr="00EC39F3">
              <w:rPr>
                <w:rFonts w:ascii="Franklin Gothic Demi" w:hAnsi="Franklin Gothic Demi"/>
              </w:rPr>
              <w:t>Total impact</w:t>
            </w:r>
          </w:p>
        </w:tc>
        <w:tc>
          <w:tcPr>
            <w:tcW w:w="1843"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EC39F3" w:rsidRDefault="007C6A5F" w:rsidP="00C36DA4">
            <w:pPr>
              <w:pStyle w:val="TableDataEntries"/>
              <w:rPr>
                <w:rFonts w:ascii="Franklin Gothic Demi" w:hAnsi="Franklin Gothic Demi"/>
              </w:rPr>
            </w:pPr>
          </w:p>
        </w:tc>
        <w:tc>
          <w:tcPr>
            <w:tcW w:w="1134"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EC39F3" w:rsidRDefault="007C6A5F" w:rsidP="00C36DA4">
            <w:pPr>
              <w:pStyle w:val="TableDataEntries"/>
              <w:rPr>
                <w:rFonts w:ascii="Franklin Gothic Demi" w:hAnsi="Franklin Gothic Demi"/>
              </w:rPr>
            </w:pPr>
          </w:p>
        </w:tc>
        <w:tc>
          <w:tcPr>
            <w:tcW w:w="1417"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EC39F3" w:rsidRDefault="007C6A5F" w:rsidP="00C36DA4">
            <w:pPr>
              <w:pStyle w:val="TableDataEntries"/>
              <w:rPr>
                <w:rFonts w:ascii="Franklin Gothic Demi" w:hAnsi="Franklin Gothic Demi"/>
              </w:rPr>
            </w:pPr>
            <w:r>
              <w:rPr>
                <w:rFonts w:ascii="Franklin Gothic Demi" w:hAnsi="Franklin Gothic Demi"/>
              </w:rPr>
              <w:t>3.95</w:t>
            </w:r>
          </w:p>
        </w:tc>
        <w:tc>
          <w:tcPr>
            <w:tcW w:w="1133" w:type="dxa"/>
            <w:tcBorders>
              <w:top w:val="single" w:sz="8" w:space="0" w:color="FFFFFF" w:themeColor="background1"/>
              <w:bottom w:val="single" w:sz="4" w:space="0" w:color="6F6652" w:themeColor="accent5"/>
            </w:tcBorders>
            <w:shd w:val="clear" w:color="auto" w:fill="C2DADB" w:themeFill="accent6" w:themeFillTint="99"/>
          </w:tcPr>
          <w:p w:rsidR="007C6A5F" w:rsidRPr="00EC39F3" w:rsidRDefault="007C6A5F" w:rsidP="00C36DA4">
            <w:pPr>
              <w:pStyle w:val="TableDataEntries"/>
              <w:rPr>
                <w:rFonts w:ascii="Franklin Gothic Demi" w:hAnsi="Franklin Gothic Demi"/>
              </w:rPr>
            </w:pPr>
            <w:r w:rsidRPr="00EC39F3">
              <w:rPr>
                <w:rFonts w:ascii="Franklin Gothic Demi" w:hAnsi="Franklin Gothic Demi"/>
              </w:rPr>
              <w:t>2</w:t>
            </w:r>
            <w:r>
              <w:rPr>
                <w:rFonts w:ascii="Franklin Gothic Demi" w:hAnsi="Franklin Gothic Demi"/>
              </w:rPr>
              <w:t> 000</w:t>
            </w:r>
          </w:p>
        </w:tc>
      </w:tr>
    </w:tbl>
    <w:p w:rsidR="007C6A5F" w:rsidRDefault="007C6A5F" w:rsidP="007C6A5F">
      <w:pPr>
        <w:pStyle w:val="Source"/>
        <w:rPr>
          <w:lang w:bidi="fa-IR"/>
        </w:rPr>
      </w:pPr>
      <w:r w:rsidRPr="002E67CD">
        <w:rPr>
          <w:i/>
          <w:lang w:bidi="fa-IR"/>
        </w:rPr>
        <w:t>Source:</w:t>
      </w:r>
      <w:r>
        <w:rPr>
          <w:lang w:bidi="fa-IR"/>
        </w:rPr>
        <w:t xml:space="preserve"> CIE</w:t>
      </w:r>
      <w:r w:rsidR="00DE71A3">
        <w:rPr>
          <w:lang w:bidi="fa-IR"/>
        </w:rPr>
        <w:t>.</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w:instrText>
      </w:r>
      <w:r w:rsidRPr="00695C93">
        <w:fldChar w:fldCharType="separate"/>
      </w:r>
      <w:r>
        <w:rPr>
          <w:noProof/>
        </w:rPr>
        <w:instrText>J</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4</w:instrText>
      </w:r>
      <w:r w:rsidRPr="00695C93">
        <w:fldChar w:fldCharType="end"/>
      </w:r>
      <w:r w:rsidRPr="00695C93">
        <w:instrText xml:space="preserve">" "" </w:instrText>
      </w:r>
      <w:r w:rsidRPr="00695C93">
        <w:fldChar w:fldCharType="separate"/>
      </w:r>
      <w:bookmarkStart w:id="8357" w:name="_Caption3870"/>
      <w:bookmarkStart w:id="8358" w:name="_Caption4449"/>
      <w:bookmarkStart w:id="8359" w:name="_Caption5415"/>
      <w:bookmarkStart w:id="8360" w:name="_Caption1734"/>
      <w:bookmarkStart w:id="8361" w:name="_Caption6175"/>
      <w:bookmarkStart w:id="8362" w:name="_Caption0599"/>
      <w:bookmarkStart w:id="8363" w:name="_Caption6467"/>
      <w:bookmarkStart w:id="8364" w:name="_Caption2022"/>
      <w:bookmarkStart w:id="8365" w:name="_Caption7340"/>
      <w:bookmarkStart w:id="8366" w:name="_Caption0396"/>
      <w:bookmarkStart w:id="8367" w:name="_Caption3361"/>
      <w:bookmarkStart w:id="8368" w:name="_Caption4526"/>
      <w:bookmarkStart w:id="8369" w:name="_Caption6933"/>
      <w:bookmarkStart w:id="8370" w:name="_Caption8081"/>
      <w:bookmarkStart w:id="8371" w:name="_Caption4658"/>
      <w:bookmarkStart w:id="8372" w:name="_Caption0028"/>
      <w:bookmarkStart w:id="8373" w:name="_Caption6647"/>
      <w:bookmarkStart w:id="8374" w:name="_Caption9362"/>
      <w:bookmarkStart w:id="8375" w:name="_Caption8214"/>
      <w:bookmarkStart w:id="8376" w:name="_Caption0887"/>
      <w:bookmarkStart w:id="8377" w:name="_Caption5154"/>
      <w:bookmarkStart w:id="8378" w:name="_Caption6360"/>
      <w:bookmarkStart w:id="8379" w:name="_Caption5354"/>
      <w:bookmarkStart w:id="8380" w:name="_Caption1817"/>
      <w:bookmarkStart w:id="8381" w:name="_Caption3375"/>
      <w:bookmarkStart w:id="8382" w:name="_Caption9089"/>
      <w:bookmarkStart w:id="8383" w:name="_Caption2262"/>
      <w:bookmarkStart w:id="8384" w:name="_Caption4548"/>
      <w:bookmarkStart w:id="8385" w:name="_Caption6325"/>
      <w:bookmarkStart w:id="8386" w:name="_Caption5707"/>
      <w:bookmarkStart w:id="8387" w:name="_Caption4218"/>
      <w:bookmarkStart w:id="8388" w:name="_Caption3013"/>
      <w:bookmarkStart w:id="8389" w:name="_Caption7698"/>
      <w:bookmarkStart w:id="8390" w:name="_Caption4391"/>
      <w:bookmarkStart w:id="8391" w:name="_Toc32321912"/>
      <w:bookmarkStart w:id="8392" w:name="_Toc44598618"/>
      <w:bookmarkStart w:id="8393" w:name="_Toc45654249"/>
      <w:r w:rsidR="00272AF3">
        <w:rPr>
          <w:noProof/>
        </w:rPr>
        <w:t>J</w:t>
      </w:r>
      <w:r w:rsidR="00272AF3" w:rsidRPr="00695C93">
        <w:rPr>
          <w:noProof/>
        </w:rPr>
        <w:t>.</w:t>
      </w:r>
      <w:r w:rsidR="00272AF3">
        <w:rPr>
          <w:noProof/>
        </w:rPr>
        <w:t>4</w:t>
      </w:r>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r w:rsidRPr="00695C93">
        <w:fldChar w:fldCharType="end"/>
      </w:r>
      <w:r w:rsidRPr="00695C93">
        <w:tab/>
      </w:r>
      <w:r>
        <w:t>Total impact of Gold+ standard on space of volume build detached houses</w:t>
      </w:r>
      <w:bookmarkEnd w:id="8391"/>
      <w:bookmarkEnd w:id="8392"/>
      <w:bookmarkEnd w:id="8393"/>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J.4"/>
        <w:tblDescription w:val="Total impact of Gold+ standard on space of volume build detached houses"/>
      </w:tblPr>
      <w:tblGrid>
        <w:gridCol w:w="2410"/>
        <w:gridCol w:w="1843"/>
        <w:gridCol w:w="1134"/>
        <w:gridCol w:w="1417"/>
        <w:gridCol w:w="1133"/>
      </w:tblGrid>
      <w:tr w:rsidR="005F17BE" w:rsidRPr="002E67CD" w:rsidTr="005F50B7">
        <w:trPr>
          <w:trHeight w:val="252"/>
          <w:tblHeader/>
        </w:trPr>
        <w:tc>
          <w:tcPr>
            <w:tcW w:w="2410" w:type="dxa"/>
            <w:shd w:val="clear" w:color="auto" w:fill="6F6652" w:themeFill="accent5"/>
            <w:noWrap/>
            <w:hideMark/>
          </w:tcPr>
          <w:p w:rsidR="005F17BE" w:rsidRPr="002E67CD" w:rsidRDefault="005F17BE" w:rsidP="005F17BE">
            <w:pPr>
              <w:pStyle w:val="TableDataColumnHeading"/>
              <w:jc w:val="left"/>
            </w:pPr>
            <w:r>
              <w:t>Feature</w:t>
            </w:r>
          </w:p>
        </w:tc>
        <w:tc>
          <w:tcPr>
            <w:tcW w:w="1843" w:type="dxa"/>
            <w:shd w:val="clear" w:color="auto" w:fill="6F6652" w:themeFill="accent5"/>
            <w:noWrap/>
            <w:hideMark/>
          </w:tcPr>
          <w:p w:rsidR="005F17BE" w:rsidRDefault="005F17BE" w:rsidP="005F17BE">
            <w:pPr>
              <w:pStyle w:val="TableDataColumnHeading"/>
              <w:rPr>
                <w:szCs w:val="16"/>
              </w:rPr>
            </w:pPr>
            <w:r w:rsidRPr="00167FC0">
              <w:rPr>
                <w:szCs w:val="16"/>
              </w:rPr>
              <w:t>Scenario weight for space impact</w:t>
            </w:r>
          </w:p>
          <w:p w:rsidR="005F17BE" w:rsidRPr="00167FC0" w:rsidRDefault="005F17BE" w:rsidP="005F17BE">
            <w:pPr>
              <w:pStyle w:val="TableDataColumnHeading"/>
              <w:rPr>
                <w:szCs w:val="16"/>
              </w:rPr>
            </w:pPr>
            <w:r>
              <w:rPr>
                <w:szCs w:val="16"/>
              </w:rPr>
              <w:t>(Probability)</w:t>
            </w:r>
          </w:p>
        </w:tc>
        <w:tc>
          <w:tcPr>
            <w:tcW w:w="1134" w:type="dxa"/>
            <w:shd w:val="clear" w:color="auto" w:fill="6F6652" w:themeFill="accent5"/>
            <w:noWrap/>
            <w:hideMark/>
          </w:tcPr>
          <w:p w:rsidR="005F17BE" w:rsidRDefault="005F17BE" w:rsidP="005F17BE">
            <w:pPr>
              <w:pStyle w:val="TableDataColumnHeading"/>
              <w:rPr>
                <w:szCs w:val="16"/>
              </w:rPr>
            </w:pPr>
            <w:r w:rsidRPr="00167FC0">
              <w:rPr>
                <w:szCs w:val="16"/>
              </w:rPr>
              <w:t>Potential impact</w:t>
            </w:r>
          </w:p>
          <w:p w:rsidR="005F17BE" w:rsidRPr="00167FC0" w:rsidRDefault="005F17BE" w:rsidP="005F17BE">
            <w:pPr>
              <w:pStyle w:val="TableDataColumnHeading"/>
              <w:rPr>
                <w:szCs w:val="16"/>
              </w:rPr>
            </w:pPr>
            <w:r>
              <w:rPr>
                <w:szCs w:val="16"/>
              </w:rPr>
              <w:t>(sqm)</w:t>
            </w:r>
          </w:p>
        </w:tc>
        <w:tc>
          <w:tcPr>
            <w:tcW w:w="1417" w:type="dxa"/>
            <w:shd w:val="clear" w:color="auto" w:fill="6F6652" w:themeFill="accent5"/>
            <w:noWrap/>
            <w:hideMark/>
          </w:tcPr>
          <w:p w:rsidR="005F17BE" w:rsidRDefault="005F17BE" w:rsidP="005F17BE">
            <w:pPr>
              <w:pStyle w:val="TableDataColumnHeading"/>
              <w:rPr>
                <w:szCs w:val="16"/>
              </w:rPr>
            </w:pPr>
            <w:r w:rsidRPr="00167FC0">
              <w:rPr>
                <w:szCs w:val="16"/>
              </w:rPr>
              <w:t>Weighted average impact</w:t>
            </w:r>
          </w:p>
          <w:p w:rsidR="005F17BE" w:rsidRPr="00167FC0" w:rsidRDefault="005F17BE" w:rsidP="005F17BE">
            <w:pPr>
              <w:pStyle w:val="TableDataColumnHeading"/>
              <w:rPr>
                <w:szCs w:val="16"/>
              </w:rPr>
            </w:pPr>
            <w:r>
              <w:rPr>
                <w:szCs w:val="16"/>
              </w:rPr>
              <w:t>(sqm)</w:t>
            </w:r>
          </w:p>
        </w:tc>
        <w:tc>
          <w:tcPr>
            <w:tcW w:w="1133" w:type="dxa"/>
            <w:shd w:val="clear" w:color="auto" w:fill="6F6652" w:themeFill="accent5"/>
          </w:tcPr>
          <w:p w:rsidR="005F17BE" w:rsidRDefault="005F17BE" w:rsidP="005F17BE">
            <w:pPr>
              <w:pStyle w:val="TableDataColumnHeading"/>
              <w:rPr>
                <w:szCs w:val="16"/>
              </w:rPr>
            </w:pPr>
            <w:r w:rsidRPr="00167FC0">
              <w:rPr>
                <w:szCs w:val="16"/>
              </w:rPr>
              <w:t>Total impact</w:t>
            </w:r>
          </w:p>
          <w:p w:rsidR="005F17BE" w:rsidRDefault="005F17BE" w:rsidP="005F17BE">
            <w:pPr>
              <w:pStyle w:val="TableDataColumnHeading"/>
              <w:spacing w:before="0" w:after="0"/>
              <w:rPr>
                <w:szCs w:val="16"/>
              </w:rPr>
            </w:pPr>
          </w:p>
          <w:p w:rsidR="005F17BE" w:rsidRPr="00167FC0" w:rsidRDefault="005F17BE" w:rsidP="005F17BE">
            <w:pPr>
              <w:pStyle w:val="TableDataColumnHeading"/>
              <w:spacing w:before="0"/>
              <w:rPr>
                <w:szCs w:val="16"/>
              </w:rPr>
            </w:pPr>
            <w:r>
              <w:rPr>
                <w:szCs w:val="16"/>
              </w:rPr>
              <w:t>($)</w:t>
            </w: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Unit"/>
              <w:jc w:val="left"/>
            </w:pPr>
            <w:r>
              <w:rPr>
                <w:szCs w:val="16"/>
              </w:rPr>
              <w:t>1b. Larger car space</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13%</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0.78</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0.10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1b. Larger space and increased height</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2%</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0.78</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0.02</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2. Dwelling entrance - larger landing</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0.92</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0.09</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2. Dwelling entrance - less larger landing (from Silver compliant)</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0.38</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0.04</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3. Wider doors and wider corridor</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60%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1.50</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0.90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3. Wider doors and less wider corridor (from Silver compliant)</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1.00</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0.00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slider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80%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0.54</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0.43</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swing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2.16</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0.22</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5. Shower - additional space with slider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76%</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1.53</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1.16</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5. Shower - additional space with swing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9%</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1.99</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0.19</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8. Kitchen space</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60%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2.16</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1.30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8. Kitchen space (from Gold to Gold+)</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20%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1.08</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0.22</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0F1718">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9. Laundry space</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30%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1.17</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0.35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8819BB">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9. Laundry space (from Gold to Gold+)</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40%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0.63</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0.25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167FC0" w:rsidTr="008819BB">
        <w:trPr>
          <w:trHeight w:val="252"/>
        </w:trPr>
        <w:tc>
          <w:tcPr>
            <w:tcW w:w="2410"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167FC0" w:rsidRDefault="007C6A5F" w:rsidP="00C36DA4">
            <w:pPr>
              <w:pStyle w:val="TableDataEntries"/>
              <w:jc w:val="left"/>
              <w:rPr>
                <w:rFonts w:ascii="Franklin Gothic Demi" w:hAnsi="Franklin Gothic Demi"/>
              </w:rPr>
            </w:pPr>
            <w:r w:rsidRPr="00167FC0">
              <w:rPr>
                <w:rFonts w:ascii="Franklin Gothic Demi" w:hAnsi="Franklin Gothic Demi"/>
              </w:rPr>
              <w:t>Total impact</w:t>
            </w:r>
          </w:p>
        </w:tc>
        <w:tc>
          <w:tcPr>
            <w:tcW w:w="1843"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167FC0" w:rsidRDefault="007C6A5F" w:rsidP="00C36DA4">
            <w:pPr>
              <w:pStyle w:val="TableDataEntries"/>
              <w:rPr>
                <w:rFonts w:ascii="Franklin Gothic Demi" w:hAnsi="Franklin Gothic Demi"/>
              </w:rPr>
            </w:pPr>
          </w:p>
        </w:tc>
        <w:tc>
          <w:tcPr>
            <w:tcW w:w="1134"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167FC0" w:rsidRDefault="007C6A5F" w:rsidP="00C36DA4">
            <w:pPr>
              <w:pStyle w:val="TableDataEntries"/>
              <w:rPr>
                <w:rFonts w:ascii="Franklin Gothic Demi" w:hAnsi="Franklin Gothic Demi"/>
              </w:rPr>
            </w:pPr>
          </w:p>
        </w:tc>
        <w:tc>
          <w:tcPr>
            <w:tcW w:w="1417"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167FC0" w:rsidRDefault="007C6A5F" w:rsidP="00C36DA4">
            <w:pPr>
              <w:pStyle w:val="TableDataEntries"/>
              <w:rPr>
                <w:rFonts w:ascii="Franklin Gothic Demi" w:hAnsi="Franklin Gothic Demi"/>
              </w:rPr>
            </w:pPr>
            <w:r w:rsidRPr="00167FC0">
              <w:rPr>
                <w:rFonts w:ascii="Franklin Gothic Demi" w:hAnsi="Franklin Gothic Demi"/>
              </w:rPr>
              <w:t>5.</w:t>
            </w:r>
            <w:r>
              <w:rPr>
                <w:rFonts w:ascii="Franklin Gothic Demi" w:hAnsi="Franklin Gothic Demi"/>
              </w:rPr>
              <w:t>26</w:t>
            </w:r>
          </w:p>
        </w:tc>
        <w:tc>
          <w:tcPr>
            <w:tcW w:w="1133" w:type="dxa"/>
            <w:tcBorders>
              <w:top w:val="single" w:sz="8" w:space="0" w:color="FFFFFF" w:themeColor="background1"/>
              <w:bottom w:val="single" w:sz="4" w:space="0" w:color="6F6652" w:themeColor="accent5"/>
            </w:tcBorders>
            <w:shd w:val="clear" w:color="auto" w:fill="C2DADB" w:themeFill="accent6" w:themeFillTint="99"/>
          </w:tcPr>
          <w:p w:rsidR="007C6A5F" w:rsidRPr="00167FC0" w:rsidRDefault="007C6A5F" w:rsidP="00C36DA4">
            <w:pPr>
              <w:pStyle w:val="TableDataEntries"/>
              <w:rPr>
                <w:rFonts w:ascii="Franklin Gothic Demi" w:hAnsi="Franklin Gothic Demi"/>
              </w:rPr>
            </w:pPr>
            <w:r w:rsidRPr="00167FC0">
              <w:rPr>
                <w:rFonts w:ascii="Franklin Gothic Demi" w:hAnsi="Franklin Gothic Demi"/>
              </w:rPr>
              <w:t>2 </w:t>
            </w:r>
            <w:r>
              <w:rPr>
                <w:rFonts w:ascii="Franklin Gothic Demi" w:hAnsi="Franklin Gothic Demi"/>
              </w:rPr>
              <w:t>661</w:t>
            </w:r>
          </w:p>
        </w:tc>
      </w:tr>
    </w:tbl>
    <w:p w:rsidR="007C6A5F" w:rsidRDefault="007C6A5F" w:rsidP="007C6A5F">
      <w:pPr>
        <w:pStyle w:val="Source"/>
        <w:rPr>
          <w:lang w:bidi="fa-IR"/>
        </w:rPr>
      </w:pPr>
      <w:r w:rsidRPr="002E67CD">
        <w:rPr>
          <w:i/>
          <w:lang w:bidi="fa-IR"/>
        </w:rPr>
        <w:t>Source</w:t>
      </w:r>
      <w:r w:rsidR="00DE71A3">
        <w:rPr>
          <w:i/>
          <w:lang w:bidi="fa-IR"/>
        </w:rPr>
        <w:t xml:space="preserve"> </w:t>
      </w:r>
      <w:r w:rsidR="00DE71A3" w:rsidRPr="00DE71A3">
        <w:rPr>
          <w:iCs/>
          <w:lang w:bidi="fa-IR"/>
        </w:rPr>
        <w:t>CIE.</w:t>
      </w:r>
    </w:p>
    <w:p w:rsidR="007C6A5F" w:rsidRDefault="007C6A5F" w:rsidP="007C6A5F">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w:instrText>
      </w:r>
      <w:r w:rsidRPr="00695C93">
        <w:fldChar w:fldCharType="separate"/>
      </w:r>
      <w:r>
        <w:rPr>
          <w:noProof/>
        </w:rPr>
        <w:instrText>J</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5</w:instrText>
      </w:r>
      <w:r w:rsidRPr="00695C93">
        <w:fldChar w:fldCharType="end"/>
      </w:r>
      <w:r w:rsidRPr="00695C93">
        <w:instrText xml:space="preserve">" "" </w:instrText>
      </w:r>
      <w:r w:rsidRPr="00695C93">
        <w:fldChar w:fldCharType="separate"/>
      </w:r>
      <w:bookmarkStart w:id="8394" w:name="_Caption0908"/>
      <w:bookmarkStart w:id="8395" w:name="_Caption1915"/>
      <w:bookmarkStart w:id="8396" w:name="_Caption4338"/>
      <w:bookmarkStart w:id="8397" w:name="_Caption5166"/>
      <w:bookmarkStart w:id="8398" w:name="_Caption4628"/>
      <w:bookmarkStart w:id="8399" w:name="_Caption2467"/>
      <w:bookmarkStart w:id="8400" w:name="_Caption8993"/>
      <w:bookmarkStart w:id="8401" w:name="_Caption1338"/>
      <w:bookmarkStart w:id="8402" w:name="_Caption0022"/>
      <w:bookmarkStart w:id="8403" w:name="_Caption1158"/>
      <w:bookmarkStart w:id="8404" w:name="_Caption6672"/>
      <w:bookmarkStart w:id="8405" w:name="_Caption9193"/>
      <w:bookmarkStart w:id="8406" w:name="_Caption8709"/>
      <w:bookmarkStart w:id="8407" w:name="_Caption6586"/>
      <w:bookmarkStart w:id="8408" w:name="_Caption5295"/>
      <w:bookmarkStart w:id="8409" w:name="_Caption4154"/>
      <w:bookmarkStart w:id="8410" w:name="_Caption1840"/>
      <w:bookmarkStart w:id="8411" w:name="_Caption4227"/>
      <w:bookmarkStart w:id="8412" w:name="_Caption8852"/>
      <w:bookmarkStart w:id="8413" w:name="_Caption2081"/>
      <w:bookmarkStart w:id="8414" w:name="_Caption1046"/>
      <w:bookmarkStart w:id="8415" w:name="_Caption3262"/>
      <w:bookmarkStart w:id="8416" w:name="_Caption3325"/>
      <w:bookmarkStart w:id="8417" w:name="_Caption2934"/>
      <w:bookmarkStart w:id="8418" w:name="_Caption5725"/>
      <w:bookmarkStart w:id="8419" w:name="_Caption9218"/>
      <w:bookmarkStart w:id="8420" w:name="_Caption3824"/>
      <w:bookmarkStart w:id="8421" w:name="_Caption1970"/>
      <w:bookmarkStart w:id="8422" w:name="_Caption3707"/>
      <w:bookmarkStart w:id="8423" w:name="_Caption3703"/>
      <w:bookmarkStart w:id="8424" w:name="_Caption0921"/>
      <w:bookmarkStart w:id="8425" w:name="_Caption6692"/>
      <w:bookmarkStart w:id="8426" w:name="_Caption3289"/>
      <w:bookmarkStart w:id="8427" w:name="_Caption5032"/>
      <w:bookmarkStart w:id="8428" w:name="_Toc32321913"/>
      <w:bookmarkStart w:id="8429" w:name="_Toc44598619"/>
      <w:bookmarkStart w:id="8430" w:name="_Toc45654250"/>
      <w:r w:rsidR="00272AF3">
        <w:rPr>
          <w:noProof/>
        </w:rPr>
        <w:t>J</w:t>
      </w:r>
      <w:r w:rsidR="00272AF3" w:rsidRPr="00695C93">
        <w:rPr>
          <w:noProof/>
        </w:rPr>
        <w:t>.</w:t>
      </w:r>
      <w:r w:rsidR="00272AF3">
        <w:rPr>
          <w:noProof/>
        </w:rPr>
        <w:t>5</w:t>
      </w:r>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r w:rsidRPr="00695C93">
        <w:fldChar w:fldCharType="end"/>
      </w:r>
      <w:r w:rsidRPr="00695C93">
        <w:tab/>
      </w:r>
      <w:r>
        <w:t>Total impact of Silver standard on space of custom build detached houses</w:t>
      </w:r>
      <w:bookmarkEnd w:id="8428"/>
      <w:bookmarkEnd w:id="8429"/>
      <w:bookmarkEnd w:id="8430"/>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J.4"/>
        <w:tblDescription w:val="Total impact of Gold+ standard on space of volume build detached houses"/>
      </w:tblPr>
      <w:tblGrid>
        <w:gridCol w:w="2410"/>
        <w:gridCol w:w="1843"/>
        <w:gridCol w:w="1134"/>
        <w:gridCol w:w="1417"/>
        <w:gridCol w:w="1133"/>
      </w:tblGrid>
      <w:tr w:rsidR="005F17BE" w:rsidRPr="002E67CD" w:rsidTr="0031383F">
        <w:trPr>
          <w:trHeight w:val="252"/>
          <w:tblHeader/>
        </w:trPr>
        <w:tc>
          <w:tcPr>
            <w:tcW w:w="2410" w:type="dxa"/>
            <w:shd w:val="clear" w:color="auto" w:fill="6F6652" w:themeFill="accent5"/>
            <w:noWrap/>
            <w:hideMark/>
          </w:tcPr>
          <w:p w:rsidR="005F17BE" w:rsidRPr="002E67CD" w:rsidRDefault="002E76D5" w:rsidP="0031383F">
            <w:pPr>
              <w:pStyle w:val="TableDataColumnHeading"/>
              <w:jc w:val="left"/>
            </w:pPr>
            <w:r>
              <w:t>Design element</w:t>
            </w:r>
          </w:p>
        </w:tc>
        <w:tc>
          <w:tcPr>
            <w:tcW w:w="1843" w:type="dxa"/>
            <w:shd w:val="clear" w:color="auto" w:fill="6F6652" w:themeFill="accent5"/>
            <w:noWrap/>
            <w:hideMark/>
          </w:tcPr>
          <w:p w:rsidR="005F17BE" w:rsidRDefault="005F17BE" w:rsidP="0031383F">
            <w:pPr>
              <w:pStyle w:val="TableDataColumnHeading"/>
              <w:rPr>
                <w:szCs w:val="16"/>
              </w:rPr>
            </w:pPr>
            <w:r w:rsidRPr="00167FC0">
              <w:rPr>
                <w:szCs w:val="16"/>
              </w:rPr>
              <w:t>Scenario weight for space impact</w:t>
            </w:r>
          </w:p>
          <w:p w:rsidR="005F17BE" w:rsidRPr="00167FC0" w:rsidRDefault="005F17BE" w:rsidP="0031383F">
            <w:pPr>
              <w:pStyle w:val="TableDataColumnHeading"/>
              <w:rPr>
                <w:szCs w:val="16"/>
              </w:rPr>
            </w:pPr>
            <w:r>
              <w:rPr>
                <w:szCs w:val="16"/>
              </w:rPr>
              <w:t>(Probability)</w:t>
            </w:r>
          </w:p>
        </w:tc>
        <w:tc>
          <w:tcPr>
            <w:tcW w:w="1134" w:type="dxa"/>
            <w:shd w:val="clear" w:color="auto" w:fill="6F6652" w:themeFill="accent5"/>
            <w:noWrap/>
            <w:hideMark/>
          </w:tcPr>
          <w:p w:rsidR="005F17BE" w:rsidRDefault="005F17BE" w:rsidP="0031383F">
            <w:pPr>
              <w:pStyle w:val="TableDataColumnHeading"/>
              <w:rPr>
                <w:szCs w:val="16"/>
              </w:rPr>
            </w:pPr>
            <w:r w:rsidRPr="00167FC0">
              <w:rPr>
                <w:szCs w:val="16"/>
              </w:rPr>
              <w:t>Potential impact</w:t>
            </w:r>
          </w:p>
          <w:p w:rsidR="005F17BE" w:rsidRPr="00167FC0" w:rsidRDefault="005F17BE" w:rsidP="0031383F">
            <w:pPr>
              <w:pStyle w:val="TableDataColumnHeading"/>
              <w:rPr>
                <w:szCs w:val="16"/>
              </w:rPr>
            </w:pPr>
            <w:r>
              <w:rPr>
                <w:szCs w:val="16"/>
              </w:rPr>
              <w:t>(sqm)</w:t>
            </w:r>
          </w:p>
        </w:tc>
        <w:tc>
          <w:tcPr>
            <w:tcW w:w="1417" w:type="dxa"/>
            <w:shd w:val="clear" w:color="auto" w:fill="6F6652" w:themeFill="accent5"/>
            <w:noWrap/>
            <w:hideMark/>
          </w:tcPr>
          <w:p w:rsidR="005F17BE" w:rsidRDefault="005F17BE" w:rsidP="0031383F">
            <w:pPr>
              <w:pStyle w:val="TableDataColumnHeading"/>
              <w:rPr>
                <w:szCs w:val="16"/>
              </w:rPr>
            </w:pPr>
            <w:r w:rsidRPr="00167FC0">
              <w:rPr>
                <w:szCs w:val="16"/>
              </w:rPr>
              <w:t>Weighted average impact</w:t>
            </w:r>
          </w:p>
          <w:p w:rsidR="005F17BE" w:rsidRPr="00167FC0" w:rsidRDefault="005F17BE" w:rsidP="0031383F">
            <w:pPr>
              <w:pStyle w:val="TableDataColumnHeading"/>
              <w:rPr>
                <w:szCs w:val="16"/>
              </w:rPr>
            </w:pPr>
            <w:r>
              <w:rPr>
                <w:szCs w:val="16"/>
              </w:rPr>
              <w:t>(sqm)</w:t>
            </w:r>
          </w:p>
        </w:tc>
        <w:tc>
          <w:tcPr>
            <w:tcW w:w="1133" w:type="dxa"/>
            <w:shd w:val="clear" w:color="auto" w:fill="6F6652" w:themeFill="accent5"/>
          </w:tcPr>
          <w:p w:rsidR="005F17BE" w:rsidRDefault="005F17BE" w:rsidP="0031383F">
            <w:pPr>
              <w:pStyle w:val="TableDataColumnHeading"/>
              <w:rPr>
                <w:szCs w:val="16"/>
              </w:rPr>
            </w:pPr>
            <w:r w:rsidRPr="00167FC0">
              <w:rPr>
                <w:szCs w:val="16"/>
              </w:rPr>
              <w:t>Total impact</w:t>
            </w:r>
          </w:p>
          <w:p w:rsidR="005F17BE" w:rsidRDefault="005F17BE" w:rsidP="0031383F">
            <w:pPr>
              <w:pStyle w:val="TableDataColumnHeading"/>
              <w:spacing w:before="0" w:after="0"/>
              <w:rPr>
                <w:szCs w:val="16"/>
              </w:rPr>
            </w:pPr>
          </w:p>
          <w:p w:rsidR="005F17BE" w:rsidRPr="00167FC0" w:rsidRDefault="005F17BE" w:rsidP="0031383F">
            <w:pPr>
              <w:pStyle w:val="TableDataColumnHeading"/>
              <w:spacing w:before="0"/>
              <w:rPr>
                <w:szCs w:val="16"/>
              </w:rPr>
            </w:pPr>
            <w:r>
              <w:rPr>
                <w:szCs w:val="16"/>
              </w:rPr>
              <w:t>($)</w:t>
            </w: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Unit"/>
              <w:jc w:val="left"/>
            </w:pPr>
            <w:r>
              <w:rPr>
                <w:szCs w:val="16"/>
              </w:rPr>
              <w:t>1b. Larger car space</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pPr>
            <w:r>
              <w:rPr>
                <w:szCs w:val="16"/>
              </w:rPr>
              <w:t>25%</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pPr>
            <w:r>
              <w:rPr>
                <w:szCs w:val="16"/>
              </w:rPr>
              <w:t>0.78</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pPr>
            <w:r>
              <w:rPr>
                <w:szCs w:val="16"/>
              </w:rPr>
              <w:t>0.20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2E67CD"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2. Dwelling entrance - larger landing</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pPr>
            <w:r>
              <w:rPr>
                <w:szCs w:val="16"/>
              </w:rPr>
              <w:t>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pPr>
            <w:r>
              <w:rPr>
                <w:szCs w:val="16"/>
              </w:rPr>
              <w:t>0.54</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pPr>
            <w:r>
              <w:rPr>
                <w:szCs w:val="16"/>
              </w:rPr>
              <w:t>0.00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2E67CD"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3. Wider doors and wider corridor</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C36DA4">
            <w:pPr>
              <w:pStyle w:val="TableDataEntries"/>
            </w:pPr>
            <w:r>
              <w:rPr>
                <w:szCs w:val="16"/>
              </w:rPr>
              <w:t>30%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C36DA4">
            <w:pPr>
              <w:pStyle w:val="TableDataEntries"/>
            </w:pPr>
            <w:r>
              <w:rPr>
                <w:szCs w:val="16"/>
              </w:rPr>
              <w:t>0.50</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C36DA4">
            <w:pPr>
              <w:pStyle w:val="TableDataEntries"/>
            </w:pPr>
            <w:r>
              <w:rPr>
                <w:szCs w:val="16"/>
              </w:rPr>
              <w:t>0.15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2E67CD"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slider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C36DA4">
            <w:pPr>
              <w:pStyle w:val="TableDataEntries"/>
            </w:pPr>
            <w:r>
              <w:rPr>
                <w:szCs w:val="16"/>
              </w:rPr>
              <w:t>80%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C36DA4">
            <w:pPr>
              <w:pStyle w:val="TableDataEntries"/>
            </w:pPr>
            <w:r>
              <w:rPr>
                <w:szCs w:val="16"/>
              </w:rPr>
              <w:t>0.00</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Default="007C6A5F" w:rsidP="00C36DA4">
            <w:pPr>
              <w:pStyle w:val="TableDataEntries"/>
            </w:pPr>
            <w:r>
              <w:rPr>
                <w:szCs w:val="16"/>
              </w:rPr>
              <w:t>0.00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2E67CD" w:rsidRDefault="007C6A5F" w:rsidP="00C36DA4">
            <w:pPr>
              <w:pStyle w:val="TableDataEntries"/>
            </w:pPr>
          </w:p>
        </w:tc>
      </w:tr>
      <w:tr w:rsidR="007C6A5F" w:rsidRPr="002E67CD" w:rsidTr="008819BB">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4. Toilet - additional clear space with swing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pPr>
            <w:r>
              <w:rPr>
                <w:szCs w:val="16"/>
              </w:rPr>
              <w:t>10%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pPr>
            <w:r>
              <w:rPr>
                <w:szCs w:val="16"/>
              </w:rPr>
              <w:t>1.39</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pPr>
            <w:r>
              <w:rPr>
                <w:szCs w:val="16"/>
              </w:rPr>
              <w:t>0.14</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2E67CD" w:rsidRDefault="007C6A5F" w:rsidP="00C36DA4">
            <w:pPr>
              <w:pStyle w:val="TableDataEntries"/>
            </w:pPr>
          </w:p>
        </w:tc>
      </w:tr>
      <w:tr w:rsidR="007C6A5F" w:rsidRPr="00167FC0" w:rsidTr="008819BB">
        <w:trPr>
          <w:trHeight w:val="252"/>
        </w:trPr>
        <w:tc>
          <w:tcPr>
            <w:tcW w:w="2410"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167FC0" w:rsidRDefault="007C6A5F" w:rsidP="00C36DA4">
            <w:pPr>
              <w:pStyle w:val="TableDataEntries"/>
              <w:jc w:val="left"/>
              <w:rPr>
                <w:rFonts w:ascii="Franklin Gothic Demi" w:hAnsi="Franklin Gothic Demi"/>
              </w:rPr>
            </w:pPr>
            <w:r w:rsidRPr="00167FC0">
              <w:rPr>
                <w:rFonts w:ascii="Franklin Gothic Demi" w:hAnsi="Franklin Gothic Demi"/>
              </w:rPr>
              <w:t>Total impact</w:t>
            </w:r>
          </w:p>
        </w:tc>
        <w:tc>
          <w:tcPr>
            <w:tcW w:w="1843"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167FC0" w:rsidRDefault="007C6A5F" w:rsidP="00C36DA4">
            <w:pPr>
              <w:pStyle w:val="TableDataEntries"/>
              <w:rPr>
                <w:rFonts w:ascii="Franklin Gothic Demi" w:hAnsi="Franklin Gothic Demi"/>
              </w:rPr>
            </w:pPr>
          </w:p>
        </w:tc>
        <w:tc>
          <w:tcPr>
            <w:tcW w:w="1134"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167FC0" w:rsidRDefault="007C6A5F" w:rsidP="00C36DA4">
            <w:pPr>
              <w:pStyle w:val="TableDataEntries"/>
              <w:rPr>
                <w:rFonts w:ascii="Franklin Gothic Demi" w:hAnsi="Franklin Gothic Demi"/>
                <w:szCs w:val="20"/>
              </w:rPr>
            </w:pPr>
          </w:p>
        </w:tc>
        <w:tc>
          <w:tcPr>
            <w:tcW w:w="1417"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167FC0" w:rsidRDefault="007C6A5F" w:rsidP="00C36DA4">
            <w:pPr>
              <w:pStyle w:val="TableDataEntries"/>
              <w:rPr>
                <w:rFonts w:ascii="Franklin Gothic Demi" w:hAnsi="Franklin Gothic Demi"/>
              </w:rPr>
            </w:pPr>
            <w:r w:rsidRPr="00167FC0">
              <w:rPr>
                <w:rFonts w:ascii="Franklin Gothic Demi" w:hAnsi="Franklin Gothic Demi"/>
              </w:rPr>
              <w:t>0.</w:t>
            </w:r>
            <w:r>
              <w:rPr>
                <w:rFonts w:ascii="Franklin Gothic Demi" w:hAnsi="Franklin Gothic Demi"/>
              </w:rPr>
              <w:t>48</w:t>
            </w:r>
          </w:p>
        </w:tc>
        <w:tc>
          <w:tcPr>
            <w:tcW w:w="1133" w:type="dxa"/>
            <w:tcBorders>
              <w:top w:val="single" w:sz="8" w:space="0" w:color="FFFFFF" w:themeColor="background1"/>
              <w:bottom w:val="single" w:sz="4" w:space="0" w:color="6F6652" w:themeColor="accent5"/>
            </w:tcBorders>
            <w:shd w:val="clear" w:color="auto" w:fill="C2DADB" w:themeFill="accent6" w:themeFillTint="99"/>
          </w:tcPr>
          <w:p w:rsidR="007C6A5F" w:rsidRPr="00167FC0" w:rsidRDefault="007C6A5F" w:rsidP="00C36DA4">
            <w:pPr>
              <w:pStyle w:val="TableDataEntries"/>
              <w:rPr>
                <w:rFonts w:ascii="Franklin Gothic Demi" w:hAnsi="Franklin Gothic Demi"/>
              </w:rPr>
            </w:pPr>
            <w:r>
              <w:rPr>
                <w:rFonts w:ascii="Franklin Gothic Demi" w:hAnsi="Franklin Gothic Demi"/>
              </w:rPr>
              <w:t>245</w:t>
            </w:r>
          </w:p>
        </w:tc>
      </w:tr>
    </w:tbl>
    <w:p w:rsidR="007C6A5F" w:rsidRDefault="007C6A5F" w:rsidP="007C6A5F">
      <w:pPr>
        <w:pStyle w:val="Source"/>
        <w:rPr>
          <w:lang w:bidi="fa-IR"/>
        </w:rPr>
      </w:pPr>
      <w:r w:rsidRPr="002E67CD">
        <w:rPr>
          <w:i/>
          <w:lang w:bidi="fa-IR"/>
        </w:rPr>
        <w:t>Source:</w:t>
      </w:r>
      <w:r>
        <w:rPr>
          <w:lang w:bidi="fa-IR"/>
        </w:rPr>
        <w:t xml:space="preserve"> </w:t>
      </w:r>
      <w:r w:rsidR="00DE71A3">
        <w:rPr>
          <w:lang w:bidi="fa-IR"/>
        </w:rPr>
        <w:t>CIE.</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w:instrText>
      </w:r>
      <w:r w:rsidRPr="00695C93">
        <w:fldChar w:fldCharType="separate"/>
      </w:r>
      <w:r>
        <w:rPr>
          <w:noProof/>
        </w:rPr>
        <w:instrText>J</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6</w:instrText>
      </w:r>
      <w:r w:rsidRPr="00695C93">
        <w:fldChar w:fldCharType="end"/>
      </w:r>
      <w:r w:rsidRPr="00695C93">
        <w:instrText xml:space="preserve">" "" </w:instrText>
      </w:r>
      <w:r w:rsidRPr="00695C93">
        <w:fldChar w:fldCharType="separate"/>
      </w:r>
      <w:bookmarkStart w:id="8431" w:name="_Caption7678"/>
      <w:bookmarkStart w:id="8432" w:name="_Caption0044"/>
      <w:bookmarkStart w:id="8433" w:name="_Caption9192"/>
      <w:bookmarkStart w:id="8434" w:name="_Caption3105"/>
      <w:bookmarkStart w:id="8435" w:name="_Caption8640"/>
      <w:bookmarkStart w:id="8436" w:name="_Caption2317"/>
      <w:bookmarkStart w:id="8437" w:name="_Caption6774"/>
      <w:bookmarkStart w:id="8438" w:name="_Caption9441"/>
      <w:bookmarkStart w:id="8439" w:name="_Caption1087"/>
      <w:bookmarkStart w:id="8440" w:name="_Caption1066"/>
      <w:bookmarkStart w:id="8441" w:name="_Caption2039"/>
      <w:bookmarkStart w:id="8442" w:name="_Caption7672"/>
      <w:bookmarkStart w:id="8443" w:name="_Caption9883"/>
      <w:bookmarkStart w:id="8444" w:name="_Caption7240"/>
      <w:bookmarkStart w:id="8445" w:name="_Caption0570"/>
      <w:bookmarkStart w:id="8446" w:name="_Caption3811"/>
      <w:bookmarkStart w:id="8447" w:name="_Caption9958"/>
      <w:bookmarkStart w:id="8448" w:name="_Caption1302"/>
      <w:bookmarkStart w:id="8449" w:name="_Caption2351"/>
      <w:bookmarkStart w:id="8450" w:name="_Caption7060"/>
      <w:bookmarkStart w:id="8451" w:name="_Caption5452"/>
      <w:bookmarkStart w:id="8452" w:name="_Caption5678"/>
      <w:bookmarkStart w:id="8453" w:name="_Caption6396"/>
      <w:bookmarkStart w:id="8454" w:name="_Caption5538"/>
      <w:bookmarkStart w:id="8455" w:name="_Caption8462"/>
      <w:bookmarkStart w:id="8456" w:name="_Caption6710"/>
      <w:bookmarkStart w:id="8457" w:name="_Caption4176"/>
      <w:bookmarkStart w:id="8458" w:name="_Caption0246"/>
      <w:bookmarkStart w:id="8459" w:name="_Caption2731"/>
      <w:bookmarkStart w:id="8460" w:name="_Caption0473"/>
      <w:bookmarkStart w:id="8461" w:name="_Caption2391"/>
      <w:bookmarkStart w:id="8462" w:name="_Caption9572"/>
      <w:bookmarkStart w:id="8463" w:name="_Caption0059"/>
      <w:bookmarkStart w:id="8464" w:name="_Caption1525"/>
      <w:bookmarkStart w:id="8465" w:name="_Toc32321914"/>
      <w:bookmarkStart w:id="8466" w:name="_Toc44598620"/>
      <w:bookmarkStart w:id="8467" w:name="_Toc45654251"/>
      <w:r w:rsidR="00272AF3">
        <w:rPr>
          <w:noProof/>
        </w:rPr>
        <w:t>J</w:t>
      </w:r>
      <w:r w:rsidR="00272AF3" w:rsidRPr="00695C93">
        <w:rPr>
          <w:noProof/>
        </w:rPr>
        <w:t>.</w:t>
      </w:r>
      <w:r w:rsidR="00272AF3">
        <w:rPr>
          <w:noProof/>
        </w:rPr>
        <w:t>6</w:t>
      </w:r>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r w:rsidRPr="00695C93">
        <w:fldChar w:fldCharType="end"/>
      </w:r>
      <w:r w:rsidRPr="00695C93">
        <w:tab/>
      </w:r>
      <w:r>
        <w:t>Total impact of Gold standard on space of custom build detached houses</w:t>
      </w:r>
      <w:bookmarkEnd w:id="8465"/>
      <w:bookmarkEnd w:id="8466"/>
      <w:bookmarkEnd w:id="8467"/>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J.4"/>
        <w:tblDescription w:val="Total impact of Gold+ standard on space of volume build detached houses"/>
      </w:tblPr>
      <w:tblGrid>
        <w:gridCol w:w="2410"/>
        <w:gridCol w:w="1843"/>
        <w:gridCol w:w="1134"/>
        <w:gridCol w:w="1417"/>
        <w:gridCol w:w="1133"/>
      </w:tblGrid>
      <w:tr w:rsidR="005F17BE" w:rsidRPr="002E67CD" w:rsidTr="0031383F">
        <w:trPr>
          <w:trHeight w:val="252"/>
          <w:tblHeader/>
        </w:trPr>
        <w:tc>
          <w:tcPr>
            <w:tcW w:w="2410" w:type="dxa"/>
            <w:shd w:val="clear" w:color="auto" w:fill="6F6652" w:themeFill="accent5"/>
            <w:noWrap/>
            <w:hideMark/>
          </w:tcPr>
          <w:p w:rsidR="005F17BE" w:rsidRPr="002E67CD" w:rsidRDefault="00AD3048" w:rsidP="0031383F">
            <w:pPr>
              <w:pStyle w:val="TableDataColumnHeading"/>
              <w:jc w:val="left"/>
            </w:pPr>
            <w:r>
              <w:t>Design element</w:t>
            </w:r>
          </w:p>
        </w:tc>
        <w:tc>
          <w:tcPr>
            <w:tcW w:w="1843" w:type="dxa"/>
            <w:shd w:val="clear" w:color="auto" w:fill="6F6652" w:themeFill="accent5"/>
            <w:noWrap/>
            <w:hideMark/>
          </w:tcPr>
          <w:p w:rsidR="005F17BE" w:rsidRDefault="005F17BE" w:rsidP="0031383F">
            <w:pPr>
              <w:pStyle w:val="TableDataColumnHeading"/>
              <w:rPr>
                <w:szCs w:val="16"/>
              </w:rPr>
            </w:pPr>
            <w:r w:rsidRPr="00167FC0">
              <w:rPr>
                <w:szCs w:val="16"/>
              </w:rPr>
              <w:t>Scenario weight for space impact</w:t>
            </w:r>
          </w:p>
          <w:p w:rsidR="005F17BE" w:rsidRPr="00167FC0" w:rsidRDefault="005F17BE" w:rsidP="0031383F">
            <w:pPr>
              <w:pStyle w:val="TableDataColumnHeading"/>
              <w:rPr>
                <w:szCs w:val="16"/>
              </w:rPr>
            </w:pPr>
            <w:r>
              <w:rPr>
                <w:szCs w:val="16"/>
              </w:rPr>
              <w:t>(Probability)</w:t>
            </w:r>
          </w:p>
        </w:tc>
        <w:tc>
          <w:tcPr>
            <w:tcW w:w="1134" w:type="dxa"/>
            <w:shd w:val="clear" w:color="auto" w:fill="6F6652" w:themeFill="accent5"/>
            <w:noWrap/>
            <w:hideMark/>
          </w:tcPr>
          <w:p w:rsidR="005F17BE" w:rsidRDefault="005F17BE" w:rsidP="0031383F">
            <w:pPr>
              <w:pStyle w:val="TableDataColumnHeading"/>
              <w:rPr>
                <w:szCs w:val="16"/>
              </w:rPr>
            </w:pPr>
            <w:r w:rsidRPr="00167FC0">
              <w:rPr>
                <w:szCs w:val="16"/>
              </w:rPr>
              <w:t>Potential impact</w:t>
            </w:r>
          </w:p>
          <w:p w:rsidR="005F17BE" w:rsidRPr="00167FC0" w:rsidRDefault="005F17BE" w:rsidP="0031383F">
            <w:pPr>
              <w:pStyle w:val="TableDataColumnHeading"/>
              <w:rPr>
                <w:szCs w:val="16"/>
              </w:rPr>
            </w:pPr>
            <w:r>
              <w:rPr>
                <w:szCs w:val="16"/>
              </w:rPr>
              <w:t>(sqm)</w:t>
            </w:r>
          </w:p>
        </w:tc>
        <w:tc>
          <w:tcPr>
            <w:tcW w:w="1417" w:type="dxa"/>
            <w:shd w:val="clear" w:color="auto" w:fill="6F6652" w:themeFill="accent5"/>
            <w:noWrap/>
            <w:hideMark/>
          </w:tcPr>
          <w:p w:rsidR="005F17BE" w:rsidRDefault="005F17BE" w:rsidP="0031383F">
            <w:pPr>
              <w:pStyle w:val="TableDataColumnHeading"/>
              <w:rPr>
                <w:szCs w:val="16"/>
              </w:rPr>
            </w:pPr>
            <w:r w:rsidRPr="00167FC0">
              <w:rPr>
                <w:szCs w:val="16"/>
              </w:rPr>
              <w:t>Weighted average impact</w:t>
            </w:r>
          </w:p>
          <w:p w:rsidR="005F17BE" w:rsidRPr="00167FC0" w:rsidRDefault="005F17BE" w:rsidP="0031383F">
            <w:pPr>
              <w:pStyle w:val="TableDataColumnHeading"/>
              <w:rPr>
                <w:szCs w:val="16"/>
              </w:rPr>
            </w:pPr>
            <w:r>
              <w:rPr>
                <w:szCs w:val="16"/>
              </w:rPr>
              <w:t>(sqm)</w:t>
            </w:r>
          </w:p>
        </w:tc>
        <w:tc>
          <w:tcPr>
            <w:tcW w:w="1133" w:type="dxa"/>
            <w:shd w:val="clear" w:color="auto" w:fill="6F6652" w:themeFill="accent5"/>
          </w:tcPr>
          <w:p w:rsidR="005F17BE" w:rsidRDefault="005F17BE" w:rsidP="0031383F">
            <w:pPr>
              <w:pStyle w:val="TableDataColumnHeading"/>
              <w:rPr>
                <w:szCs w:val="16"/>
              </w:rPr>
            </w:pPr>
            <w:r w:rsidRPr="00167FC0">
              <w:rPr>
                <w:szCs w:val="16"/>
              </w:rPr>
              <w:t>Total impact</w:t>
            </w:r>
          </w:p>
          <w:p w:rsidR="005F17BE" w:rsidRDefault="005F17BE" w:rsidP="0031383F">
            <w:pPr>
              <w:pStyle w:val="TableDataColumnHeading"/>
              <w:spacing w:before="0" w:after="0"/>
              <w:rPr>
                <w:szCs w:val="16"/>
              </w:rPr>
            </w:pPr>
          </w:p>
          <w:p w:rsidR="005F17BE" w:rsidRPr="00167FC0" w:rsidRDefault="005F17BE" w:rsidP="0031383F">
            <w:pPr>
              <w:pStyle w:val="TableDataColumnHeading"/>
              <w:spacing w:before="0"/>
              <w:rPr>
                <w:szCs w:val="16"/>
              </w:rPr>
            </w:pPr>
            <w:r>
              <w:rPr>
                <w:szCs w:val="16"/>
              </w:rPr>
              <w:t>($)</w:t>
            </w: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Unit"/>
              <w:jc w:val="left"/>
            </w:pPr>
            <w:r>
              <w:rPr>
                <w:szCs w:val="16"/>
              </w:rPr>
              <w:t>1b. Larger car space</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19%</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0.78</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0.15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1b. Larger space and increased height</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6%</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0.78</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0.05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2. Dwelling entrance - larger landing</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0.92</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0.00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2. Dwelling entrance - less larger landing (from Silver compliant)</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0.38</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0.00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3. Wider doors and wider corridor</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30%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1.50</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0.45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3. Wider doors and less wider corridor (from Silver compliant)</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1.00</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0.00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slider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80%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0.54</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0.43</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swing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2.16</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0.22</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New toilet with slider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9%</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0.54</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0.05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New toilet with swing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0.77</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0.01</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5. Shower - additional space with slider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67%</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1.53</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1.02</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5. Shower - additional space with swing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8%</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1.99</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0.17</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8. Kitchen space</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40%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1.08</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0.43</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8819BB">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9. Laundry space</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30%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0.54</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0.16</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167FC0" w:rsidTr="008819BB">
        <w:trPr>
          <w:trHeight w:val="252"/>
        </w:trPr>
        <w:tc>
          <w:tcPr>
            <w:tcW w:w="2410"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167FC0" w:rsidRDefault="007C6A5F" w:rsidP="00C36DA4">
            <w:pPr>
              <w:pStyle w:val="TableDataEntries"/>
              <w:jc w:val="left"/>
              <w:rPr>
                <w:rFonts w:ascii="Franklin Gothic Demi" w:hAnsi="Franklin Gothic Demi"/>
              </w:rPr>
            </w:pPr>
            <w:r w:rsidRPr="00167FC0">
              <w:rPr>
                <w:rFonts w:ascii="Franklin Gothic Demi" w:hAnsi="Franklin Gothic Demi"/>
              </w:rPr>
              <w:t>Total impact</w:t>
            </w:r>
          </w:p>
        </w:tc>
        <w:tc>
          <w:tcPr>
            <w:tcW w:w="1843"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167FC0" w:rsidRDefault="007C6A5F" w:rsidP="00C36DA4">
            <w:pPr>
              <w:pStyle w:val="TableDataEntries"/>
              <w:rPr>
                <w:rFonts w:ascii="Franklin Gothic Demi" w:hAnsi="Franklin Gothic Demi"/>
              </w:rPr>
            </w:pPr>
          </w:p>
        </w:tc>
        <w:tc>
          <w:tcPr>
            <w:tcW w:w="1134"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167FC0" w:rsidRDefault="007C6A5F" w:rsidP="00C36DA4">
            <w:pPr>
              <w:pStyle w:val="TableDataEntries"/>
              <w:rPr>
                <w:rFonts w:ascii="Franklin Gothic Demi" w:hAnsi="Franklin Gothic Demi"/>
              </w:rPr>
            </w:pPr>
          </w:p>
        </w:tc>
        <w:tc>
          <w:tcPr>
            <w:tcW w:w="1417"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167FC0" w:rsidRDefault="007C6A5F" w:rsidP="00C36DA4">
            <w:pPr>
              <w:pStyle w:val="TableDataEntries"/>
              <w:rPr>
                <w:rFonts w:ascii="Franklin Gothic Demi" w:hAnsi="Franklin Gothic Demi"/>
              </w:rPr>
            </w:pPr>
            <w:r w:rsidRPr="00167FC0">
              <w:rPr>
                <w:rFonts w:ascii="Franklin Gothic Demi" w:hAnsi="Franklin Gothic Demi"/>
              </w:rPr>
              <w:t>3.</w:t>
            </w:r>
            <w:r>
              <w:rPr>
                <w:rFonts w:ascii="Franklin Gothic Demi" w:hAnsi="Franklin Gothic Demi"/>
              </w:rPr>
              <w:t>13</w:t>
            </w:r>
          </w:p>
        </w:tc>
        <w:tc>
          <w:tcPr>
            <w:tcW w:w="1133" w:type="dxa"/>
            <w:tcBorders>
              <w:top w:val="single" w:sz="8" w:space="0" w:color="FFFFFF" w:themeColor="background1"/>
              <w:bottom w:val="single" w:sz="4" w:space="0" w:color="6F6652" w:themeColor="accent5"/>
            </w:tcBorders>
            <w:shd w:val="clear" w:color="auto" w:fill="C2DADB" w:themeFill="accent6" w:themeFillTint="99"/>
          </w:tcPr>
          <w:p w:rsidR="007C6A5F" w:rsidRPr="00167FC0" w:rsidRDefault="007C6A5F" w:rsidP="00C36DA4">
            <w:pPr>
              <w:pStyle w:val="TableDataEntries"/>
              <w:rPr>
                <w:rFonts w:ascii="Franklin Gothic Demi" w:hAnsi="Franklin Gothic Demi"/>
              </w:rPr>
            </w:pPr>
            <w:r w:rsidRPr="00167FC0">
              <w:rPr>
                <w:rFonts w:ascii="Franklin Gothic Demi" w:hAnsi="Franklin Gothic Demi"/>
              </w:rPr>
              <w:t>1</w:t>
            </w:r>
            <w:r>
              <w:rPr>
                <w:rFonts w:ascii="Franklin Gothic Demi" w:hAnsi="Franklin Gothic Demi"/>
              </w:rPr>
              <w:t> </w:t>
            </w:r>
            <w:r w:rsidRPr="00167FC0">
              <w:rPr>
                <w:rFonts w:ascii="Franklin Gothic Demi" w:hAnsi="Franklin Gothic Demi"/>
              </w:rPr>
              <w:t>5</w:t>
            </w:r>
            <w:r>
              <w:rPr>
                <w:rFonts w:ascii="Franklin Gothic Demi" w:hAnsi="Franklin Gothic Demi"/>
              </w:rPr>
              <w:t>85</w:t>
            </w:r>
          </w:p>
        </w:tc>
      </w:tr>
    </w:tbl>
    <w:p w:rsidR="007C6A5F" w:rsidRDefault="007C6A5F" w:rsidP="007C6A5F">
      <w:pPr>
        <w:pStyle w:val="Source"/>
        <w:rPr>
          <w:lang w:bidi="fa-IR"/>
        </w:rPr>
      </w:pPr>
      <w:r w:rsidRPr="002E67CD">
        <w:rPr>
          <w:i/>
          <w:lang w:bidi="fa-IR"/>
        </w:rPr>
        <w:t>Source:</w:t>
      </w:r>
      <w:r>
        <w:rPr>
          <w:lang w:bidi="fa-IR"/>
        </w:rPr>
        <w:t xml:space="preserve"> </w:t>
      </w:r>
      <w:r w:rsidR="00DE71A3">
        <w:rPr>
          <w:lang w:bidi="fa-IR"/>
        </w:rPr>
        <w:t>CIE.</w:t>
      </w:r>
    </w:p>
    <w:p w:rsidR="007C6A5F" w:rsidRDefault="007C6A5F" w:rsidP="007C6A5F">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w:instrText>
      </w:r>
      <w:r w:rsidRPr="00695C93">
        <w:fldChar w:fldCharType="separate"/>
      </w:r>
      <w:r>
        <w:rPr>
          <w:noProof/>
        </w:rPr>
        <w:instrText>J</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7</w:instrText>
      </w:r>
      <w:r w:rsidRPr="00695C93">
        <w:fldChar w:fldCharType="end"/>
      </w:r>
      <w:r w:rsidRPr="00695C93">
        <w:instrText xml:space="preserve">" "" </w:instrText>
      </w:r>
      <w:r w:rsidRPr="00695C93">
        <w:fldChar w:fldCharType="separate"/>
      </w:r>
      <w:bookmarkStart w:id="8468" w:name="_Caption6812"/>
      <w:bookmarkStart w:id="8469" w:name="_Caption3557"/>
      <w:bookmarkStart w:id="8470" w:name="_Caption1132"/>
      <w:bookmarkStart w:id="8471" w:name="_Caption3333"/>
      <w:bookmarkStart w:id="8472" w:name="_Caption8850"/>
      <w:bookmarkStart w:id="8473" w:name="_Caption2718"/>
      <w:bookmarkStart w:id="8474" w:name="_Caption7043"/>
      <w:bookmarkStart w:id="8475" w:name="_Caption4649"/>
      <w:bookmarkStart w:id="8476" w:name="_Caption7150"/>
      <w:bookmarkStart w:id="8477" w:name="_Caption0061"/>
      <w:bookmarkStart w:id="8478" w:name="_Caption7682"/>
      <w:bookmarkStart w:id="8479" w:name="_Caption1624"/>
      <w:bookmarkStart w:id="8480" w:name="_Caption3039"/>
      <w:bookmarkStart w:id="8481" w:name="_Caption8242"/>
      <w:bookmarkStart w:id="8482" w:name="_Caption0356"/>
      <w:bookmarkStart w:id="8483" w:name="_Caption7523"/>
      <w:bookmarkStart w:id="8484" w:name="_Caption7830"/>
      <w:bookmarkStart w:id="8485" w:name="_Caption6069"/>
      <w:bookmarkStart w:id="8486" w:name="_Caption9253"/>
      <w:bookmarkStart w:id="8487" w:name="_Caption2615"/>
      <w:bookmarkStart w:id="8488" w:name="_Caption0939"/>
      <w:bookmarkStart w:id="8489" w:name="_Caption1085"/>
      <w:bookmarkStart w:id="8490" w:name="_Caption4023"/>
      <w:bookmarkStart w:id="8491" w:name="_Caption7567"/>
      <w:bookmarkStart w:id="8492" w:name="_Caption9596"/>
      <w:bookmarkStart w:id="8493" w:name="_Caption6559"/>
      <w:bookmarkStart w:id="8494" w:name="_Caption2426"/>
      <w:bookmarkStart w:id="8495" w:name="_Caption9759"/>
      <w:bookmarkStart w:id="8496" w:name="_Caption5595"/>
      <w:bookmarkStart w:id="8497" w:name="_Caption3654"/>
      <w:bookmarkStart w:id="8498" w:name="_Caption9241"/>
      <w:bookmarkStart w:id="8499" w:name="_Caption1741"/>
      <w:bookmarkStart w:id="8500" w:name="_Caption2909"/>
      <w:bookmarkStart w:id="8501" w:name="_Caption0378"/>
      <w:bookmarkStart w:id="8502" w:name="_Toc32321915"/>
      <w:bookmarkStart w:id="8503" w:name="_Toc44598621"/>
      <w:bookmarkStart w:id="8504" w:name="_Toc45654252"/>
      <w:r w:rsidR="00272AF3">
        <w:rPr>
          <w:noProof/>
        </w:rPr>
        <w:t>J</w:t>
      </w:r>
      <w:r w:rsidR="00272AF3" w:rsidRPr="00695C93">
        <w:rPr>
          <w:noProof/>
        </w:rPr>
        <w:t>.</w:t>
      </w:r>
      <w:r w:rsidR="00272AF3">
        <w:rPr>
          <w:noProof/>
        </w:rPr>
        <w:t>7</w:t>
      </w:r>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r w:rsidRPr="00695C93">
        <w:fldChar w:fldCharType="end"/>
      </w:r>
      <w:r w:rsidRPr="00695C93">
        <w:tab/>
      </w:r>
      <w:r>
        <w:t>Total impact of Gold+ standard on space of custom build detached houses</w:t>
      </w:r>
      <w:bookmarkEnd w:id="8502"/>
      <w:bookmarkEnd w:id="8503"/>
      <w:bookmarkEnd w:id="8504"/>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J.4"/>
        <w:tblDescription w:val="Total impact of Gold+ standard on space of volume build detached houses"/>
      </w:tblPr>
      <w:tblGrid>
        <w:gridCol w:w="2694"/>
        <w:gridCol w:w="1559"/>
        <w:gridCol w:w="1134"/>
        <w:gridCol w:w="1417"/>
        <w:gridCol w:w="1133"/>
      </w:tblGrid>
      <w:tr w:rsidR="005F17BE" w:rsidRPr="002E67CD" w:rsidTr="0079591B">
        <w:trPr>
          <w:trHeight w:val="252"/>
          <w:tblHeader/>
        </w:trPr>
        <w:tc>
          <w:tcPr>
            <w:tcW w:w="2694" w:type="dxa"/>
            <w:shd w:val="clear" w:color="auto" w:fill="6F6652" w:themeFill="accent5"/>
            <w:noWrap/>
            <w:hideMark/>
          </w:tcPr>
          <w:p w:rsidR="005F17BE" w:rsidRPr="002E67CD" w:rsidRDefault="00BD6F11" w:rsidP="0031383F">
            <w:pPr>
              <w:pStyle w:val="TableDataColumnHeading"/>
              <w:jc w:val="left"/>
            </w:pPr>
            <w:r>
              <w:t>Design element</w:t>
            </w:r>
          </w:p>
        </w:tc>
        <w:tc>
          <w:tcPr>
            <w:tcW w:w="1559" w:type="dxa"/>
            <w:shd w:val="clear" w:color="auto" w:fill="6F6652" w:themeFill="accent5"/>
            <w:noWrap/>
            <w:hideMark/>
          </w:tcPr>
          <w:p w:rsidR="005F17BE" w:rsidRDefault="005F17BE" w:rsidP="0031383F">
            <w:pPr>
              <w:pStyle w:val="TableDataColumnHeading"/>
              <w:rPr>
                <w:szCs w:val="16"/>
              </w:rPr>
            </w:pPr>
            <w:r w:rsidRPr="00167FC0">
              <w:rPr>
                <w:szCs w:val="16"/>
              </w:rPr>
              <w:t>Scenario weight for space impact</w:t>
            </w:r>
          </w:p>
          <w:p w:rsidR="005F17BE" w:rsidRPr="00167FC0" w:rsidRDefault="005F17BE" w:rsidP="0031383F">
            <w:pPr>
              <w:pStyle w:val="TableDataColumnHeading"/>
              <w:rPr>
                <w:szCs w:val="16"/>
              </w:rPr>
            </w:pPr>
            <w:r>
              <w:rPr>
                <w:szCs w:val="16"/>
              </w:rPr>
              <w:t>(Probability)</w:t>
            </w:r>
          </w:p>
        </w:tc>
        <w:tc>
          <w:tcPr>
            <w:tcW w:w="1134" w:type="dxa"/>
            <w:shd w:val="clear" w:color="auto" w:fill="6F6652" w:themeFill="accent5"/>
            <w:noWrap/>
            <w:hideMark/>
          </w:tcPr>
          <w:p w:rsidR="005F17BE" w:rsidRDefault="005F17BE" w:rsidP="0031383F">
            <w:pPr>
              <w:pStyle w:val="TableDataColumnHeading"/>
              <w:rPr>
                <w:szCs w:val="16"/>
              </w:rPr>
            </w:pPr>
            <w:r w:rsidRPr="00167FC0">
              <w:rPr>
                <w:szCs w:val="16"/>
              </w:rPr>
              <w:t>Potential impact</w:t>
            </w:r>
          </w:p>
          <w:p w:rsidR="005F17BE" w:rsidRPr="00167FC0" w:rsidRDefault="005F17BE" w:rsidP="0031383F">
            <w:pPr>
              <w:pStyle w:val="TableDataColumnHeading"/>
              <w:rPr>
                <w:szCs w:val="16"/>
              </w:rPr>
            </w:pPr>
            <w:r>
              <w:rPr>
                <w:szCs w:val="16"/>
              </w:rPr>
              <w:t>(sqm)</w:t>
            </w:r>
          </w:p>
        </w:tc>
        <w:tc>
          <w:tcPr>
            <w:tcW w:w="1417" w:type="dxa"/>
            <w:shd w:val="clear" w:color="auto" w:fill="6F6652" w:themeFill="accent5"/>
            <w:noWrap/>
            <w:hideMark/>
          </w:tcPr>
          <w:p w:rsidR="005F17BE" w:rsidRDefault="005F17BE" w:rsidP="0031383F">
            <w:pPr>
              <w:pStyle w:val="TableDataColumnHeading"/>
              <w:rPr>
                <w:szCs w:val="16"/>
              </w:rPr>
            </w:pPr>
            <w:r w:rsidRPr="00167FC0">
              <w:rPr>
                <w:szCs w:val="16"/>
              </w:rPr>
              <w:t>Weighted average impact</w:t>
            </w:r>
          </w:p>
          <w:p w:rsidR="005F17BE" w:rsidRPr="00167FC0" w:rsidRDefault="005F17BE" w:rsidP="0031383F">
            <w:pPr>
              <w:pStyle w:val="TableDataColumnHeading"/>
              <w:rPr>
                <w:szCs w:val="16"/>
              </w:rPr>
            </w:pPr>
            <w:r>
              <w:rPr>
                <w:szCs w:val="16"/>
              </w:rPr>
              <w:t>(sqm)</w:t>
            </w:r>
          </w:p>
        </w:tc>
        <w:tc>
          <w:tcPr>
            <w:tcW w:w="1133" w:type="dxa"/>
            <w:shd w:val="clear" w:color="auto" w:fill="6F6652" w:themeFill="accent5"/>
          </w:tcPr>
          <w:p w:rsidR="005F17BE" w:rsidRDefault="005F17BE" w:rsidP="0031383F">
            <w:pPr>
              <w:pStyle w:val="TableDataColumnHeading"/>
              <w:rPr>
                <w:szCs w:val="16"/>
              </w:rPr>
            </w:pPr>
            <w:r w:rsidRPr="00167FC0">
              <w:rPr>
                <w:szCs w:val="16"/>
              </w:rPr>
              <w:t>Total impact</w:t>
            </w:r>
          </w:p>
          <w:p w:rsidR="005F17BE" w:rsidRDefault="005F17BE" w:rsidP="0031383F">
            <w:pPr>
              <w:pStyle w:val="TableDataColumnHeading"/>
              <w:spacing w:before="0" w:after="0"/>
              <w:rPr>
                <w:szCs w:val="16"/>
              </w:rPr>
            </w:pPr>
          </w:p>
          <w:p w:rsidR="005F17BE" w:rsidRPr="00167FC0" w:rsidRDefault="005F17BE" w:rsidP="0031383F">
            <w:pPr>
              <w:pStyle w:val="TableDataColumnHeading"/>
              <w:spacing w:before="0"/>
              <w:rPr>
                <w:szCs w:val="16"/>
              </w:rPr>
            </w:pPr>
            <w:r>
              <w:rPr>
                <w:szCs w:val="16"/>
              </w:rPr>
              <w:t>($)</w:t>
            </w: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Unit"/>
              <w:jc w:val="left"/>
            </w:pPr>
            <w:r>
              <w:rPr>
                <w:szCs w:val="16"/>
              </w:rPr>
              <w:t>1b. Larger car space</w:t>
            </w:r>
          </w:p>
        </w:tc>
        <w:tc>
          <w:tcPr>
            <w:tcW w:w="1559"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19%</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0.78</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0.15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1b. Larger space and increased height</w:t>
            </w:r>
          </w:p>
        </w:tc>
        <w:tc>
          <w:tcPr>
            <w:tcW w:w="1559"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6%</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0.78</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0.05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2. Dwelling entrance - larger landing</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0.92</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0.00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2. Dwelling entrance - less larger landing (from Silver compliant)</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0.38</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0.00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3. Wider doors and wider corridor</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30%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1.50</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0.45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3. Wider doors and less wider corridor (from Silver compliant)</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1.00</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0.00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slider door design</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80%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0.54</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0.43</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swing door design</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2.16</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0.22</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New toilet with slider door design</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9%</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0.54</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0.05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New toilet with swing door design</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0.77</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0.01</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5. Shower - additional space with slider door design</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67%</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1.53</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1.02</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5. Shower - additional space with swing door design</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8%</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1.99</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0.17</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7. Internal stairways</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1.35</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0.00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8. Kitchen space</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40%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2.16</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0.86</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8. Kitchen space (from Gold to Gold+)</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1.08</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0.11</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9. Laundry space</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30%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1.17</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0.35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8819BB">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9. Laundry space (from Gold to Gold+)</w:t>
            </w:r>
          </w:p>
        </w:tc>
        <w:tc>
          <w:tcPr>
            <w:tcW w:w="1559"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40%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0.63</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0.25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167FC0" w:rsidTr="008819BB">
        <w:trPr>
          <w:trHeight w:val="252"/>
        </w:trPr>
        <w:tc>
          <w:tcPr>
            <w:tcW w:w="2694"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167FC0" w:rsidRDefault="007C6A5F" w:rsidP="00C36DA4">
            <w:pPr>
              <w:pStyle w:val="TableDataEntries"/>
              <w:jc w:val="left"/>
              <w:rPr>
                <w:rFonts w:ascii="Franklin Gothic Demi" w:hAnsi="Franklin Gothic Demi"/>
              </w:rPr>
            </w:pPr>
            <w:r w:rsidRPr="00167FC0">
              <w:rPr>
                <w:rFonts w:ascii="Franklin Gothic Demi" w:hAnsi="Franklin Gothic Demi"/>
              </w:rPr>
              <w:t>Total impact</w:t>
            </w:r>
          </w:p>
        </w:tc>
        <w:tc>
          <w:tcPr>
            <w:tcW w:w="1559"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167FC0" w:rsidRDefault="007C6A5F" w:rsidP="00C36DA4">
            <w:pPr>
              <w:pStyle w:val="TableDataEntries"/>
              <w:rPr>
                <w:rFonts w:ascii="Franklin Gothic Demi" w:hAnsi="Franklin Gothic Demi"/>
              </w:rPr>
            </w:pPr>
          </w:p>
        </w:tc>
        <w:tc>
          <w:tcPr>
            <w:tcW w:w="1134"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167FC0" w:rsidRDefault="007C6A5F" w:rsidP="00C36DA4">
            <w:pPr>
              <w:pStyle w:val="TableDataEntries"/>
              <w:rPr>
                <w:rFonts w:ascii="Franklin Gothic Demi" w:hAnsi="Franklin Gothic Demi"/>
              </w:rPr>
            </w:pPr>
          </w:p>
        </w:tc>
        <w:tc>
          <w:tcPr>
            <w:tcW w:w="1417"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167FC0" w:rsidRDefault="007C6A5F" w:rsidP="00C36DA4">
            <w:pPr>
              <w:pStyle w:val="TableDataEntries"/>
              <w:rPr>
                <w:rFonts w:ascii="Franklin Gothic Demi" w:hAnsi="Franklin Gothic Demi"/>
              </w:rPr>
            </w:pPr>
            <w:r>
              <w:rPr>
                <w:rFonts w:ascii="Franklin Gothic Demi" w:hAnsi="Franklin Gothic Demi"/>
              </w:rPr>
              <w:t>4.11</w:t>
            </w:r>
          </w:p>
        </w:tc>
        <w:tc>
          <w:tcPr>
            <w:tcW w:w="1133" w:type="dxa"/>
            <w:tcBorders>
              <w:top w:val="single" w:sz="8" w:space="0" w:color="FFFFFF" w:themeColor="background1"/>
              <w:bottom w:val="single" w:sz="4" w:space="0" w:color="6F6652" w:themeColor="accent5"/>
            </w:tcBorders>
            <w:shd w:val="clear" w:color="auto" w:fill="C2DADB" w:themeFill="accent6" w:themeFillTint="99"/>
          </w:tcPr>
          <w:p w:rsidR="007C6A5F" w:rsidRPr="00167FC0" w:rsidRDefault="007C6A5F" w:rsidP="00C36DA4">
            <w:pPr>
              <w:pStyle w:val="TableDataEntries"/>
              <w:rPr>
                <w:rFonts w:ascii="Franklin Gothic Demi" w:hAnsi="Franklin Gothic Demi"/>
              </w:rPr>
            </w:pPr>
            <w:r>
              <w:rPr>
                <w:rFonts w:ascii="Franklin Gothic Demi" w:hAnsi="Franklin Gothic Demi"/>
              </w:rPr>
              <w:t>2 082</w:t>
            </w:r>
          </w:p>
        </w:tc>
      </w:tr>
    </w:tbl>
    <w:p w:rsidR="007C6A5F" w:rsidRDefault="007C6A5F" w:rsidP="007C6A5F">
      <w:pPr>
        <w:pStyle w:val="Source"/>
        <w:rPr>
          <w:lang w:bidi="fa-IR"/>
        </w:rPr>
      </w:pPr>
      <w:r w:rsidRPr="002E67CD">
        <w:rPr>
          <w:i/>
          <w:lang w:bidi="fa-IR"/>
        </w:rPr>
        <w:t>Source:</w:t>
      </w:r>
      <w:r>
        <w:rPr>
          <w:lang w:bidi="fa-IR"/>
        </w:rPr>
        <w:t xml:space="preserve"> </w:t>
      </w:r>
      <w:r w:rsidR="00DE71A3">
        <w:rPr>
          <w:lang w:bidi="fa-IR"/>
        </w:rPr>
        <w:t>CIE.</w:t>
      </w:r>
    </w:p>
    <w:p w:rsidR="007C6A5F" w:rsidRDefault="007C6A5F" w:rsidP="007C6A5F">
      <w:pPr>
        <w:pStyle w:val="Heading7"/>
        <w:numPr>
          <w:ilvl w:val="6"/>
          <w:numId w:val="5"/>
        </w:numPr>
        <w:rPr>
          <w:lang w:bidi="fa-IR"/>
        </w:rPr>
      </w:pPr>
      <w:r>
        <w:rPr>
          <w:lang w:bidi="fa-IR"/>
        </w:rPr>
        <w:t>Space impacts: townhouses</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w:instrText>
      </w:r>
      <w:r w:rsidRPr="00695C93">
        <w:fldChar w:fldCharType="separate"/>
      </w:r>
      <w:r>
        <w:rPr>
          <w:noProof/>
        </w:rPr>
        <w:instrText>J</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8</w:instrText>
      </w:r>
      <w:r w:rsidRPr="00695C93">
        <w:fldChar w:fldCharType="end"/>
      </w:r>
      <w:r w:rsidRPr="00695C93">
        <w:instrText xml:space="preserve">" "" </w:instrText>
      </w:r>
      <w:r w:rsidRPr="00695C93">
        <w:fldChar w:fldCharType="separate"/>
      </w:r>
      <w:bookmarkStart w:id="8505" w:name="_Caption4217"/>
      <w:bookmarkStart w:id="8506" w:name="_Caption7752"/>
      <w:bookmarkStart w:id="8507" w:name="_Caption5621"/>
      <w:bookmarkStart w:id="8508" w:name="_Caption1368"/>
      <w:bookmarkStart w:id="8509" w:name="_Caption9679"/>
      <w:bookmarkStart w:id="8510" w:name="_Caption0527"/>
      <w:bookmarkStart w:id="8511" w:name="_Caption8893"/>
      <w:bookmarkStart w:id="8512" w:name="_Caption3272"/>
      <w:bookmarkStart w:id="8513" w:name="_Caption9684"/>
      <w:bookmarkStart w:id="8514" w:name="_Caption7438"/>
      <w:bookmarkStart w:id="8515" w:name="_Caption8710"/>
      <w:bookmarkStart w:id="8516" w:name="_Caption9274"/>
      <w:bookmarkStart w:id="8517" w:name="_Caption7765"/>
      <w:bookmarkStart w:id="8518" w:name="_Caption7174"/>
      <w:bookmarkStart w:id="8519" w:name="_Caption1704"/>
      <w:bookmarkStart w:id="8520" w:name="_Caption5280"/>
      <w:bookmarkStart w:id="8521" w:name="_Caption1355"/>
      <w:bookmarkStart w:id="8522" w:name="_Caption1155"/>
      <w:bookmarkStart w:id="8523" w:name="_Caption4940"/>
      <w:bookmarkStart w:id="8524" w:name="_Caption6081"/>
      <w:bookmarkStart w:id="8525" w:name="_Caption4490"/>
      <w:bookmarkStart w:id="8526" w:name="_Caption0249"/>
      <w:bookmarkStart w:id="8527" w:name="_Caption9257"/>
      <w:bookmarkStart w:id="8528" w:name="_Caption1759"/>
      <w:bookmarkStart w:id="8529" w:name="_Caption4769"/>
      <w:bookmarkStart w:id="8530" w:name="_Caption6614"/>
      <w:bookmarkStart w:id="8531" w:name="_Caption2305"/>
      <w:bookmarkStart w:id="8532" w:name="_Caption3656"/>
      <w:bookmarkStart w:id="8533" w:name="_Caption6089"/>
      <w:bookmarkStart w:id="8534" w:name="_Caption1839"/>
      <w:bookmarkStart w:id="8535" w:name="_Caption4382"/>
      <w:bookmarkStart w:id="8536" w:name="_Caption9331"/>
      <w:bookmarkStart w:id="8537" w:name="_Caption5727"/>
      <w:bookmarkStart w:id="8538" w:name="_Caption3649"/>
      <w:bookmarkStart w:id="8539" w:name="_Toc32321916"/>
      <w:bookmarkStart w:id="8540" w:name="_Toc44598622"/>
      <w:bookmarkStart w:id="8541" w:name="_Toc45654253"/>
      <w:r w:rsidR="00272AF3">
        <w:rPr>
          <w:noProof/>
        </w:rPr>
        <w:t>J</w:t>
      </w:r>
      <w:r w:rsidR="00272AF3" w:rsidRPr="00695C93">
        <w:rPr>
          <w:noProof/>
        </w:rPr>
        <w:t>.</w:t>
      </w:r>
      <w:r w:rsidR="00272AF3">
        <w:rPr>
          <w:noProof/>
        </w:rPr>
        <w:t>8</w:t>
      </w:r>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r w:rsidRPr="00695C93">
        <w:fldChar w:fldCharType="end"/>
      </w:r>
      <w:r w:rsidRPr="00695C93">
        <w:tab/>
      </w:r>
      <w:r>
        <w:t>Total impact of Silver standard on space of townhouses</w:t>
      </w:r>
      <w:bookmarkEnd w:id="8539"/>
      <w:bookmarkEnd w:id="8540"/>
      <w:bookmarkEnd w:id="8541"/>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J.4"/>
        <w:tblDescription w:val="Total impact of Gold+ standard on space of volume build detached houses"/>
      </w:tblPr>
      <w:tblGrid>
        <w:gridCol w:w="2694"/>
        <w:gridCol w:w="1559"/>
        <w:gridCol w:w="1134"/>
        <w:gridCol w:w="1417"/>
        <w:gridCol w:w="1133"/>
      </w:tblGrid>
      <w:tr w:rsidR="005F17BE" w:rsidRPr="002E67CD" w:rsidTr="00BE216A">
        <w:trPr>
          <w:trHeight w:val="252"/>
          <w:tblHeader/>
        </w:trPr>
        <w:tc>
          <w:tcPr>
            <w:tcW w:w="2694" w:type="dxa"/>
            <w:shd w:val="clear" w:color="auto" w:fill="6F6652" w:themeFill="accent5"/>
            <w:noWrap/>
            <w:hideMark/>
          </w:tcPr>
          <w:p w:rsidR="005F17BE" w:rsidRPr="002E67CD" w:rsidRDefault="00BD6F11" w:rsidP="0031383F">
            <w:pPr>
              <w:pStyle w:val="TableDataColumnHeading"/>
              <w:jc w:val="left"/>
            </w:pPr>
            <w:r>
              <w:t>Design element</w:t>
            </w:r>
          </w:p>
        </w:tc>
        <w:tc>
          <w:tcPr>
            <w:tcW w:w="1559" w:type="dxa"/>
            <w:shd w:val="clear" w:color="auto" w:fill="6F6652" w:themeFill="accent5"/>
            <w:noWrap/>
            <w:hideMark/>
          </w:tcPr>
          <w:p w:rsidR="005F17BE" w:rsidRDefault="005F17BE" w:rsidP="0031383F">
            <w:pPr>
              <w:pStyle w:val="TableDataColumnHeading"/>
              <w:rPr>
                <w:szCs w:val="16"/>
              </w:rPr>
            </w:pPr>
            <w:r w:rsidRPr="00167FC0">
              <w:rPr>
                <w:szCs w:val="16"/>
              </w:rPr>
              <w:t>Scenario weight for space impact</w:t>
            </w:r>
          </w:p>
          <w:p w:rsidR="005F17BE" w:rsidRPr="00167FC0" w:rsidRDefault="005F17BE" w:rsidP="0031383F">
            <w:pPr>
              <w:pStyle w:val="TableDataColumnHeading"/>
              <w:rPr>
                <w:szCs w:val="16"/>
              </w:rPr>
            </w:pPr>
            <w:r>
              <w:rPr>
                <w:szCs w:val="16"/>
              </w:rPr>
              <w:t>(Probability)</w:t>
            </w:r>
          </w:p>
        </w:tc>
        <w:tc>
          <w:tcPr>
            <w:tcW w:w="1134" w:type="dxa"/>
            <w:shd w:val="clear" w:color="auto" w:fill="6F6652" w:themeFill="accent5"/>
            <w:noWrap/>
            <w:hideMark/>
          </w:tcPr>
          <w:p w:rsidR="005F17BE" w:rsidRDefault="005F17BE" w:rsidP="0031383F">
            <w:pPr>
              <w:pStyle w:val="TableDataColumnHeading"/>
              <w:rPr>
                <w:szCs w:val="16"/>
              </w:rPr>
            </w:pPr>
            <w:r w:rsidRPr="00167FC0">
              <w:rPr>
                <w:szCs w:val="16"/>
              </w:rPr>
              <w:t>Potential impact</w:t>
            </w:r>
          </w:p>
          <w:p w:rsidR="005F17BE" w:rsidRPr="00167FC0" w:rsidRDefault="005F17BE" w:rsidP="0031383F">
            <w:pPr>
              <w:pStyle w:val="TableDataColumnHeading"/>
              <w:rPr>
                <w:szCs w:val="16"/>
              </w:rPr>
            </w:pPr>
            <w:r>
              <w:rPr>
                <w:szCs w:val="16"/>
              </w:rPr>
              <w:t>(sqm)</w:t>
            </w:r>
          </w:p>
        </w:tc>
        <w:tc>
          <w:tcPr>
            <w:tcW w:w="1417" w:type="dxa"/>
            <w:shd w:val="clear" w:color="auto" w:fill="6F6652" w:themeFill="accent5"/>
            <w:noWrap/>
            <w:hideMark/>
          </w:tcPr>
          <w:p w:rsidR="005F17BE" w:rsidRDefault="005F17BE" w:rsidP="0031383F">
            <w:pPr>
              <w:pStyle w:val="TableDataColumnHeading"/>
              <w:rPr>
                <w:szCs w:val="16"/>
              </w:rPr>
            </w:pPr>
            <w:r w:rsidRPr="00167FC0">
              <w:rPr>
                <w:szCs w:val="16"/>
              </w:rPr>
              <w:t>Weighted average impact</w:t>
            </w:r>
          </w:p>
          <w:p w:rsidR="005F17BE" w:rsidRPr="00167FC0" w:rsidRDefault="005F17BE" w:rsidP="0031383F">
            <w:pPr>
              <w:pStyle w:val="TableDataColumnHeading"/>
              <w:rPr>
                <w:szCs w:val="16"/>
              </w:rPr>
            </w:pPr>
            <w:r>
              <w:rPr>
                <w:szCs w:val="16"/>
              </w:rPr>
              <w:t>(sqm)</w:t>
            </w:r>
          </w:p>
        </w:tc>
        <w:tc>
          <w:tcPr>
            <w:tcW w:w="1133" w:type="dxa"/>
            <w:shd w:val="clear" w:color="auto" w:fill="6F6652" w:themeFill="accent5"/>
          </w:tcPr>
          <w:p w:rsidR="005F17BE" w:rsidRDefault="005F17BE" w:rsidP="0031383F">
            <w:pPr>
              <w:pStyle w:val="TableDataColumnHeading"/>
              <w:rPr>
                <w:szCs w:val="16"/>
              </w:rPr>
            </w:pPr>
            <w:r w:rsidRPr="00167FC0">
              <w:rPr>
                <w:szCs w:val="16"/>
              </w:rPr>
              <w:t>Total impact</w:t>
            </w:r>
          </w:p>
          <w:p w:rsidR="005F17BE" w:rsidRDefault="005F17BE" w:rsidP="0031383F">
            <w:pPr>
              <w:pStyle w:val="TableDataColumnHeading"/>
              <w:spacing w:before="0" w:after="0"/>
              <w:rPr>
                <w:szCs w:val="16"/>
              </w:rPr>
            </w:pPr>
          </w:p>
          <w:p w:rsidR="005F17BE" w:rsidRPr="00167FC0" w:rsidRDefault="005F17BE" w:rsidP="0031383F">
            <w:pPr>
              <w:pStyle w:val="TableDataColumnHeading"/>
              <w:spacing w:before="0"/>
              <w:rPr>
                <w:szCs w:val="16"/>
              </w:rPr>
            </w:pPr>
            <w:r>
              <w:rPr>
                <w:szCs w:val="16"/>
              </w:rPr>
              <w:t>($)</w:t>
            </w: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Unit"/>
              <w:jc w:val="left"/>
            </w:pPr>
            <w:r>
              <w:rPr>
                <w:szCs w:val="16"/>
              </w:rPr>
              <w:t>1b. Larger car space</w:t>
            </w:r>
          </w:p>
        </w:tc>
        <w:tc>
          <w:tcPr>
            <w:tcW w:w="1559" w:type="dxa"/>
            <w:tcBorders>
              <w:top w:val="single" w:sz="8" w:space="0" w:color="FFFFFF" w:themeColor="background1"/>
              <w:bottom w:val="single" w:sz="8" w:space="0" w:color="FFFFFF" w:themeColor="background1"/>
            </w:tcBorders>
            <w:shd w:val="clear" w:color="auto" w:fill="E9E8E5" w:themeFill="background2"/>
            <w:noWrap/>
            <w:hideMark/>
          </w:tcPr>
          <w:p w:rsidR="007C6A5F" w:rsidRPr="00E92E11" w:rsidRDefault="007C6A5F" w:rsidP="00C36DA4">
            <w:pPr>
              <w:pStyle w:val="TableDataEntries"/>
            </w:pPr>
            <w:r>
              <w:rPr>
                <w:szCs w:val="16"/>
              </w:rPr>
              <w:t>15%</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E92E11" w:rsidRDefault="007C6A5F" w:rsidP="00C36DA4">
            <w:pPr>
              <w:pStyle w:val="TableDataEntries"/>
            </w:pPr>
            <w:r>
              <w:rPr>
                <w:szCs w:val="16"/>
              </w:rPr>
              <w:t>0.78</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E92E11" w:rsidRDefault="007C6A5F" w:rsidP="00C36DA4">
            <w:pPr>
              <w:pStyle w:val="TableDataEntries"/>
            </w:pPr>
            <w:r>
              <w:rPr>
                <w:szCs w:val="16"/>
              </w:rPr>
              <w:t>0.12</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E92E11" w:rsidRDefault="007C6A5F" w:rsidP="00C36DA4">
            <w:pPr>
              <w:pStyle w:val="TableDataEntries"/>
            </w:pPr>
            <w:r w:rsidRPr="00E92E11">
              <w:t>-</w:t>
            </w: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2. Dwelling entrance - larger landing</w:t>
            </w:r>
          </w:p>
        </w:tc>
        <w:tc>
          <w:tcPr>
            <w:tcW w:w="1559" w:type="dxa"/>
            <w:tcBorders>
              <w:top w:val="single" w:sz="8" w:space="0" w:color="FFFFFF" w:themeColor="background1"/>
              <w:bottom w:val="single" w:sz="8" w:space="0" w:color="FFFFFF" w:themeColor="background1"/>
            </w:tcBorders>
            <w:shd w:val="clear" w:color="auto" w:fill="E9E8E5" w:themeFill="background2"/>
            <w:noWrap/>
            <w:hideMark/>
          </w:tcPr>
          <w:p w:rsidR="007C6A5F" w:rsidRPr="00E92E11" w:rsidRDefault="007C6A5F" w:rsidP="00C36DA4">
            <w:pPr>
              <w:pStyle w:val="TableDataEntries"/>
            </w:pPr>
            <w:r>
              <w:rPr>
                <w:szCs w:val="16"/>
              </w:rPr>
              <w:t>60%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E92E11" w:rsidRDefault="007C6A5F" w:rsidP="00C36DA4">
            <w:pPr>
              <w:pStyle w:val="TableDataEntries"/>
            </w:pPr>
            <w:r>
              <w:rPr>
                <w:szCs w:val="16"/>
              </w:rPr>
              <w:t>0.54</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E92E11" w:rsidRDefault="007C6A5F" w:rsidP="00C36DA4">
            <w:pPr>
              <w:pStyle w:val="TableDataEntries"/>
            </w:pPr>
            <w:r>
              <w:rPr>
                <w:szCs w:val="16"/>
              </w:rPr>
              <w:t>0.32</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E92E11" w:rsidRDefault="007C6A5F" w:rsidP="00C36DA4">
            <w:pPr>
              <w:pStyle w:val="TableDataEntries"/>
            </w:pPr>
            <w:r w:rsidRPr="00E92E11">
              <w:t>-</w:t>
            </w: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3. Wider doors and wider corridor</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E92E11" w:rsidRDefault="007C6A5F" w:rsidP="00C36DA4">
            <w:pPr>
              <w:pStyle w:val="TableDataEntries"/>
            </w:pPr>
            <w:r>
              <w:rPr>
                <w:szCs w:val="16"/>
              </w:rPr>
              <w:t>70%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E92E11" w:rsidRDefault="007C6A5F" w:rsidP="00C36DA4">
            <w:pPr>
              <w:pStyle w:val="TableDataEntries"/>
            </w:pPr>
            <w:r>
              <w:rPr>
                <w:szCs w:val="16"/>
              </w:rPr>
              <w:t>0.50</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E92E11" w:rsidRDefault="007C6A5F" w:rsidP="00C36DA4">
            <w:pPr>
              <w:pStyle w:val="TableDataEntries"/>
            </w:pPr>
            <w:r>
              <w:rPr>
                <w:szCs w:val="16"/>
              </w:rPr>
              <w:t>0.35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E92E11"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slider door design</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E92E11" w:rsidRDefault="007C6A5F" w:rsidP="00C36DA4">
            <w:pPr>
              <w:pStyle w:val="TableDataEntries"/>
            </w:pPr>
            <w:r>
              <w:rPr>
                <w:szCs w:val="16"/>
              </w:rPr>
              <w:t>70%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E92E11" w:rsidRDefault="007C6A5F" w:rsidP="00C36DA4">
            <w:pPr>
              <w:pStyle w:val="TableDataEntries"/>
            </w:pPr>
            <w:r>
              <w:rPr>
                <w:szCs w:val="16"/>
              </w:rPr>
              <w:t>0.00</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E92E11" w:rsidRDefault="007C6A5F" w:rsidP="00C36DA4">
            <w:pPr>
              <w:pStyle w:val="TableDataEntries"/>
            </w:pPr>
            <w:r>
              <w:rPr>
                <w:szCs w:val="16"/>
              </w:rPr>
              <w:t>0.00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E92E11"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swing door design</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E92E11" w:rsidRDefault="007C6A5F" w:rsidP="00C36DA4">
            <w:pPr>
              <w:pStyle w:val="TableDataEntries"/>
            </w:pPr>
            <w:r>
              <w:rPr>
                <w:szCs w:val="16"/>
              </w:rPr>
              <w:t>20%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E92E11" w:rsidRDefault="007C6A5F" w:rsidP="00C36DA4">
            <w:pPr>
              <w:pStyle w:val="TableDataEntries"/>
            </w:pPr>
            <w:r>
              <w:rPr>
                <w:szCs w:val="16"/>
              </w:rPr>
              <w:t>1.39</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E92E11" w:rsidRDefault="007C6A5F" w:rsidP="00C36DA4">
            <w:pPr>
              <w:pStyle w:val="TableDataEntries"/>
            </w:pPr>
            <w:r>
              <w:rPr>
                <w:szCs w:val="16"/>
              </w:rPr>
              <w:t>0.28</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E92E11"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lastRenderedPageBreak/>
              <w:t>4. New toilet with slider door design</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E92E11" w:rsidRDefault="007C6A5F" w:rsidP="00C36DA4">
            <w:pPr>
              <w:pStyle w:val="TableDataEntries"/>
            </w:pPr>
            <w:r>
              <w:rPr>
                <w:szCs w:val="16"/>
              </w:rPr>
              <w:t>8%</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E92E11" w:rsidRDefault="007C6A5F" w:rsidP="00C36DA4">
            <w:pPr>
              <w:pStyle w:val="TableDataEntries"/>
            </w:pPr>
            <w:r>
              <w:rPr>
                <w:szCs w:val="16"/>
              </w:rPr>
              <w:t>1.58</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E92E11" w:rsidRDefault="007C6A5F" w:rsidP="00C36DA4">
            <w:pPr>
              <w:pStyle w:val="TableDataEntries"/>
            </w:pPr>
            <w:r>
              <w:rPr>
                <w:szCs w:val="16"/>
              </w:rPr>
              <w:t>0.13</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E92E11" w:rsidRDefault="007C6A5F" w:rsidP="00C36DA4">
            <w:pPr>
              <w:pStyle w:val="TableDataEntries"/>
            </w:pPr>
          </w:p>
        </w:tc>
      </w:tr>
      <w:tr w:rsidR="007C6A5F" w:rsidRPr="002E67CD" w:rsidTr="008819BB">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4. New toilet with swing door design</w:t>
            </w:r>
          </w:p>
        </w:tc>
        <w:tc>
          <w:tcPr>
            <w:tcW w:w="1559" w:type="dxa"/>
            <w:tcBorders>
              <w:top w:val="single" w:sz="8" w:space="0" w:color="FFFFFF" w:themeColor="background1"/>
              <w:bottom w:val="single" w:sz="8" w:space="0" w:color="FFFFFF" w:themeColor="background1"/>
            </w:tcBorders>
            <w:shd w:val="clear" w:color="auto" w:fill="E9E8E5" w:themeFill="background2"/>
            <w:noWrap/>
            <w:hideMark/>
          </w:tcPr>
          <w:p w:rsidR="007C6A5F" w:rsidRPr="00E92E11" w:rsidRDefault="007C6A5F" w:rsidP="00C36DA4">
            <w:pPr>
              <w:pStyle w:val="TableDataEntries"/>
            </w:pPr>
            <w:r>
              <w:rPr>
                <w:szCs w:val="16"/>
              </w:rPr>
              <w:t>2%</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E92E11" w:rsidRDefault="007C6A5F" w:rsidP="00C36DA4">
            <w:pPr>
              <w:pStyle w:val="TableDataEntries"/>
            </w:pPr>
            <w:r>
              <w:rPr>
                <w:szCs w:val="16"/>
              </w:rPr>
              <w:t>2.34</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E92E11" w:rsidRDefault="007C6A5F" w:rsidP="00C36DA4">
            <w:pPr>
              <w:pStyle w:val="TableDataEntries"/>
            </w:pPr>
            <w:r>
              <w:rPr>
                <w:szCs w:val="16"/>
              </w:rPr>
              <w:t>0.05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E92E11" w:rsidRDefault="007C6A5F" w:rsidP="00C36DA4">
            <w:pPr>
              <w:pStyle w:val="TableDataEntries"/>
            </w:pPr>
            <w:r w:rsidRPr="00E92E11">
              <w:t>-</w:t>
            </w:r>
          </w:p>
        </w:tc>
      </w:tr>
      <w:tr w:rsidR="007C6A5F" w:rsidRPr="00592B17" w:rsidTr="008819BB">
        <w:trPr>
          <w:trHeight w:val="252"/>
        </w:trPr>
        <w:tc>
          <w:tcPr>
            <w:tcW w:w="2694"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92B17" w:rsidRDefault="007C6A5F" w:rsidP="00C36DA4">
            <w:pPr>
              <w:pStyle w:val="TableDataEntries"/>
              <w:jc w:val="left"/>
              <w:rPr>
                <w:rFonts w:ascii="Franklin Gothic Demi" w:hAnsi="Franklin Gothic Demi"/>
              </w:rPr>
            </w:pPr>
            <w:r w:rsidRPr="00592B17">
              <w:rPr>
                <w:rFonts w:ascii="Franklin Gothic Demi" w:hAnsi="Franklin Gothic Demi"/>
              </w:rPr>
              <w:t>Total impact</w:t>
            </w:r>
          </w:p>
        </w:tc>
        <w:tc>
          <w:tcPr>
            <w:tcW w:w="1559"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92B17" w:rsidRDefault="007C6A5F" w:rsidP="00C36DA4">
            <w:pPr>
              <w:pStyle w:val="TableDataEntries"/>
              <w:rPr>
                <w:rFonts w:ascii="Franklin Gothic Demi" w:hAnsi="Franklin Gothic Demi"/>
              </w:rPr>
            </w:pPr>
          </w:p>
        </w:tc>
        <w:tc>
          <w:tcPr>
            <w:tcW w:w="1134"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92B17" w:rsidRDefault="007C6A5F" w:rsidP="00C36DA4">
            <w:pPr>
              <w:pStyle w:val="TableDataEntries"/>
              <w:rPr>
                <w:rFonts w:ascii="Franklin Gothic Demi" w:hAnsi="Franklin Gothic Demi"/>
              </w:rPr>
            </w:pPr>
          </w:p>
        </w:tc>
        <w:tc>
          <w:tcPr>
            <w:tcW w:w="1417"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92B17" w:rsidRDefault="007C6A5F" w:rsidP="00C36DA4">
            <w:pPr>
              <w:pStyle w:val="TableDataEntries"/>
              <w:rPr>
                <w:rFonts w:ascii="Franklin Gothic Demi" w:hAnsi="Franklin Gothic Demi"/>
              </w:rPr>
            </w:pPr>
            <w:r>
              <w:rPr>
                <w:rFonts w:ascii="Franklin Gothic Demi" w:hAnsi="Franklin Gothic Demi"/>
              </w:rPr>
              <w:t>1.24</w:t>
            </w:r>
          </w:p>
        </w:tc>
        <w:tc>
          <w:tcPr>
            <w:tcW w:w="1133" w:type="dxa"/>
            <w:tcBorders>
              <w:top w:val="single" w:sz="8" w:space="0" w:color="FFFFFF" w:themeColor="background1"/>
              <w:bottom w:val="single" w:sz="4" w:space="0" w:color="6F6652" w:themeColor="accent5"/>
            </w:tcBorders>
            <w:shd w:val="clear" w:color="auto" w:fill="C2DADB" w:themeFill="accent6" w:themeFillTint="99"/>
          </w:tcPr>
          <w:p w:rsidR="007C6A5F" w:rsidRPr="00592B17" w:rsidRDefault="007C6A5F" w:rsidP="00C36DA4">
            <w:pPr>
              <w:pStyle w:val="TableDataEntries"/>
              <w:rPr>
                <w:rFonts w:ascii="Franklin Gothic Demi" w:hAnsi="Franklin Gothic Demi"/>
              </w:rPr>
            </w:pPr>
            <w:r>
              <w:rPr>
                <w:rFonts w:ascii="Franklin Gothic Demi" w:hAnsi="Franklin Gothic Demi"/>
              </w:rPr>
              <w:t>629</w:t>
            </w:r>
          </w:p>
        </w:tc>
      </w:tr>
    </w:tbl>
    <w:p w:rsidR="007C6A5F" w:rsidRDefault="007C6A5F" w:rsidP="007C6A5F">
      <w:pPr>
        <w:pStyle w:val="Source"/>
        <w:rPr>
          <w:lang w:bidi="fa-IR"/>
        </w:rPr>
      </w:pPr>
      <w:r w:rsidRPr="002E67CD">
        <w:rPr>
          <w:i/>
          <w:lang w:bidi="fa-IR"/>
        </w:rPr>
        <w:t>Source:</w:t>
      </w:r>
      <w:r>
        <w:rPr>
          <w:lang w:bidi="fa-IR"/>
        </w:rPr>
        <w:t xml:space="preserve"> </w:t>
      </w:r>
      <w:r w:rsidR="00DE71A3">
        <w:rPr>
          <w:lang w:bidi="fa-IR"/>
        </w:rPr>
        <w:t>CIE.</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w:instrText>
      </w:r>
      <w:r w:rsidRPr="00695C93">
        <w:fldChar w:fldCharType="separate"/>
      </w:r>
      <w:r>
        <w:rPr>
          <w:noProof/>
        </w:rPr>
        <w:instrText>J</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9</w:instrText>
      </w:r>
      <w:r w:rsidRPr="00695C93">
        <w:fldChar w:fldCharType="end"/>
      </w:r>
      <w:r w:rsidRPr="00695C93">
        <w:instrText xml:space="preserve">" "" </w:instrText>
      </w:r>
      <w:r w:rsidRPr="00695C93">
        <w:fldChar w:fldCharType="separate"/>
      </w:r>
      <w:bookmarkStart w:id="8542" w:name="_Caption8316"/>
      <w:bookmarkStart w:id="8543" w:name="_Caption2028"/>
      <w:bookmarkStart w:id="8544" w:name="_Caption1040"/>
      <w:bookmarkStart w:id="8545" w:name="_Caption4775"/>
      <w:bookmarkStart w:id="8546" w:name="_Caption2453"/>
      <w:bookmarkStart w:id="8547" w:name="_Caption3809"/>
      <w:bookmarkStart w:id="8548" w:name="_Caption0723"/>
      <w:bookmarkStart w:id="8549" w:name="_Caption6713"/>
      <w:bookmarkStart w:id="8550" w:name="_Caption7910"/>
      <w:bookmarkStart w:id="8551" w:name="_Caption8480"/>
      <w:bookmarkStart w:id="8552" w:name="_Caption5439"/>
      <w:bookmarkStart w:id="8553" w:name="_Caption9938"/>
      <w:bookmarkStart w:id="8554" w:name="_Caption2424"/>
      <w:bookmarkStart w:id="8555" w:name="_Caption0419"/>
      <w:bookmarkStart w:id="8556" w:name="_Caption4926"/>
      <w:bookmarkStart w:id="8557" w:name="_Caption7589"/>
      <w:bookmarkStart w:id="8558" w:name="_Caption0180"/>
      <w:bookmarkStart w:id="8559" w:name="_Caption9113"/>
      <w:bookmarkStart w:id="8560" w:name="_Caption5767"/>
      <w:bookmarkStart w:id="8561" w:name="_Caption9647"/>
      <w:bookmarkStart w:id="8562" w:name="_Caption9889"/>
      <w:bookmarkStart w:id="8563" w:name="_Caption4882"/>
      <w:bookmarkStart w:id="8564" w:name="_Caption6200"/>
      <w:bookmarkStart w:id="8565" w:name="_Caption5794"/>
      <w:bookmarkStart w:id="8566" w:name="_Caption3141"/>
      <w:bookmarkStart w:id="8567" w:name="_Caption7053"/>
      <w:bookmarkStart w:id="8568" w:name="_Caption4341"/>
      <w:bookmarkStart w:id="8569" w:name="_Caption8061"/>
      <w:bookmarkStart w:id="8570" w:name="_Caption5713"/>
      <w:bookmarkStart w:id="8571" w:name="_Caption1478"/>
      <w:bookmarkStart w:id="8572" w:name="_Caption2648"/>
      <w:bookmarkStart w:id="8573" w:name="_Caption6418"/>
      <w:bookmarkStart w:id="8574" w:name="_Caption4552"/>
      <w:bookmarkStart w:id="8575" w:name="_Caption4053"/>
      <w:bookmarkStart w:id="8576" w:name="_Toc32321917"/>
      <w:bookmarkStart w:id="8577" w:name="_Toc44598623"/>
      <w:bookmarkStart w:id="8578" w:name="_Toc45654254"/>
      <w:r w:rsidR="00272AF3">
        <w:rPr>
          <w:noProof/>
        </w:rPr>
        <w:t>J</w:t>
      </w:r>
      <w:r w:rsidR="00272AF3" w:rsidRPr="00695C93">
        <w:rPr>
          <w:noProof/>
        </w:rPr>
        <w:t>.</w:t>
      </w:r>
      <w:r w:rsidR="00272AF3">
        <w:rPr>
          <w:noProof/>
        </w:rPr>
        <w:t>9</w:t>
      </w:r>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r w:rsidRPr="00695C93">
        <w:fldChar w:fldCharType="end"/>
      </w:r>
      <w:r w:rsidRPr="00695C93">
        <w:tab/>
      </w:r>
      <w:r>
        <w:t>Total impact of Gold standard on space of townhouses</w:t>
      </w:r>
      <w:bookmarkEnd w:id="8576"/>
      <w:bookmarkEnd w:id="8577"/>
      <w:bookmarkEnd w:id="8578"/>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J.4"/>
        <w:tblDescription w:val="Total impact of Gold+ standard on space of volume build detached houses"/>
      </w:tblPr>
      <w:tblGrid>
        <w:gridCol w:w="2694"/>
        <w:gridCol w:w="1559"/>
        <w:gridCol w:w="1134"/>
        <w:gridCol w:w="1417"/>
        <w:gridCol w:w="1133"/>
      </w:tblGrid>
      <w:tr w:rsidR="005F17BE" w:rsidRPr="002E67CD" w:rsidTr="0064237B">
        <w:trPr>
          <w:trHeight w:val="252"/>
          <w:tblHeader/>
        </w:trPr>
        <w:tc>
          <w:tcPr>
            <w:tcW w:w="2694" w:type="dxa"/>
            <w:shd w:val="clear" w:color="auto" w:fill="6F6652" w:themeFill="accent5"/>
            <w:noWrap/>
            <w:hideMark/>
          </w:tcPr>
          <w:p w:rsidR="005F17BE" w:rsidRPr="002E67CD" w:rsidRDefault="00BD6F11" w:rsidP="0031383F">
            <w:pPr>
              <w:pStyle w:val="TableDataColumnHeading"/>
              <w:jc w:val="left"/>
            </w:pPr>
            <w:r>
              <w:t>Design element</w:t>
            </w:r>
          </w:p>
        </w:tc>
        <w:tc>
          <w:tcPr>
            <w:tcW w:w="1559" w:type="dxa"/>
            <w:shd w:val="clear" w:color="auto" w:fill="6F6652" w:themeFill="accent5"/>
            <w:noWrap/>
            <w:hideMark/>
          </w:tcPr>
          <w:p w:rsidR="005F17BE" w:rsidRDefault="005F17BE" w:rsidP="0031383F">
            <w:pPr>
              <w:pStyle w:val="TableDataColumnHeading"/>
              <w:rPr>
                <w:szCs w:val="16"/>
              </w:rPr>
            </w:pPr>
            <w:r w:rsidRPr="00167FC0">
              <w:rPr>
                <w:szCs w:val="16"/>
              </w:rPr>
              <w:t>Scenario weight for space impact</w:t>
            </w:r>
          </w:p>
          <w:p w:rsidR="005F17BE" w:rsidRPr="00167FC0" w:rsidRDefault="005F17BE" w:rsidP="0031383F">
            <w:pPr>
              <w:pStyle w:val="TableDataColumnHeading"/>
              <w:rPr>
                <w:szCs w:val="16"/>
              </w:rPr>
            </w:pPr>
            <w:r>
              <w:rPr>
                <w:szCs w:val="16"/>
              </w:rPr>
              <w:t>(Probability)</w:t>
            </w:r>
          </w:p>
        </w:tc>
        <w:tc>
          <w:tcPr>
            <w:tcW w:w="1134" w:type="dxa"/>
            <w:shd w:val="clear" w:color="auto" w:fill="6F6652" w:themeFill="accent5"/>
            <w:noWrap/>
            <w:hideMark/>
          </w:tcPr>
          <w:p w:rsidR="005F17BE" w:rsidRDefault="005F17BE" w:rsidP="0031383F">
            <w:pPr>
              <w:pStyle w:val="TableDataColumnHeading"/>
              <w:rPr>
                <w:szCs w:val="16"/>
              </w:rPr>
            </w:pPr>
            <w:r w:rsidRPr="00167FC0">
              <w:rPr>
                <w:szCs w:val="16"/>
              </w:rPr>
              <w:t>Potential impact</w:t>
            </w:r>
          </w:p>
          <w:p w:rsidR="005F17BE" w:rsidRPr="00167FC0" w:rsidRDefault="005F17BE" w:rsidP="0031383F">
            <w:pPr>
              <w:pStyle w:val="TableDataColumnHeading"/>
              <w:rPr>
                <w:szCs w:val="16"/>
              </w:rPr>
            </w:pPr>
            <w:r>
              <w:rPr>
                <w:szCs w:val="16"/>
              </w:rPr>
              <w:t>(sqm)</w:t>
            </w:r>
          </w:p>
        </w:tc>
        <w:tc>
          <w:tcPr>
            <w:tcW w:w="1417" w:type="dxa"/>
            <w:shd w:val="clear" w:color="auto" w:fill="6F6652" w:themeFill="accent5"/>
            <w:noWrap/>
            <w:hideMark/>
          </w:tcPr>
          <w:p w:rsidR="005F17BE" w:rsidRDefault="005F17BE" w:rsidP="0031383F">
            <w:pPr>
              <w:pStyle w:val="TableDataColumnHeading"/>
              <w:rPr>
                <w:szCs w:val="16"/>
              </w:rPr>
            </w:pPr>
            <w:r w:rsidRPr="00167FC0">
              <w:rPr>
                <w:szCs w:val="16"/>
              </w:rPr>
              <w:t>Weighted average impact</w:t>
            </w:r>
          </w:p>
          <w:p w:rsidR="005F17BE" w:rsidRPr="00167FC0" w:rsidRDefault="005F17BE" w:rsidP="0031383F">
            <w:pPr>
              <w:pStyle w:val="TableDataColumnHeading"/>
              <w:rPr>
                <w:szCs w:val="16"/>
              </w:rPr>
            </w:pPr>
            <w:r>
              <w:rPr>
                <w:szCs w:val="16"/>
              </w:rPr>
              <w:t>(sqm)</w:t>
            </w:r>
          </w:p>
        </w:tc>
        <w:tc>
          <w:tcPr>
            <w:tcW w:w="1133" w:type="dxa"/>
            <w:shd w:val="clear" w:color="auto" w:fill="6F6652" w:themeFill="accent5"/>
          </w:tcPr>
          <w:p w:rsidR="005F17BE" w:rsidRDefault="005F17BE" w:rsidP="0031383F">
            <w:pPr>
              <w:pStyle w:val="TableDataColumnHeading"/>
              <w:rPr>
                <w:szCs w:val="16"/>
              </w:rPr>
            </w:pPr>
            <w:r w:rsidRPr="00167FC0">
              <w:rPr>
                <w:szCs w:val="16"/>
              </w:rPr>
              <w:t>Total impact</w:t>
            </w:r>
          </w:p>
          <w:p w:rsidR="005F17BE" w:rsidRDefault="005F17BE" w:rsidP="0031383F">
            <w:pPr>
              <w:pStyle w:val="TableDataColumnHeading"/>
              <w:spacing w:before="0" w:after="0"/>
              <w:rPr>
                <w:szCs w:val="16"/>
              </w:rPr>
            </w:pPr>
          </w:p>
          <w:p w:rsidR="005F17BE" w:rsidRPr="00167FC0" w:rsidRDefault="005F17BE" w:rsidP="0031383F">
            <w:pPr>
              <w:pStyle w:val="TableDataColumnHeading"/>
              <w:spacing w:before="0"/>
              <w:rPr>
                <w:szCs w:val="16"/>
              </w:rPr>
            </w:pPr>
            <w:r>
              <w:rPr>
                <w:szCs w:val="16"/>
              </w:rPr>
              <w:t>($)</w:t>
            </w: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Unit"/>
              <w:jc w:val="left"/>
            </w:pPr>
            <w:r>
              <w:rPr>
                <w:szCs w:val="16"/>
              </w:rPr>
              <w:t>1b. Larger car space</w:t>
            </w:r>
          </w:p>
        </w:tc>
        <w:tc>
          <w:tcPr>
            <w:tcW w:w="1559"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13%</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0.78</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0.10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1b. Larger space and increased height</w:t>
            </w:r>
          </w:p>
        </w:tc>
        <w:tc>
          <w:tcPr>
            <w:tcW w:w="1559"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2%</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0.78</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0.02</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2. Dwelling entrance - larger landing</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60%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0.92</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0.55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2. Dwelling entrance - less larger landing (from Silver compliant)</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20%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0.38</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0.08</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3. Wider doors and wider corridor</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70%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1.50</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3. Wider doors and less wider corridor (from Silver compliant)</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1.00</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0.10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slider door design</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70%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0.54</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0.38</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swing door design</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20%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2.16</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0.43</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New toilet with slider door design</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8%</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2.10</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0.17</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New toilet with swing door design</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2%</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3.12</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0.06</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5. Shower - additional space with slider door design</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58%</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1.53</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0.89</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5. Shower - additional space with swing door design</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17%</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1.99</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0.33</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5. New shower with slider door design</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8%</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3.15</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0.25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5. New shower with swing door design</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2%</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4.27</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0.09</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7. Internal stairways</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90%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1.35</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1.22</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8. Kitchen space</w:t>
            </w:r>
          </w:p>
        </w:tc>
        <w:tc>
          <w:tcPr>
            <w:tcW w:w="1559"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60%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1.08</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0.65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8819BB">
        <w:trPr>
          <w:trHeight w:val="252"/>
        </w:trPr>
        <w:tc>
          <w:tcPr>
            <w:tcW w:w="2694"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9. Laundry space</w:t>
            </w:r>
          </w:p>
        </w:tc>
        <w:tc>
          <w:tcPr>
            <w:tcW w:w="1559"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30%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0.54</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0.16</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592B17" w:rsidTr="008819BB">
        <w:trPr>
          <w:trHeight w:val="252"/>
        </w:trPr>
        <w:tc>
          <w:tcPr>
            <w:tcW w:w="2694"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92B17" w:rsidRDefault="007C6A5F" w:rsidP="00C36DA4">
            <w:pPr>
              <w:pStyle w:val="TableDataEntries"/>
              <w:jc w:val="left"/>
              <w:rPr>
                <w:rFonts w:ascii="Franklin Gothic Demi" w:hAnsi="Franklin Gothic Demi"/>
              </w:rPr>
            </w:pPr>
            <w:r w:rsidRPr="00592B17">
              <w:rPr>
                <w:rFonts w:ascii="Franklin Gothic Demi" w:hAnsi="Franklin Gothic Demi"/>
              </w:rPr>
              <w:t>Total impact</w:t>
            </w:r>
          </w:p>
        </w:tc>
        <w:tc>
          <w:tcPr>
            <w:tcW w:w="1559"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92B17" w:rsidRDefault="007C6A5F" w:rsidP="00C36DA4">
            <w:pPr>
              <w:pStyle w:val="TableDataEntries"/>
              <w:rPr>
                <w:rFonts w:ascii="Franklin Gothic Demi" w:hAnsi="Franklin Gothic Demi"/>
              </w:rPr>
            </w:pPr>
          </w:p>
        </w:tc>
        <w:tc>
          <w:tcPr>
            <w:tcW w:w="1134"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92B17" w:rsidRDefault="007C6A5F" w:rsidP="00C36DA4">
            <w:pPr>
              <w:pStyle w:val="TableDataEntries"/>
              <w:rPr>
                <w:rFonts w:ascii="Franklin Gothic Demi" w:hAnsi="Franklin Gothic Demi"/>
              </w:rPr>
            </w:pPr>
          </w:p>
        </w:tc>
        <w:tc>
          <w:tcPr>
            <w:tcW w:w="1417"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92B17" w:rsidRDefault="007C6A5F" w:rsidP="00C36DA4">
            <w:pPr>
              <w:pStyle w:val="TableDataEntries"/>
              <w:rPr>
                <w:rFonts w:ascii="Franklin Gothic Demi" w:hAnsi="Franklin Gothic Demi"/>
              </w:rPr>
            </w:pPr>
            <w:r>
              <w:rPr>
                <w:rFonts w:ascii="Franklin Gothic Demi" w:hAnsi="Franklin Gothic Demi"/>
              </w:rPr>
              <w:t>6</w:t>
            </w:r>
            <w:r w:rsidRPr="00592B17">
              <w:rPr>
                <w:rFonts w:ascii="Franklin Gothic Demi" w:hAnsi="Franklin Gothic Demi"/>
              </w:rPr>
              <w:t>.5</w:t>
            </w:r>
            <w:r>
              <w:rPr>
                <w:rFonts w:ascii="Franklin Gothic Demi" w:hAnsi="Franklin Gothic Demi"/>
              </w:rPr>
              <w:t>2</w:t>
            </w:r>
          </w:p>
        </w:tc>
        <w:tc>
          <w:tcPr>
            <w:tcW w:w="1133" w:type="dxa"/>
            <w:tcBorders>
              <w:top w:val="single" w:sz="8" w:space="0" w:color="FFFFFF" w:themeColor="background1"/>
              <w:bottom w:val="single" w:sz="4" w:space="0" w:color="6F6652" w:themeColor="accent5"/>
            </w:tcBorders>
            <w:shd w:val="clear" w:color="auto" w:fill="C2DADB" w:themeFill="accent6" w:themeFillTint="99"/>
          </w:tcPr>
          <w:p w:rsidR="007C6A5F" w:rsidRPr="00592B17" w:rsidRDefault="007C6A5F" w:rsidP="00C36DA4">
            <w:pPr>
              <w:pStyle w:val="TableDataEntries"/>
              <w:rPr>
                <w:rFonts w:ascii="Franklin Gothic Demi" w:hAnsi="Franklin Gothic Demi"/>
              </w:rPr>
            </w:pPr>
            <w:r>
              <w:rPr>
                <w:rFonts w:ascii="Franklin Gothic Demi" w:hAnsi="Franklin Gothic Demi"/>
              </w:rPr>
              <w:t>3 302</w:t>
            </w:r>
          </w:p>
        </w:tc>
      </w:tr>
    </w:tbl>
    <w:p w:rsidR="007C6A5F" w:rsidRDefault="007C6A5F" w:rsidP="007C6A5F">
      <w:pPr>
        <w:pStyle w:val="Source"/>
        <w:rPr>
          <w:lang w:bidi="fa-IR"/>
        </w:rPr>
      </w:pPr>
      <w:r w:rsidRPr="002E67CD">
        <w:rPr>
          <w:i/>
          <w:lang w:bidi="fa-IR"/>
        </w:rPr>
        <w:t>Source:</w:t>
      </w:r>
      <w:r>
        <w:rPr>
          <w:lang w:bidi="fa-IR"/>
        </w:rPr>
        <w:t xml:space="preserve"> </w:t>
      </w:r>
      <w:r w:rsidR="00DE71A3">
        <w:rPr>
          <w:lang w:bidi="fa-IR"/>
        </w:rPr>
        <w:t>CIE.</w:t>
      </w:r>
    </w:p>
    <w:p w:rsidR="007C6A5F" w:rsidRDefault="007C6A5F" w:rsidP="007C6A5F">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w:instrText>
      </w:r>
      <w:r w:rsidRPr="00695C93">
        <w:fldChar w:fldCharType="separate"/>
      </w:r>
      <w:r>
        <w:rPr>
          <w:noProof/>
        </w:rPr>
        <w:instrText>J</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10</w:instrText>
      </w:r>
      <w:r w:rsidRPr="00695C93">
        <w:fldChar w:fldCharType="end"/>
      </w:r>
      <w:r w:rsidRPr="00695C93">
        <w:instrText xml:space="preserve">" "" </w:instrText>
      </w:r>
      <w:r w:rsidRPr="00695C93">
        <w:fldChar w:fldCharType="separate"/>
      </w:r>
      <w:bookmarkStart w:id="8579" w:name="_Caption6504"/>
      <w:bookmarkStart w:id="8580" w:name="_Caption8555"/>
      <w:bookmarkStart w:id="8581" w:name="_Caption4129"/>
      <w:bookmarkStart w:id="8582" w:name="_Caption7277"/>
      <w:bookmarkStart w:id="8583" w:name="_Caption0438"/>
      <w:bookmarkStart w:id="8584" w:name="_Caption2056"/>
      <w:bookmarkStart w:id="8585" w:name="_Caption7396"/>
      <w:bookmarkStart w:id="8586" w:name="_Caption6765"/>
      <w:bookmarkStart w:id="8587" w:name="_Caption5918"/>
      <w:bookmarkStart w:id="8588" w:name="_Caption9718"/>
      <w:bookmarkStart w:id="8589" w:name="_Caption2497"/>
      <w:bookmarkStart w:id="8590" w:name="_Caption8976"/>
      <w:bookmarkStart w:id="8591" w:name="_Caption4935"/>
      <w:bookmarkStart w:id="8592" w:name="_Caption8433"/>
      <w:bookmarkStart w:id="8593" w:name="_Caption0094"/>
      <w:bookmarkStart w:id="8594" w:name="_Caption6575"/>
      <w:bookmarkStart w:id="8595" w:name="_Caption2957"/>
      <w:bookmarkStart w:id="8596" w:name="_Caption0863"/>
      <w:bookmarkStart w:id="8597" w:name="_Caption6754"/>
      <w:bookmarkStart w:id="8598" w:name="_Caption5481"/>
      <w:bookmarkStart w:id="8599" w:name="_Caption7392"/>
      <w:bookmarkStart w:id="8600" w:name="_Caption3306"/>
      <w:bookmarkStart w:id="8601" w:name="_Caption5265"/>
      <w:bookmarkStart w:id="8602" w:name="_Caption3525"/>
      <w:bookmarkStart w:id="8603" w:name="_Caption6157"/>
      <w:bookmarkStart w:id="8604" w:name="_Caption4913"/>
      <w:bookmarkStart w:id="8605" w:name="_Caption0054"/>
      <w:bookmarkStart w:id="8606" w:name="_Caption6475"/>
      <w:bookmarkStart w:id="8607" w:name="_Caption1360"/>
      <w:bookmarkStart w:id="8608" w:name="_Caption9956"/>
      <w:bookmarkStart w:id="8609" w:name="_Caption3237"/>
      <w:bookmarkStart w:id="8610" w:name="_Caption2723"/>
      <w:bookmarkStart w:id="8611" w:name="_Caption1385"/>
      <w:bookmarkStart w:id="8612" w:name="_Caption5589"/>
      <w:bookmarkStart w:id="8613" w:name="_Toc32321918"/>
      <w:bookmarkStart w:id="8614" w:name="_Toc44598624"/>
      <w:bookmarkStart w:id="8615" w:name="_Toc45654255"/>
      <w:r w:rsidR="00272AF3">
        <w:rPr>
          <w:noProof/>
        </w:rPr>
        <w:t>J</w:t>
      </w:r>
      <w:r w:rsidR="00272AF3" w:rsidRPr="00695C93">
        <w:rPr>
          <w:noProof/>
        </w:rPr>
        <w:t>.</w:t>
      </w:r>
      <w:r w:rsidR="00272AF3">
        <w:rPr>
          <w:noProof/>
        </w:rPr>
        <w:t>10</w:t>
      </w:r>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r w:rsidRPr="00695C93">
        <w:fldChar w:fldCharType="end"/>
      </w:r>
      <w:r w:rsidRPr="00695C93">
        <w:tab/>
      </w:r>
      <w:r>
        <w:t>Total impact of Gold+ standard on space of townhouses</w:t>
      </w:r>
      <w:bookmarkEnd w:id="8613"/>
      <w:bookmarkEnd w:id="8614"/>
      <w:bookmarkEnd w:id="8615"/>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J.4"/>
        <w:tblDescription w:val="Total impact of Gold+ standard on space of volume build detached houses"/>
      </w:tblPr>
      <w:tblGrid>
        <w:gridCol w:w="2410"/>
        <w:gridCol w:w="1843"/>
        <w:gridCol w:w="1134"/>
        <w:gridCol w:w="1417"/>
        <w:gridCol w:w="1133"/>
      </w:tblGrid>
      <w:tr w:rsidR="005F17BE" w:rsidRPr="002E67CD" w:rsidTr="0031383F">
        <w:trPr>
          <w:trHeight w:val="252"/>
          <w:tblHeader/>
        </w:trPr>
        <w:tc>
          <w:tcPr>
            <w:tcW w:w="2410" w:type="dxa"/>
            <w:shd w:val="clear" w:color="auto" w:fill="6F6652" w:themeFill="accent5"/>
            <w:noWrap/>
            <w:hideMark/>
          </w:tcPr>
          <w:p w:rsidR="005F17BE" w:rsidRPr="002E67CD" w:rsidRDefault="00BD6F11" w:rsidP="0031383F">
            <w:pPr>
              <w:pStyle w:val="TableDataColumnHeading"/>
              <w:jc w:val="left"/>
            </w:pPr>
            <w:r>
              <w:t>Design element</w:t>
            </w:r>
          </w:p>
        </w:tc>
        <w:tc>
          <w:tcPr>
            <w:tcW w:w="1843" w:type="dxa"/>
            <w:shd w:val="clear" w:color="auto" w:fill="6F6652" w:themeFill="accent5"/>
            <w:noWrap/>
            <w:hideMark/>
          </w:tcPr>
          <w:p w:rsidR="005F17BE" w:rsidRDefault="005F17BE" w:rsidP="0031383F">
            <w:pPr>
              <w:pStyle w:val="TableDataColumnHeading"/>
              <w:rPr>
                <w:szCs w:val="16"/>
              </w:rPr>
            </w:pPr>
            <w:r w:rsidRPr="00167FC0">
              <w:rPr>
                <w:szCs w:val="16"/>
              </w:rPr>
              <w:t>Scenario weight for space impact</w:t>
            </w:r>
          </w:p>
          <w:p w:rsidR="005F17BE" w:rsidRPr="00167FC0" w:rsidRDefault="005F17BE" w:rsidP="0031383F">
            <w:pPr>
              <w:pStyle w:val="TableDataColumnHeading"/>
              <w:rPr>
                <w:szCs w:val="16"/>
              </w:rPr>
            </w:pPr>
            <w:r>
              <w:rPr>
                <w:szCs w:val="16"/>
              </w:rPr>
              <w:t>(Probability)</w:t>
            </w:r>
          </w:p>
        </w:tc>
        <w:tc>
          <w:tcPr>
            <w:tcW w:w="1134" w:type="dxa"/>
            <w:shd w:val="clear" w:color="auto" w:fill="6F6652" w:themeFill="accent5"/>
            <w:noWrap/>
            <w:hideMark/>
          </w:tcPr>
          <w:p w:rsidR="005F17BE" w:rsidRDefault="005F17BE" w:rsidP="0031383F">
            <w:pPr>
              <w:pStyle w:val="TableDataColumnHeading"/>
              <w:rPr>
                <w:szCs w:val="16"/>
              </w:rPr>
            </w:pPr>
            <w:r w:rsidRPr="00167FC0">
              <w:rPr>
                <w:szCs w:val="16"/>
              </w:rPr>
              <w:t>Potential impact</w:t>
            </w:r>
          </w:p>
          <w:p w:rsidR="005F17BE" w:rsidRPr="00167FC0" w:rsidRDefault="005F17BE" w:rsidP="0031383F">
            <w:pPr>
              <w:pStyle w:val="TableDataColumnHeading"/>
              <w:rPr>
                <w:szCs w:val="16"/>
              </w:rPr>
            </w:pPr>
            <w:r>
              <w:rPr>
                <w:szCs w:val="16"/>
              </w:rPr>
              <w:t>(sqm)</w:t>
            </w:r>
          </w:p>
        </w:tc>
        <w:tc>
          <w:tcPr>
            <w:tcW w:w="1417" w:type="dxa"/>
            <w:shd w:val="clear" w:color="auto" w:fill="6F6652" w:themeFill="accent5"/>
            <w:noWrap/>
            <w:hideMark/>
          </w:tcPr>
          <w:p w:rsidR="005F17BE" w:rsidRDefault="005F17BE" w:rsidP="0031383F">
            <w:pPr>
              <w:pStyle w:val="TableDataColumnHeading"/>
              <w:rPr>
                <w:szCs w:val="16"/>
              </w:rPr>
            </w:pPr>
            <w:r w:rsidRPr="00167FC0">
              <w:rPr>
                <w:szCs w:val="16"/>
              </w:rPr>
              <w:t>Weighted average impact</w:t>
            </w:r>
          </w:p>
          <w:p w:rsidR="005F17BE" w:rsidRPr="00167FC0" w:rsidRDefault="005F17BE" w:rsidP="0031383F">
            <w:pPr>
              <w:pStyle w:val="TableDataColumnHeading"/>
              <w:rPr>
                <w:szCs w:val="16"/>
              </w:rPr>
            </w:pPr>
            <w:r>
              <w:rPr>
                <w:szCs w:val="16"/>
              </w:rPr>
              <w:t>(sqm)</w:t>
            </w:r>
          </w:p>
        </w:tc>
        <w:tc>
          <w:tcPr>
            <w:tcW w:w="1133" w:type="dxa"/>
            <w:shd w:val="clear" w:color="auto" w:fill="6F6652" w:themeFill="accent5"/>
          </w:tcPr>
          <w:p w:rsidR="005F17BE" w:rsidRDefault="005F17BE" w:rsidP="0031383F">
            <w:pPr>
              <w:pStyle w:val="TableDataColumnHeading"/>
              <w:rPr>
                <w:szCs w:val="16"/>
              </w:rPr>
            </w:pPr>
            <w:r w:rsidRPr="00167FC0">
              <w:rPr>
                <w:szCs w:val="16"/>
              </w:rPr>
              <w:t>Total impact</w:t>
            </w:r>
          </w:p>
          <w:p w:rsidR="005F17BE" w:rsidRDefault="005F17BE" w:rsidP="0031383F">
            <w:pPr>
              <w:pStyle w:val="TableDataColumnHeading"/>
              <w:spacing w:before="0" w:after="0"/>
              <w:rPr>
                <w:szCs w:val="16"/>
              </w:rPr>
            </w:pPr>
          </w:p>
          <w:p w:rsidR="005F17BE" w:rsidRPr="00167FC0" w:rsidRDefault="005F17BE" w:rsidP="0031383F">
            <w:pPr>
              <w:pStyle w:val="TableDataColumnHeading"/>
              <w:spacing w:before="0"/>
              <w:rPr>
                <w:szCs w:val="16"/>
              </w:rPr>
            </w:pPr>
            <w:r>
              <w:rPr>
                <w:szCs w:val="16"/>
              </w:rPr>
              <w:t>($)</w:t>
            </w: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Unit"/>
              <w:jc w:val="left"/>
            </w:pPr>
            <w:r>
              <w:rPr>
                <w:szCs w:val="16"/>
              </w:rPr>
              <w:t>1b. Larger car space</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13%</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0.78</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0.10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1b. Larger space and increased height</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2%</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0.78</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0.02</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2. Dwelling entrance - larger landing</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60%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0.92</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0.55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2. Dwelling entrance - less larger landing (from Silver compliant)</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20%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0.38</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0.08</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3. Wider doors and wider corridor</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70%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1.50</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3. Wider doors and less wider corridor (from Silver compliant)</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1.00</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0.10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slider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70%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0.54</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0.38</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swing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20%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2.16</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0.43</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New toilet with slider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8%</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2.10</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0.17</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New toilet with swing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2%</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3.12</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0.06</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5. Shower - additional space with slider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58%</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1.53</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0.89</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5. Shower - additional space with swing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17%</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1.99</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0.33</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5. New shower with slider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8%</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3.15</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0.25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5. New shower with swing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2%</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4.27</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0.09</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7. Internal stairways</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90%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1.35</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1.22</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8. Kitchen space</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60%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2.16</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1.30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8. Kitchen space (from Gold to Gold+)</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20%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1.08</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0.22</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9. Laundry space</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30%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1.17</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7B234A" w:rsidRDefault="007C6A5F" w:rsidP="00C36DA4">
            <w:pPr>
              <w:pStyle w:val="TableDataEntries"/>
            </w:pPr>
            <w:r>
              <w:rPr>
                <w:szCs w:val="16"/>
              </w:rPr>
              <w:t>0.35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2E67CD" w:rsidTr="008819BB">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9. Laundry space (from Gold to Gold+)</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40%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0.63</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7B234A" w:rsidRDefault="007C6A5F" w:rsidP="00C36DA4">
            <w:pPr>
              <w:pStyle w:val="TableDataEntries"/>
            </w:pPr>
            <w:r>
              <w:rPr>
                <w:szCs w:val="16"/>
              </w:rPr>
              <w:t>0.25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7B234A" w:rsidRDefault="007C6A5F" w:rsidP="00C36DA4">
            <w:pPr>
              <w:pStyle w:val="TableDataEntries"/>
            </w:pPr>
          </w:p>
        </w:tc>
      </w:tr>
      <w:tr w:rsidR="007C6A5F" w:rsidRPr="00592B17" w:rsidTr="008819BB">
        <w:trPr>
          <w:trHeight w:val="252"/>
        </w:trPr>
        <w:tc>
          <w:tcPr>
            <w:tcW w:w="2410"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92B17" w:rsidRDefault="007C6A5F" w:rsidP="00C36DA4">
            <w:pPr>
              <w:pStyle w:val="TableDataEntries"/>
              <w:jc w:val="left"/>
              <w:rPr>
                <w:rFonts w:ascii="Franklin Gothic Demi" w:hAnsi="Franklin Gothic Demi"/>
              </w:rPr>
            </w:pPr>
            <w:r w:rsidRPr="00592B17">
              <w:rPr>
                <w:rFonts w:ascii="Franklin Gothic Demi" w:hAnsi="Franklin Gothic Demi"/>
              </w:rPr>
              <w:t>Total impact</w:t>
            </w:r>
          </w:p>
        </w:tc>
        <w:tc>
          <w:tcPr>
            <w:tcW w:w="1843"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92B17" w:rsidRDefault="007C6A5F" w:rsidP="00C36DA4">
            <w:pPr>
              <w:pStyle w:val="TableDataEntries"/>
              <w:rPr>
                <w:rFonts w:ascii="Franklin Gothic Demi" w:hAnsi="Franklin Gothic Demi"/>
              </w:rPr>
            </w:pPr>
          </w:p>
        </w:tc>
        <w:tc>
          <w:tcPr>
            <w:tcW w:w="1134"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92B17" w:rsidRDefault="007C6A5F" w:rsidP="00C36DA4">
            <w:pPr>
              <w:pStyle w:val="TableDataEntries"/>
              <w:rPr>
                <w:rFonts w:ascii="Franklin Gothic Demi" w:hAnsi="Franklin Gothic Demi"/>
              </w:rPr>
            </w:pPr>
          </w:p>
        </w:tc>
        <w:tc>
          <w:tcPr>
            <w:tcW w:w="1417"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92B17" w:rsidRDefault="007C6A5F" w:rsidP="00C36DA4">
            <w:pPr>
              <w:pStyle w:val="TableDataEntries"/>
              <w:rPr>
                <w:rFonts w:ascii="Franklin Gothic Demi" w:hAnsi="Franklin Gothic Demi"/>
              </w:rPr>
            </w:pPr>
            <w:r>
              <w:rPr>
                <w:rFonts w:ascii="Franklin Gothic Demi" w:hAnsi="Franklin Gothic Demi"/>
              </w:rPr>
              <w:t>7.83</w:t>
            </w:r>
          </w:p>
        </w:tc>
        <w:tc>
          <w:tcPr>
            <w:tcW w:w="1133" w:type="dxa"/>
            <w:tcBorders>
              <w:top w:val="single" w:sz="8" w:space="0" w:color="FFFFFF" w:themeColor="background1"/>
              <w:bottom w:val="single" w:sz="4" w:space="0" w:color="6F6652" w:themeColor="accent5"/>
            </w:tcBorders>
            <w:shd w:val="clear" w:color="auto" w:fill="C2DADB" w:themeFill="accent6" w:themeFillTint="99"/>
          </w:tcPr>
          <w:p w:rsidR="007C6A5F" w:rsidRPr="00592B17" w:rsidRDefault="007C6A5F" w:rsidP="00C36DA4">
            <w:pPr>
              <w:pStyle w:val="TableDataEntries"/>
              <w:rPr>
                <w:rFonts w:ascii="Franklin Gothic Demi" w:hAnsi="Franklin Gothic Demi"/>
              </w:rPr>
            </w:pPr>
            <w:r>
              <w:rPr>
                <w:rFonts w:ascii="Franklin Gothic Demi" w:hAnsi="Franklin Gothic Demi"/>
              </w:rPr>
              <w:t>3 963</w:t>
            </w:r>
          </w:p>
        </w:tc>
      </w:tr>
    </w:tbl>
    <w:p w:rsidR="007C6A5F" w:rsidRDefault="007C6A5F" w:rsidP="007C6A5F">
      <w:pPr>
        <w:pStyle w:val="Source"/>
        <w:rPr>
          <w:lang w:bidi="fa-IR"/>
        </w:rPr>
      </w:pPr>
      <w:r w:rsidRPr="002E67CD">
        <w:rPr>
          <w:i/>
          <w:lang w:bidi="fa-IR"/>
        </w:rPr>
        <w:t>Source:</w:t>
      </w:r>
      <w:r>
        <w:rPr>
          <w:lang w:bidi="fa-IR"/>
        </w:rPr>
        <w:t xml:space="preserve"> </w:t>
      </w:r>
      <w:r w:rsidR="00DE71A3">
        <w:rPr>
          <w:lang w:bidi="fa-IR"/>
        </w:rPr>
        <w:t>CIE.</w:t>
      </w:r>
    </w:p>
    <w:p w:rsidR="007C6A5F" w:rsidRDefault="007C6A5F" w:rsidP="007C6A5F">
      <w:pPr>
        <w:pStyle w:val="Heading7"/>
        <w:numPr>
          <w:ilvl w:val="6"/>
          <w:numId w:val="5"/>
        </w:numPr>
        <w:rPr>
          <w:lang w:bidi="fa-IR"/>
        </w:rPr>
      </w:pPr>
      <w:r>
        <w:rPr>
          <w:lang w:bidi="fa-IR"/>
        </w:rPr>
        <w:lastRenderedPageBreak/>
        <w:t>Space impacts: apartments</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w:instrText>
      </w:r>
      <w:r w:rsidRPr="00695C93">
        <w:fldChar w:fldCharType="separate"/>
      </w:r>
      <w:r>
        <w:rPr>
          <w:noProof/>
        </w:rPr>
        <w:instrText>J</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11</w:instrText>
      </w:r>
      <w:r w:rsidRPr="00695C93">
        <w:fldChar w:fldCharType="end"/>
      </w:r>
      <w:r w:rsidRPr="00695C93">
        <w:instrText xml:space="preserve">" "" </w:instrText>
      </w:r>
      <w:r w:rsidRPr="00695C93">
        <w:fldChar w:fldCharType="separate"/>
      </w:r>
      <w:bookmarkStart w:id="8616" w:name="_Caption7962"/>
      <w:bookmarkStart w:id="8617" w:name="_Caption1748"/>
      <w:bookmarkStart w:id="8618" w:name="_Caption2504"/>
      <w:bookmarkStart w:id="8619" w:name="_Caption5131"/>
      <w:bookmarkStart w:id="8620" w:name="_Caption1076"/>
      <w:bookmarkStart w:id="8621" w:name="_Caption5275"/>
      <w:bookmarkStart w:id="8622" w:name="_Caption8320"/>
      <w:bookmarkStart w:id="8623" w:name="_Caption1425"/>
      <w:bookmarkStart w:id="8624" w:name="_Caption4246"/>
      <w:bookmarkStart w:id="8625" w:name="_Caption0019"/>
      <w:bookmarkStart w:id="8626" w:name="_Caption7226"/>
      <w:bookmarkStart w:id="8627" w:name="_Caption4851"/>
      <w:bookmarkStart w:id="8628" w:name="_Caption9314"/>
      <w:bookmarkStart w:id="8629" w:name="_Caption5442"/>
      <w:bookmarkStart w:id="8630" w:name="_Caption9880"/>
      <w:bookmarkStart w:id="8631" w:name="_Caption1982"/>
      <w:bookmarkStart w:id="8632" w:name="_Caption3402"/>
      <w:bookmarkStart w:id="8633" w:name="_Caption4988"/>
      <w:bookmarkStart w:id="8634" w:name="_Caption0279"/>
      <w:bookmarkStart w:id="8635" w:name="_Caption9352"/>
      <w:bookmarkStart w:id="8636" w:name="_Caption4268"/>
      <w:bookmarkStart w:id="8637" w:name="_Caption5252"/>
      <w:bookmarkStart w:id="8638" w:name="_Caption5541"/>
      <w:bookmarkStart w:id="8639" w:name="_Caption5555"/>
      <w:bookmarkStart w:id="8640" w:name="_Caption7332"/>
      <w:bookmarkStart w:id="8641" w:name="_Caption6383"/>
      <w:bookmarkStart w:id="8642" w:name="_Caption3671"/>
      <w:bookmarkStart w:id="8643" w:name="_Caption9746"/>
      <w:bookmarkStart w:id="8644" w:name="_Caption6493"/>
      <w:bookmarkStart w:id="8645" w:name="_Caption6512"/>
      <w:bookmarkStart w:id="8646" w:name="_Caption5312"/>
      <w:bookmarkStart w:id="8647" w:name="_Caption1953"/>
      <w:bookmarkStart w:id="8648" w:name="_Caption2320"/>
      <w:bookmarkStart w:id="8649" w:name="_Caption2510"/>
      <w:bookmarkStart w:id="8650" w:name="_Toc32321919"/>
      <w:bookmarkStart w:id="8651" w:name="_Toc44598625"/>
      <w:bookmarkStart w:id="8652" w:name="_Toc45654256"/>
      <w:r w:rsidR="00272AF3">
        <w:rPr>
          <w:noProof/>
        </w:rPr>
        <w:t>J</w:t>
      </w:r>
      <w:r w:rsidR="00272AF3" w:rsidRPr="00695C93">
        <w:rPr>
          <w:noProof/>
        </w:rPr>
        <w:t>.</w:t>
      </w:r>
      <w:r w:rsidR="00272AF3">
        <w:rPr>
          <w:noProof/>
        </w:rPr>
        <w:t>11</w:t>
      </w:r>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r w:rsidRPr="00695C93">
        <w:fldChar w:fldCharType="end"/>
      </w:r>
      <w:r w:rsidRPr="00695C93">
        <w:tab/>
      </w:r>
      <w:r>
        <w:t>Total impact of Silver standard on space of apartments in walk-up blocks</w:t>
      </w:r>
      <w:bookmarkEnd w:id="8650"/>
      <w:bookmarkEnd w:id="8651"/>
      <w:bookmarkEnd w:id="8652"/>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J.4"/>
        <w:tblDescription w:val="Total impact of Gold+ standard on space of volume build detached houses"/>
      </w:tblPr>
      <w:tblGrid>
        <w:gridCol w:w="2410"/>
        <w:gridCol w:w="1843"/>
        <w:gridCol w:w="1134"/>
        <w:gridCol w:w="1417"/>
        <w:gridCol w:w="1133"/>
      </w:tblGrid>
      <w:tr w:rsidR="005F17BE" w:rsidRPr="002E67CD" w:rsidTr="0031383F">
        <w:trPr>
          <w:trHeight w:val="252"/>
          <w:tblHeader/>
        </w:trPr>
        <w:tc>
          <w:tcPr>
            <w:tcW w:w="2410" w:type="dxa"/>
            <w:shd w:val="clear" w:color="auto" w:fill="6F6652" w:themeFill="accent5"/>
            <w:noWrap/>
            <w:hideMark/>
          </w:tcPr>
          <w:p w:rsidR="005F17BE" w:rsidRPr="002E67CD" w:rsidRDefault="00BD6F11" w:rsidP="0031383F">
            <w:pPr>
              <w:pStyle w:val="TableDataColumnHeading"/>
              <w:jc w:val="left"/>
            </w:pPr>
            <w:r>
              <w:t>Design element</w:t>
            </w:r>
          </w:p>
        </w:tc>
        <w:tc>
          <w:tcPr>
            <w:tcW w:w="1843" w:type="dxa"/>
            <w:shd w:val="clear" w:color="auto" w:fill="6F6652" w:themeFill="accent5"/>
            <w:noWrap/>
            <w:hideMark/>
          </w:tcPr>
          <w:p w:rsidR="005F17BE" w:rsidRDefault="005F17BE" w:rsidP="0031383F">
            <w:pPr>
              <w:pStyle w:val="TableDataColumnHeading"/>
              <w:rPr>
                <w:szCs w:val="16"/>
              </w:rPr>
            </w:pPr>
            <w:r w:rsidRPr="00167FC0">
              <w:rPr>
                <w:szCs w:val="16"/>
              </w:rPr>
              <w:t>Scenario weight for space impact</w:t>
            </w:r>
          </w:p>
          <w:p w:rsidR="005F17BE" w:rsidRPr="00167FC0" w:rsidRDefault="005F17BE" w:rsidP="0031383F">
            <w:pPr>
              <w:pStyle w:val="TableDataColumnHeading"/>
              <w:rPr>
                <w:szCs w:val="16"/>
              </w:rPr>
            </w:pPr>
            <w:r>
              <w:rPr>
                <w:szCs w:val="16"/>
              </w:rPr>
              <w:t>(Probability)</w:t>
            </w:r>
          </w:p>
        </w:tc>
        <w:tc>
          <w:tcPr>
            <w:tcW w:w="1134" w:type="dxa"/>
            <w:shd w:val="clear" w:color="auto" w:fill="6F6652" w:themeFill="accent5"/>
            <w:noWrap/>
            <w:hideMark/>
          </w:tcPr>
          <w:p w:rsidR="005F17BE" w:rsidRDefault="005F17BE" w:rsidP="0031383F">
            <w:pPr>
              <w:pStyle w:val="TableDataColumnHeading"/>
              <w:rPr>
                <w:szCs w:val="16"/>
              </w:rPr>
            </w:pPr>
            <w:r w:rsidRPr="00167FC0">
              <w:rPr>
                <w:szCs w:val="16"/>
              </w:rPr>
              <w:t>Potential impact</w:t>
            </w:r>
          </w:p>
          <w:p w:rsidR="005F17BE" w:rsidRPr="00167FC0" w:rsidRDefault="005F17BE" w:rsidP="0031383F">
            <w:pPr>
              <w:pStyle w:val="TableDataColumnHeading"/>
              <w:rPr>
                <w:szCs w:val="16"/>
              </w:rPr>
            </w:pPr>
            <w:r>
              <w:rPr>
                <w:szCs w:val="16"/>
              </w:rPr>
              <w:t>(sqm)</w:t>
            </w:r>
          </w:p>
        </w:tc>
        <w:tc>
          <w:tcPr>
            <w:tcW w:w="1417" w:type="dxa"/>
            <w:shd w:val="clear" w:color="auto" w:fill="6F6652" w:themeFill="accent5"/>
            <w:noWrap/>
            <w:hideMark/>
          </w:tcPr>
          <w:p w:rsidR="005F17BE" w:rsidRDefault="005F17BE" w:rsidP="0031383F">
            <w:pPr>
              <w:pStyle w:val="TableDataColumnHeading"/>
              <w:rPr>
                <w:szCs w:val="16"/>
              </w:rPr>
            </w:pPr>
            <w:r w:rsidRPr="00167FC0">
              <w:rPr>
                <w:szCs w:val="16"/>
              </w:rPr>
              <w:t>Weighted average impact</w:t>
            </w:r>
          </w:p>
          <w:p w:rsidR="005F17BE" w:rsidRPr="00167FC0" w:rsidRDefault="005F17BE" w:rsidP="0031383F">
            <w:pPr>
              <w:pStyle w:val="TableDataColumnHeading"/>
              <w:rPr>
                <w:szCs w:val="16"/>
              </w:rPr>
            </w:pPr>
            <w:r>
              <w:rPr>
                <w:szCs w:val="16"/>
              </w:rPr>
              <w:t>(sqm)</w:t>
            </w:r>
          </w:p>
        </w:tc>
        <w:tc>
          <w:tcPr>
            <w:tcW w:w="1133" w:type="dxa"/>
            <w:shd w:val="clear" w:color="auto" w:fill="6F6652" w:themeFill="accent5"/>
          </w:tcPr>
          <w:p w:rsidR="005F17BE" w:rsidRDefault="005F17BE" w:rsidP="0031383F">
            <w:pPr>
              <w:pStyle w:val="TableDataColumnHeading"/>
              <w:rPr>
                <w:szCs w:val="16"/>
              </w:rPr>
            </w:pPr>
            <w:r w:rsidRPr="00167FC0">
              <w:rPr>
                <w:szCs w:val="16"/>
              </w:rPr>
              <w:t>Total impact</w:t>
            </w:r>
          </w:p>
          <w:p w:rsidR="005F17BE" w:rsidRDefault="005F17BE" w:rsidP="0031383F">
            <w:pPr>
              <w:pStyle w:val="TableDataColumnHeading"/>
              <w:spacing w:before="0" w:after="0"/>
              <w:rPr>
                <w:szCs w:val="16"/>
              </w:rPr>
            </w:pPr>
          </w:p>
          <w:p w:rsidR="005F17BE" w:rsidRPr="00167FC0" w:rsidRDefault="005F17BE" w:rsidP="0031383F">
            <w:pPr>
              <w:pStyle w:val="TableDataColumnHeading"/>
              <w:spacing w:before="0"/>
              <w:rPr>
                <w:szCs w:val="16"/>
              </w:rPr>
            </w:pPr>
            <w:r>
              <w:rPr>
                <w:szCs w:val="16"/>
              </w:rPr>
              <w:t>($)</w:t>
            </w: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Unit"/>
              <w:jc w:val="left"/>
            </w:pPr>
            <w:r>
              <w:rPr>
                <w:szCs w:val="16"/>
              </w:rPr>
              <w:t>3. Wider corridor</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60%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0.60</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0.36</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415B64" w:rsidRDefault="007C6A5F" w:rsidP="00C36DA4">
            <w:pPr>
              <w:pStyle w:val="TableDataEntries"/>
            </w:pPr>
            <w:r w:rsidRPr="00415B64">
              <w:t>-</w:t>
            </w: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4. Toilet - additional clear space with slider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80%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0.00</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0.00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415B64" w:rsidRDefault="007C6A5F" w:rsidP="00C36DA4">
            <w:pPr>
              <w:pStyle w:val="TableDataEntries"/>
            </w:pPr>
            <w:r w:rsidRPr="00415B64">
              <w:t>-</w:t>
            </w:r>
          </w:p>
        </w:tc>
      </w:tr>
      <w:tr w:rsidR="007C6A5F" w:rsidRPr="002E67CD" w:rsidTr="008819BB">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4. Toilet - additional clear space with swing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10%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1.39</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0.14</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415B64" w:rsidRDefault="007C6A5F" w:rsidP="00C36DA4">
            <w:pPr>
              <w:pStyle w:val="TableDataEntries"/>
            </w:pPr>
            <w:r w:rsidRPr="00415B64">
              <w:t>-</w:t>
            </w:r>
          </w:p>
        </w:tc>
      </w:tr>
      <w:tr w:rsidR="007C6A5F" w:rsidRPr="009B4E75" w:rsidTr="008819BB">
        <w:trPr>
          <w:trHeight w:val="252"/>
        </w:trPr>
        <w:tc>
          <w:tcPr>
            <w:tcW w:w="2410"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9B4E75" w:rsidRDefault="007C6A5F" w:rsidP="00C36DA4">
            <w:pPr>
              <w:pStyle w:val="TableDataEntries"/>
              <w:jc w:val="left"/>
              <w:rPr>
                <w:rFonts w:ascii="Franklin Gothic Demi" w:hAnsi="Franklin Gothic Demi"/>
              </w:rPr>
            </w:pPr>
            <w:r w:rsidRPr="009B4E75">
              <w:rPr>
                <w:rFonts w:ascii="Franklin Gothic Demi" w:hAnsi="Franklin Gothic Demi"/>
              </w:rPr>
              <w:t>Total impact</w:t>
            </w:r>
          </w:p>
        </w:tc>
        <w:tc>
          <w:tcPr>
            <w:tcW w:w="1843"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9B4E75" w:rsidRDefault="007C6A5F" w:rsidP="00C36DA4">
            <w:pPr>
              <w:pStyle w:val="TableDataEntries"/>
              <w:rPr>
                <w:rFonts w:ascii="Franklin Gothic Demi" w:hAnsi="Franklin Gothic Demi"/>
              </w:rPr>
            </w:pPr>
          </w:p>
        </w:tc>
        <w:tc>
          <w:tcPr>
            <w:tcW w:w="1134"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9B4E75" w:rsidRDefault="007C6A5F" w:rsidP="00C36DA4">
            <w:pPr>
              <w:pStyle w:val="TableDataEntries"/>
              <w:rPr>
                <w:rFonts w:ascii="Franklin Gothic Demi" w:hAnsi="Franklin Gothic Demi"/>
              </w:rPr>
            </w:pPr>
          </w:p>
        </w:tc>
        <w:tc>
          <w:tcPr>
            <w:tcW w:w="1417"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9B4E75" w:rsidRDefault="007C6A5F" w:rsidP="00C36DA4">
            <w:pPr>
              <w:pStyle w:val="TableDataEntries"/>
              <w:rPr>
                <w:rFonts w:ascii="Franklin Gothic Demi" w:hAnsi="Franklin Gothic Demi"/>
              </w:rPr>
            </w:pPr>
            <w:r>
              <w:rPr>
                <w:rFonts w:ascii="Franklin Gothic Demi" w:hAnsi="Franklin Gothic Demi"/>
              </w:rPr>
              <w:t>0.50</w:t>
            </w:r>
          </w:p>
        </w:tc>
        <w:tc>
          <w:tcPr>
            <w:tcW w:w="1133" w:type="dxa"/>
            <w:tcBorders>
              <w:top w:val="single" w:sz="8" w:space="0" w:color="FFFFFF" w:themeColor="background1"/>
              <w:bottom w:val="single" w:sz="4" w:space="0" w:color="6F6652" w:themeColor="accent5"/>
            </w:tcBorders>
            <w:shd w:val="clear" w:color="auto" w:fill="C2DADB" w:themeFill="accent6" w:themeFillTint="99"/>
          </w:tcPr>
          <w:p w:rsidR="007C6A5F" w:rsidRPr="009B4E75" w:rsidRDefault="007C6A5F" w:rsidP="00C36DA4">
            <w:pPr>
              <w:pStyle w:val="TableDataEntries"/>
              <w:rPr>
                <w:rFonts w:ascii="Franklin Gothic Demi" w:hAnsi="Franklin Gothic Demi"/>
              </w:rPr>
            </w:pPr>
            <w:r>
              <w:rPr>
                <w:rFonts w:ascii="Franklin Gothic Demi" w:hAnsi="Franklin Gothic Demi"/>
              </w:rPr>
              <w:t>2 252</w:t>
            </w:r>
          </w:p>
        </w:tc>
      </w:tr>
    </w:tbl>
    <w:p w:rsidR="007C6A5F" w:rsidRDefault="007C6A5F" w:rsidP="007C6A5F">
      <w:pPr>
        <w:pStyle w:val="Source"/>
        <w:rPr>
          <w:lang w:bidi="fa-IR"/>
        </w:rPr>
      </w:pPr>
      <w:r w:rsidRPr="002E67CD">
        <w:rPr>
          <w:i/>
          <w:lang w:bidi="fa-IR"/>
        </w:rPr>
        <w:t>Source:</w:t>
      </w:r>
      <w:r>
        <w:rPr>
          <w:lang w:bidi="fa-IR"/>
        </w:rPr>
        <w:t xml:space="preserve"> </w:t>
      </w:r>
      <w:r w:rsidR="00DE71A3">
        <w:rPr>
          <w:lang w:bidi="fa-IR"/>
        </w:rPr>
        <w:t>CIE.</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w:instrText>
      </w:r>
      <w:r w:rsidRPr="00695C93">
        <w:fldChar w:fldCharType="separate"/>
      </w:r>
      <w:r>
        <w:rPr>
          <w:noProof/>
        </w:rPr>
        <w:instrText>J</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12</w:instrText>
      </w:r>
      <w:r w:rsidRPr="00695C93">
        <w:fldChar w:fldCharType="end"/>
      </w:r>
      <w:r w:rsidRPr="00695C93">
        <w:instrText xml:space="preserve">" "" </w:instrText>
      </w:r>
      <w:r w:rsidRPr="00695C93">
        <w:fldChar w:fldCharType="separate"/>
      </w:r>
      <w:bookmarkStart w:id="8653" w:name="_Caption7656"/>
      <w:bookmarkStart w:id="8654" w:name="_Caption9762"/>
      <w:bookmarkStart w:id="8655" w:name="_Caption1182"/>
      <w:bookmarkStart w:id="8656" w:name="_Caption7775"/>
      <w:bookmarkStart w:id="8657" w:name="_Caption0729"/>
      <w:bookmarkStart w:id="8658" w:name="_Caption8985"/>
      <w:bookmarkStart w:id="8659" w:name="_Caption0262"/>
      <w:bookmarkStart w:id="8660" w:name="_Caption2335"/>
      <w:bookmarkStart w:id="8661" w:name="_Caption1310"/>
      <w:bookmarkStart w:id="8662" w:name="_Caption2196"/>
      <w:bookmarkStart w:id="8663" w:name="_Caption6224"/>
      <w:bookmarkStart w:id="8664" w:name="_Caption8505"/>
      <w:bookmarkStart w:id="8665" w:name="_Caption3226"/>
      <w:bookmarkStart w:id="8666" w:name="_Caption1998"/>
      <w:bookmarkStart w:id="8667" w:name="_Caption9827"/>
      <w:bookmarkStart w:id="8668" w:name="_Caption3264"/>
      <w:bookmarkStart w:id="8669" w:name="_Caption8356"/>
      <w:bookmarkStart w:id="8670" w:name="_Caption1529"/>
      <w:bookmarkStart w:id="8671" w:name="_Caption8913"/>
      <w:bookmarkStart w:id="8672" w:name="_Caption5987"/>
      <w:bookmarkStart w:id="8673" w:name="_Caption5871"/>
      <w:bookmarkStart w:id="8674" w:name="_Caption9951"/>
      <w:bookmarkStart w:id="8675" w:name="_Caption9840"/>
      <w:bookmarkStart w:id="8676" w:name="_Caption6008"/>
      <w:bookmarkStart w:id="8677" w:name="_Caption9517"/>
      <w:bookmarkStart w:id="8678" w:name="_Caption3002"/>
      <w:bookmarkStart w:id="8679" w:name="_Caption6794"/>
      <w:bookmarkStart w:id="8680" w:name="_Caption0037"/>
      <w:bookmarkStart w:id="8681" w:name="_Caption2888"/>
      <w:bookmarkStart w:id="8682" w:name="_Caption2280"/>
      <w:bookmarkStart w:id="8683" w:name="_Caption5219"/>
      <w:bookmarkStart w:id="8684" w:name="_Caption8714"/>
      <w:bookmarkStart w:id="8685" w:name="_Caption8088"/>
      <w:bookmarkStart w:id="8686" w:name="_Caption4473"/>
      <w:bookmarkStart w:id="8687" w:name="_Toc32321920"/>
      <w:bookmarkStart w:id="8688" w:name="_Toc44598626"/>
      <w:bookmarkStart w:id="8689" w:name="_Toc45654257"/>
      <w:r w:rsidR="00272AF3">
        <w:rPr>
          <w:noProof/>
        </w:rPr>
        <w:t>J</w:t>
      </w:r>
      <w:r w:rsidR="00272AF3" w:rsidRPr="00695C93">
        <w:rPr>
          <w:noProof/>
        </w:rPr>
        <w:t>.</w:t>
      </w:r>
      <w:r w:rsidR="00272AF3">
        <w:rPr>
          <w:noProof/>
        </w:rPr>
        <w:t>12</w:t>
      </w:r>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r w:rsidRPr="00695C93">
        <w:fldChar w:fldCharType="end"/>
      </w:r>
      <w:r w:rsidRPr="00695C93">
        <w:tab/>
      </w:r>
      <w:r>
        <w:t>Total impact of Gold standard on space of apartments in walk-up blocks</w:t>
      </w:r>
      <w:bookmarkEnd w:id="8687"/>
      <w:bookmarkEnd w:id="8688"/>
      <w:bookmarkEnd w:id="8689"/>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J.4"/>
        <w:tblDescription w:val="Total impact of Gold+ standard on space of volume build detached houses"/>
      </w:tblPr>
      <w:tblGrid>
        <w:gridCol w:w="2410"/>
        <w:gridCol w:w="1843"/>
        <w:gridCol w:w="1134"/>
        <w:gridCol w:w="1417"/>
        <w:gridCol w:w="1133"/>
      </w:tblGrid>
      <w:tr w:rsidR="005F17BE" w:rsidRPr="002E67CD" w:rsidTr="0031383F">
        <w:trPr>
          <w:trHeight w:val="252"/>
          <w:tblHeader/>
        </w:trPr>
        <w:tc>
          <w:tcPr>
            <w:tcW w:w="2410" w:type="dxa"/>
            <w:shd w:val="clear" w:color="auto" w:fill="6F6652" w:themeFill="accent5"/>
            <w:noWrap/>
            <w:hideMark/>
          </w:tcPr>
          <w:p w:rsidR="005F17BE" w:rsidRPr="002E67CD" w:rsidRDefault="00BD6F11" w:rsidP="0031383F">
            <w:pPr>
              <w:pStyle w:val="TableDataColumnHeading"/>
              <w:jc w:val="left"/>
            </w:pPr>
            <w:r>
              <w:t>Design element</w:t>
            </w:r>
          </w:p>
        </w:tc>
        <w:tc>
          <w:tcPr>
            <w:tcW w:w="1843" w:type="dxa"/>
            <w:shd w:val="clear" w:color="auto" w:fill="6F6652" w:themeFill="accent5"/>
            <w:noWrap/>
            <w:hideMark/>
          </w:tcPr>
          <w:p w:rsidR="005F17BE" w:rsidRDefault="005F17BE" w:rsidP="0031383F">
            <w:pPr>
              <w:pStyle w:val="TableDataColumnHeading"/>
              <w:rPr>
                <w:szCs w:val="16"/>
              </w:rPr>
            </w:pPr>
            <w:r w:rsidRPr="00167FC0">
              <w:rPr>
                <w:szCs w:val="16"/>
              </w:rPr>
              <w:t>Scenario weight for space impact</w:t>
            </w:r>
          </w:p>
          <w:p w:rsidR="005F17BE" w:rsidRPr="00167FC0" w:rsidRDefault="005F17BE" w:rsidP="0031383F">
            <w:pPr>
              <w:pStyle w:val="TableDataColumnHeading"/>
              <w:rPr>
                <w:szCs w:val="16"/>
              </w:rPr>
            </w:pPr>
            <w:r>
              <w:rPr>
                <w:szCs w:val="16"/>
              </w:rPr>
              <w:t>(Probability)</w:t>
            </w:r>
          </w:p>
        </w:tc>
        <w:tc>
          <w:tcPr>
            <w:tcW w:w="1134" w:type="dxa"/>
            <w:shd w:val="clear" w:color="auto" w:fill="6F6652" w:themeFill="accent5"/>
            <w:noWrap/>
            <w:hideMark/>
          </w:tcPr>
          <w:p w:rsidR="005F17BE" w:rsidRDefault="005F17BE" w:rsidP="0031383F">
            <w:pPr>
              <w:pStyle w:val="TableDataColumnHeading"/>
              <w:rPr>
                <w:szCs w:val="16"/>
              </w:rPr>
            </w:pPr>
            <w:r w:rsidRPr="00167FC0">
              <w:rPr>
                <w:szCs w:val="16"/>
              </w:rPr>
              <w:t>Potential impact</w:t>
            </w:r>
          </w:p>
          <w:p w:rsidR="005F17BE" w:rsidRPr="00167FC0" w:rsidRDefault="005F17BE" w:rsidP="0031383F">
            <w:pPr>
              <w:pStyle w:val="TableDataColumnHeading"/>
              <w:rPr>
                <w:szCs w:val="16"/>
              </w:rPr>
            </w:pPr>
            <w:r>
              <w:rPr>
                <w:szCs w:val="16"/>
              </w:rPr>
              <w:t>(sqm)</w:t>
            </w:r>
          </w:p>
        </w:tc>
        <w:tc>
          <w:tcPr>
            <w:tcW w:w="1417" w:type="dxa"/>
            <w:shd w:val="clear" w:color="auto" w:fill="6F6652" w:themeFill="accent5"/>
            <w:noWrap/>
            <w:hideMark/>
          </w:tcPr>
          <w:p w:rsidR="005F17BE" w:rsidRDefault="005F17BE" w:rsidP="0031383F">
            <w:pPr>
              <w:pStyle w:val="TableDataColumnHeading"/>
              <w:rPr>
                <w:szCs w:val="16"/>
              </w:rPr>
            </w:pPr>
            <w:r w:rsidRPr="00167FC0">
              <w:rPr>
                <w:szCs w:val="16"/>
              </w:rPr>
              <w:t>Weighted average impact</w:t>
            </w:r>
          </w:p>
          <w:p w:rsidR="005F17BE" w:rsidRPr="00167FC0" w:rsidRDefault="005F17BE" w:rsidP="0031383F">
            <w:pPr>
              <w:pStyle w:val="TableDataColumnHeading"/>
              <w:rPr>
                <w:szCs w:val="16"/>
              </w:rPr>
            </w:pPr>
            <w:r>
              <w:rPr>
                <w:szCs w:val="16"/>
              </w:rPr>
              <w:t>(sqm)</w:t>
            </w:r>
          </w:p>
        </w:tc>
        <w:tc>
          <w:tcPr>
            <w:tcW w:w="1133" w:type="dxa"/>
            <w:shd w:val="clear" w:color="auto" w:fill="6F6652" w:themeFill="accent5"/>
          </w:tcPr>
          <w:p w:rsidR="005F17BE" w:rsidRDefault="005F17BE" w:rsidP="0031383F">
            <w:pPr>
              <w:pStyle w:val="TableDataColumnHeading"/>
              <w:rPr>
                <w:szCs w:val="16"/>
              </w:rPr>
            </w:pPr>
            <w:r w:rsidRPr="00167FC0">
              <w:rPr>
                <w:szCs w:val="16"/>
              </w:rPr>
              <w:t>Total impact</w:t>
            </w:r>
          </w:p>
          <w:p w:rsidR="005F17BE" w:rsidRDefault="005F17BE" w:rsidP="0031383F">
            <w:pPr>
              <w:pStyle w:val="TableDataColumnHeading"/>
              <w:spacing w:before="0" w:after="0"/>
              <w:rPr>
                <w:szCs w:val="16"/>
              </w:rPr>
            </w:pPr>
          </w:p>
          <w:p w:rsidR="005F17BE" w:rsidRPr="00167FC0" w:rsidRDefault="005F17BE" w:rsidP="0031383F">
            <w:pPr>
              <w:pStyle w:val="TableDataColumnHeading"/>
              <w:spacing w:before="0"/>
              <w:rPr>
                <w:szCs w:val="16"/>
              </w:rPr>
            </w:pPr>
            <w:r>
              <w:rPr>
                <w:szCs w:val="16"/>
              </w:rPr>
              <w:t>($)</w:t>
            </w: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Unit"/>
              <w:jc w:val="left"/>
            </w:pPr>
            <w:r>
              <w:rPr>
                <w:szCs w:val="16"/>
              </w:rPr>
              <w:t>3. Wider corridor</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60%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1.80</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1.08</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415B64"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3. Wider corridor (form Silver to Gold/Gold+)</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1.20</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0.00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415B64"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slider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80%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0.54</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0.43</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415B64"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swing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10%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2.16</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0.22</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415B64"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5. Shower - additional space with slider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76%</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1.53</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1.16</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415B64"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5. Shower - additional space with swing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9%</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1.99</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0.19</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415B64"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8. Kitchen space</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50%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1.08</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0.54</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415B64" w:rsidRDefault="007C6A5F" w:rsidP="00C36DA4">
            <w:pPr>
              <w:pStyle w:val="TableDataEntries"/>
            </w:pPr>
          </w:p>
        </w:tc>
      </w:tr>
      <w:tr w:rsidR="007C6A5F" w:rsidRPr="002E67CD" w:rsidTr="008819BB">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9. Laundry space</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30%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0.54</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0.16</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415B64" w:rsidRDefault="007C6A5F" w:rsidP="00C36DA4">
            <w:pPr>
              <w:pStyle w:val="TableDataEntries"/>
            </w:pPr>
          </w:p>
        </w:tc>
      </w:tr>
      <w:tr w:rsidR="007C6A5F" w:rsidRPr="009B4E75" w:rsidTr="008819BB">
        <w:trPr>
          <w:trHeight w:val="252"/>
        </w:trPr>
        <w:tc>
          <w:tcPr>
            <w:tcW w:w="2410"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9B4E75" w:rsidRDefault="007C6A5F" w:rsidP="00C36DA4">
            <w:pPr>
              <w:pStyle w:val="TableDataEntries"/>
              <w:jc w:val="left"/>
              <w:rPr>
                <w:rFonts w:ascii="Franklin Gothic Demi" w:hAnsi="Franklin Gothic Demi"/>
              </w:rPr>
            </w:pPr>
            <w:r w:rsidRPr="009B4E75">
              <w:rPr>
                <w:rFonts w:ascii="Franklin Gothic Demi" w:hAnsi="Franklin Gothic Demi"/>
              </w:rPr>
              <w:t>Total impact</w:t>
            </w:r>
          </w:p>
        </w:tc>
        <w:tc>
          <w:tcPr>
            <w:tcW w:w="1843"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9B4E75" w:rsidRDefault="007C6A5F" w:rsidP="00C36DA4">
            <w:pPr>
              <w:pStyle w:val="TableDataEntries"/>
              <w:rPr>
                <w:rFonts w:ascii="Franklin Gothic Demi" w:hAnsi="Franklin Gothic Demi"/>
              </w:rPr>
            </w:pPr>
          </w:p>
        </w:tc>
        <w:tc>
          <w:tcPr>
            <w:tcW w:w="1134"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9B4E75" w:rsidRDefault="007C6A5F" w:rsidP="00C36DA4">
            <w:pPr>
              <w:pStyle w:val="TableDataEntries"/>
              <w:rPr>
                <w:rFonts w:ascii="Franklin Gothic Demi" w:hAnsi="Franklin Gothic Demi"/>
              </w:rPr>
            </w:pPr>
          </w:p>
        </w:tc>
        <w:tc>
          <w:tcPr>
            <w:tcW w:w="1417"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9B4E75" w:rsidRDefault="007C6A5F" w:rsidP="00C36DA4">
            <w:pPr>
              <w:pStyle w:val="TableDataEntries"/>
              <w:rPr>
                <w:rFonts w:ascii="Franklin Gothic Demi" w:hAnsi="Franklin Gothic Demi"/>
              </w:rPr>
            </w:pPr>
            <w:r w:rsidRPr="009B4E75">
              <w:rPr>
                <w:rFonts w:ascii="Franklin Gothic Demi" w:hAnsi="Franklin Gothic Demi"/>
              </w:rPr>
              <w:t>3.</w:t>
            </w:r>
            <w:r>
              <w:rPr>
                <w:rFonts w:ascii="Franklin Gothic Demi" w:hAnsi="Franklin Gothic Demi"/>
              </w:rPr>
              <w:t>7</w:t>
            </w:r>
            <w:r w:rsidRPr="009B4E75">
              <w:rPr>
                <w:rFonts w:ascii="Franklin Gothic Demi" w:hAnsi="Franklin Gothic Demi"/>
              </w:rPr>
              <w:t>8</w:t>
            </w:r>
          </w:p>
        </w:tc>
        <w:tc>
          <w:tcPr>
            <w:tcW w:w="1133" w:type="dxa"/>
            <w:tcBorders>
              <w:top w:val="single" w:sz="8" w:space="0" w:color="FFFFFF" w:themeColor="background1"/>
              <w:bottom w:val="single" w:sz="4" w:space="0" w:color="6F6652" w:themeColor="accent5"/>
            </w:tcBorders>
            <w:shd w:val="clear" w:color="auto" w:fill="C2DADB" w:themeFill="accent6" w:themeFillTint="99"/>
          </w:tcPr>
          <w:p w:rsidR="007C6A5F" w:rsidRPr="009B4E75" w:rsidRDefault="007C6A5F" w:rsidP="00C36DA4">
            <w:pPr>
              <w:pStyle w:val="TableDataEntries"/>
              <w:rPr>
                <w:rFonts w:ascii="Franklin Gothic Demi" w:hAnsi="Franklin Gothic Demi"/>
              </w:rPr>
            </w:pPr>
            <w:r w:rsidRPr="009B4E75">
              <w:rPr>
                <w:rFonts w:ascii="Franklin Gothic Demi" w:hAnsi="Franklin Gothic Demi"/>
              </w:rPr>
              <w:t>17</w:t>
            </w:r>
            <w:r>
              <w:rPr>
                <w:rFonts w:ascii="Franklin Gothic Demi" w:hAnsi="Franklin Gothic Demi"/>
              </w:rPr>
              <w:t> </w:t>
            </w:r>
            <w:r w:rsidRPr="009B4E75">
              <w:rPr>
                <w:rFonts w:ascii="Franklin Gothic Demi" w:hAnsi="Franklin Gothic Demi"/>
              </w:rPr>
              <w:t>0</w:t>
            </w:r>
            <w:r>
              <w:rPr>
                <w:rFonts w:ascii="Franklin Gothic Demi" w:hAnsi="Franklin Gothic Demi"/>
              </w:rPr>
              <w:t>58</w:t>
            </w:r>
          </w:p>
        </w:tc>
      </w:tr>
    </w:tbl>
    <w:p w:rsidR="00DE71A3" w:rsidRDefault="00DE71A3" w:rsidP="00DE71A3">
      <w:pPr>
        <w:pStyle w:val="Source"/>
        <w:rPr>
          <w:lang w:bidi="fa-IR"/>
        </w:rPr>
      </w:pPr>
      <w:r w:rsidRPr="002E67CD">
        <w:rPr>
          <w:i/>
          <w:lang w:bidi="fa-IR"/>
        </w:rPr>
        <w:t>Source:</w:t>
      </w:r>
      <w:r>
        <w:rPr>
          <w:lang w:bidi="fa-IR"/>
        </w:rPr>
        <w:t xml:space="preserve"> CIE.</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w:instrText>
      </w:r>
      <w:r w:rsidRPr="00695C93">
        <w:fldChar w:fldCharType="separate"/>
      </w:r>
      <w:r>
        <w:rPr>
          <w:noProof/>
        </w:rPr>
        <w:instrText>J</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13</w:instrText>
      </w:r>
      <w:r w:rsidRPr="00695C93">
        <w:fldChar w:fldCharType="end"/>
      </w:r>
      <w:r w:rsidRPr="00695C93">
        <w:instrText xml:space="preserve">" "" </w:instrText>
      </w:r>
      <w:r w:rsidRPr="00695C93">
        <w:fldChar w:fldCharType="separate"/>
      </w:r>
      <w:bookmarkStart w:id="8690" w:name="_Caption3357"/>
      <w:bookmarkStart w:id="8691" w:name="_Caption1177"/>
      <w:bookmarkStart w:id="8692" w:name="_Caption6327"/>
      <w:bookmarkStart w:id="8693" w:name="_Caption1680"/>
      <w:bookmarkStart w:id="8694" w:name="_Caption7120"/>
      <w:bookmarkStart w:id="8695" w:name="_Caption0197"/>
      <w:bookmarkStart w:id="8696" w:name="_Caption9278"/>
      <w:bookmarkStart w:id="8697" w:name="_Caption3440"/>
      <w:bookmarkStart w:id="8698" w:name="_Caption7904"/>
      <w:bookmarkStart w:id="8699" w:name="_Caption6211"/>
      <w:bookmarkStart w:id="8700" w:name="_Caption0924"/>
      <w:bookmarkStart w:id="8701" w:name="_Caption3058"/>
      <w:bookmarkStart w:id="8702" w:name="_Caption6555"/>
      <w:bookmarkStart w:id="8703" w:name="_Caption2492"/>
      <w:bookmarkStart w:id="8704" w:name="_Caption2030"/>
      <w:bookmarkStart w:id="8705" w:name="_Caption9418"/>
      <w:bookmarkStart w:id="8706" w:name="_Caption0411"/>
      <w:bookmarkStart w:id="8707" w:name="_Caption0675"/>
      <w:bookmarkStart w:id="8708" w:name="_Caption1197"/>
      <w:bookmarkStart w:id="8709" w:name="_Caption5667"/>
      <w:bookmarkStart w:id="8710" w:name="_Caption0654"/>
      <w:bookmarkStart w:id="8711" w:name="_Caption7815"/>
      <w:bookmarkStart w:id="8712" w:name="_Caption2256"/>
      <w:bookmarkStart w:id="8713" w:name="_Caption6952"/>
      <w:bookmarkStart w:id="8714" w:name="_Caption3576"/>
      <w:bookmarkStart w:id="8715" w:name="_Caption3083"/>
      <w:bookmarkStart w:id="8716" w:name="_Caption5356"/>
      <w:bookmarkStart w:id="8717" w:name="_Caption3970"/>
      <w:bookmarkStart w:id="8718" w:name="_Caption1978"/>
      <w:bookmarkStart w:id="8719" w:name="_Caption1278"/>
      <w:bookmarkStart w:id="8720" w:name="_Caption3591"/>
      <w:bookmarkStart w:id="8721" w:name="_Caption9038"/>
      <w:bookmarkStart w:id="8722" w:name="_Caption1392"/>
      <w:bookmarkStart w:id="8723" w:name="_Caption1677"/>
      <w:bookmarkStart w:id="8724" w:name="_Toc32321921"/>
      <w:bookmarkStart w:id="8725" w:name="_Toc44598627"/>
      <w:bookmarkStart w:id="8726" w:name="_Toc45654258"/>
      <w:r w:rsidR="00272AF3">
        <w:rPr>
          <w:noProof/>
        </w:rPr>
        <w:t>J</w:t>
      </w:r>
      <w:r w:rsidR="00272AF3" w:rsidRPr="00695C93">
        <w:rPr>
          <w:noProof/>
        </w:rPr>
        <w:t>.</w:t>
      </w:r>
      <w:r w:rsidR="00272AF3">
        <w:rPr>
          <w:noProof/>
        </w:rPr>
        <w:t>13</w:t>
      </w:r>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r w:rsidRPr="00695C93">
        <w:fldChar w:fldCharType="end"/>
      </w:r>
      <w:r w:rsidRPr="00695C93">
        <w:tab/>
      </w:r>
      <w:r>
        <w:t>Total impact of Gold+ standard on space of apartments in walk-up blocks</w:t>
      </w:r>
      <w:bookmarkEnd w:id="8724"/>
      <w:bookmarkEnd w:id="8725"/>
      <w:bookmarkEnd w:id="8726"/>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J.4"/>
        <w:tblDescription w:val="Total impact of Gold+ standard on space of volume build detached houses"/>
      </w:tblPr>
      <w:tblGrid>
        <w:gridCol w:w="2410"/>
        <w:gridCol w:w="1843"/>
        <w:gridCol w:w="1134"/>
        <w:gridCol w:w="1417"/>
        <w:gridCol w:w="1133"/>
      </w:tblGrid>
      <w:tr w:rsidR="005F17BE" w:rsidRPr="002E67CD" w:rsidTr="0031383F">
        <w:trPr>
          <w:trHeight w:val="252"/>
          <w:tblHeader/>
        </w:trPr>
        <w:tc>
          <w:tcPr>
            <w:tcW w:w="2410" w:type="dxa"/>
            <w:shd w:val="clear" w:color="auto" w:fill="6F6652" w:themeFill="accent5"/>
            <w:noWrap/>
            <w:hideMark/>
          </w:tcPr>
          <w:p w:rsidR="005F17BE" w:rsidRPr="002E67CD" w:rsidRDefault="00BD6F11" w:rsidP="0031383F">
            <w:pPr>
              <w:pStyle w:val="TableDataColumnHeading"/>
              <w:jc w:val="left"/>
            </w:pPr>
            <w:r>
              <w:t>Design element</w:t>
            </w:r>
          </w:p>
        </w:tc>
        <w:tc>
          <w:tcPr>
            <w:tcW w:w="1843" w:type="dxa"/>
            <w:shd w:val="clear" w:color="auto" w:fill="6F6652" w:themeFill="accent5"/>
            <w:noWrap/>
            <w:hideMark/>
          </w:tcPr>
          <w:p w:rsidR="005F17BE" w:rsidRDefault="005F17BE" w:rsidP="0031383F">
            <w:pPr>
              <w:pStyle w:val="TableDataColumnHeading"/>
              <w:rPr>
                <w:szCs w:val="16"/>
              </w:rPr>
            </w:pPr>
            <w:r w:rsidRPr="00167FC0">
              <w:rPr>
                <w:szCs w:val="16"/>
              </w:rPr>
              <w:t>Scenario weight for space impact</w:t>
            </w:r>
          </w:p>
          <w:p w:rsidR="005F17BE" w:rsidRPr="00167FC0" w:rsidRDefault="005F17BE" w:rsidP="0031383F">
            <w:pPr>
              <w:pStyle w:val="TableDataColumnHeading"/>
              <w:rPr>
                <w:szCs w:val="16"/>
              </w:rPr>
            </w:pPr>
            <w:r>
              <w:rPr>
                <w:szCs w:val="16"/>
              </w:rPr>
              <w:t>(Probability)</w:t>
            </w:r>
          </w:p>
        </w:tc>
        <w:tc>
          <w:tcPr>
            <w:tcW w:w="1134" w:type="dxa"/>
            <w:shd w:val="clear" w:color="auto" w:fill="6F6652" w:themeFill="accent5"/>
            <w:noWrap/>
            <w:hideMark/>
          </w:tcPr>
          <w:p w:rsidR="005F17BE" w:rsidRDefault="005F17BE" w:rsidP="0031383F">
            <w:pPr>
              <w:pStyle w:val="TableDataColumnHeading"/>
              <w:rPr>
                <w:szCs w:val="16"/>
              </w:rPr>
            </w:pPr>
            <w:r w:rsidRPr="00167FC0">
              <w:rPr>
                <w:szCs w:val="16"/>
              </w:rPr>
              <w:t>Potential impact</w:t>
            </w:r>
          </w:p>
          <w:p w:rsidR="005F17BE" w:rsidRPr="00167FC0" w:rsidRDefault="005F17BE" w:rsidP="0031383F">
            <w:pPr>
              <w:pStyle w:val="TableDataColumnHeading"/>
              <w:rPr>
                <w:szCs w:val="16"/>
              </w:rPr>
            </w:pPr>
            <w:r>
              <w:rPr>
                <w:szCs w:val="16"/>
              </w:rPr>
              <w:t>(sqm)</w:t>
            </w:r>
          </w:p>
        </w:tc>
        <w:tc>
          <w:tcPr>
            <w:tcW w:w="1417" w:type="dxa"/>
            <w:shd w:val="clear" w:color="auto" w:fill="6F6652" w:themeFill="accent5"/>
            <w:noWrap/>
            <w:hideMark/>
          </w:tcPr>
          <w:p w:rsidR="005F17BE" w:rsidRDefault="005F17BE" w:rsidP="0031383F">
            <w:pPr>
              <w:pStyle w:val="TableDataColumnHeading"/>
              <w:rPr>
                <w:szCs w:val="16"/>
              </w:rPr>
            </w:pPr>
            <w:r w:rsidRPr="00167FC0">
              <w:rPr>
                <w:szCs w:val="16"/>
              </w:rPr>
              <w:t>Weighted average impact</w:t>
            </w:r>
          </w:p>
          <w:p w:rsidR="005F17BE" w:rsidRPr="00167FC0" w:rsidRDefault="005F17BE" w:rsidP="0031383F">
            <w:pPr>
              <w:pStyle w:val="TableDataColumnHeading"/>
              <w:rPr>
                <w:szCs w:val="16"/>
              </w:rPr>
            </w:pPr>
            <w:r>
              <w:rPr>
                <w:szCs w:val="16"/>
              </w:rPr>
              <w:t>(sqm)</w:t>
            </w:r>
          </w:p>
        </w:tc>
        <w:tc>
          <w:tcPr>
            <w:tcW w:w="1133" w:type="dxa"/>
            <w:shd w:val="clear" w:color="auto" w:fill="6F6652" w:themeFill="accent5"/>
          </w:tcPr>
          <w:p w:rsidR="005F17BE" w:rsidRDefault="005F17BE" w:rsidP="0031383F">
            <w:pPr>
              <w:pStyle w:val="TableDataColumnHeading"/>
              <w:rPr>
                <w:szCs w:val="16"/>
              </w:rPr>
            </w:pPr>
            <w:r w:rsidRPr="00167FC0">
              <w:rPr>
                <w:szCs w:val="16"/>
              </w:rPr>
              <w:t>Total impact</w:t>
            </w:r>
          </w:p>
          <w:p w:rsidR="005F17BE" w:rsidRDefault="005F17BE" w:rsidP="0031383F">
            <w:pPr>
              <w:pStyle w:val="TableDataColumnHeading"/>
              <w:spacing w:before="0" w:after="0"/>
              <w:rPr>
                <w:szCs w:val="16"/>
              </w:rPr>
            </w:pPr>
          </w:p>
          <w:p w:rsidR="005F17BE" w:rsidRPr="00167FC0" w:rsidRDefault="005F17BE" w:rsidP="0031383F">
            <w:pPr>
              <w:pStyle w:val="TableDataColumnHeading"/>
              <w:spacing w:before="0"/>
              <w:rPr>
                <w:szCs w:val="16"/>
              </w:rPr>
            </w:pPr>
            <w:r>
              <w:rPr>
                <w:szCs w:val="16"/>
              </w:rPr>
              <w:t>($)</w:t>
            </w: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Unit"/>
              <w:jc w:val="left"/>
            </w:pPr>
            <w:r>
              <w:rPr>
                <w:szCs w:val="16"/>
              </w:rPr>
              <w:t>3. Wider corridor</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60%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1.80</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1.08</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415B64"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3. Wider corridor (form Silver to Gold/Gold+)</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1.20</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0.00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415B64"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slider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80%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0.54</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0.43</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415B64"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swing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10%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2.16</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0.22</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415B64"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lastRenderedPageBreak/>
              <w:t>5. Shower - additional space with slider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76%</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1.53</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1.16</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415B64"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5. Shower - additional space with swing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9%</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1.99</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0.19</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415B64"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8. Kitchen space</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50%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2.16</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1.08</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415B64"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8. Kitchen space (from Gold to Gold+)</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20%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1.08</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0.22</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415B64"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9. Laundry space</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30%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1.17</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415B64" w:rsidRDefault="007C6A5F" w:rsidP="00C36DA4">
            <w:pPr>
              <w:pStyle w:val="TableDataEntries"/>
            </w:pPr>
            <w:r>
              <w:rPr>
                <w:szCs w:val="16"/>
              </w:rPr>
              <w:t>0.35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415B64" w:rsidRDefault="007C6A5F" w:rsidP="00C36DA4">
            <w:pPr>
              <w:pStyle w:val="TableDataEntries"/>
            </w:pPr>
          </w:p>
        </w:tc>
      </w:tr>
      <w:tr w:rsidR="007C6A5F" w:rsidRPr="002E67CD" w:rsidTr="008819BB">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9. Laundry space (from Gold to Gold+)</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40%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0.63</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415B64" w:rsidRDefault="007C6A5F" w:rsidP="00C36DA4">
            <w:pPr>
              <w:pStyle w:val="TableDataEntries"/>
            </w:pPr>
            <w:r>
              <w:rPr>
                <w:szCs w:val="16"/>
              </w:rPr>
              <w:t>0.25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415B64" w:rsidRDefault="007C6A5F" w:rsidP="00C36DA4">
            <w:pPr>
              <w:pStyle w:val="TableDataEntries"/>
            </w:pPr>
          </w:p>
        </w:tc>
      </w:tr>
      <w:tr w:rsidR="007C6A5F" w:rsidRPr="009B4E75" w:rsidTr="008819BB">
        <w:trPr>
          <w:trHeight w:val="252"/>
        </w:trPr>
        <w:tc>
          <w:tcPr>
            <w:tcW w:w="2410"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9B4E75" w:rsidRDefault="007C6A5F" w:rsidP="00C36DA4">
            <w:pPr>
              <w:pStyle w:val="TableDataEntries"/>
              <w:jc w:val="left"/>
              <w:rPr>
                <w:rFonts w:ascii="Franklin Gothic Demi" w:hAnsi="Franklin Gothic Demi"/>
              </w:rPr>
            </w:pPr>
            <w:r w:rsidRPr="009B4E75">
              <w:rPr>
                <w:rFonts w:ascii="Franklin Gothic Demi" w:hAnsi="Franklin Gothic Demi"/>
              </w:rPr>
              <w:t>Total impact</w:t>
            </w:r>
          </w:p>
        </w:tc>
        <w:tc>
          <w:tcPr>
            <w:tcW w:w="1843"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9B4E75" w:rsidRDefault="007C6A5F" w:rsidP="00C36DA4">
            <w:pPr>
              <w:pStyle w:val="TableDataEntries"/>
              <w:rPr>
                <w:rFonts w:ascii="Franklin Gothic Demi" w:hAnsi="Franklin Gothic Demi"/>
              </w:rPr>
            </w:pPr>
          </w:p>
        </w:tc>
        <w:tc>
          <w:tcPr>
            <w:tcW w:w="1134"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9B4E75" w:rsidRDefault="007C6A5F" w:rsidP="00C36DA4">
            <w:pPr>
              <w:pStyle w:val="TableDataEntries"/>
              <w:rPr>
                <w:rFonts w:ascii="Franklin Gothic Demi" w:hAnsi="Franklin Gothic Demi"/>
              </w:rPr>
            </w:pPr>
          </w:p>
        </w:tc>
        <w:tc>
          <w:tcPr>
            <w:tcW w:w="1417"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9B4E75" w:rsidRDefault="007C6A5F" w:rsidP="00C36DA4">
            <w:pPr>
              <w:pStyle w:val="TableDataEntries"/>
              <w:rPr>
                <w:rFonts w:ascii="Franklin Gothic Demi" w:hAnsi="Franklin Gothic Demi"/>
              </w:rPr>
            </w:pPr>
            <w:r w:rsidRPr="009B4E75">
              <w:rPr>
                <w:rFonts w:ascii="Franklin Gothic Demi" w:hAnsi="Franklin Gothic Demi"/>
              </w:rPr>
              <w:t>4.</w:t>
            </w:r>
            <w:r>
              <w:rPr>
                <w:rFonts w:ascii="Franklin Gothic Demi" w:hAnsi="Franklin Gothic Demi"/>
              </w:rPr>
              <w:t>97</w:t>
            </w:r>
          </w:p>
        </w:tc>
        <w:tc>
          <w:tcPr>
            <w:tcW w:w="1133" w:type="dxa"/>
            <w:tcBorders>
              <w:top w:val="single" w:sz="8" w:space="0" w:color="FFFFFF" w:themeColor="background1"/>
              <w:bottom w:val="single" w:sz="4" w:space="0" w:color="6F6652" w:themeColor="accent5"/>
            </w:tcBorders>
            <w:shd w:val="clear" w:color="auto" w:fill="C2DADB" w:themeFill="accent6" w:themeFillTint="99"/>
          </w:tcPr>
          <w:p w:rsidR="007C6A5F" w:rsidRPr="009B4E75" w:rsidRDefault="007C6A5F" w:rsidP="00C36DA4">
            <w:pPr>
              <w:pStyle w:val="TableDataEntries"/>
              <w:rPr>
                <w:rFonts w:ascii="Franklin Gothic Demi" w:hAnsi="Franklin Gothic Demi"/>
              </w:rPr>
            </w:pPr>
            <w:r>
              <w:rPr>
                <w:rFonts w:ascii="Franklin Gothic Demi" w:hAnsi="Franklin Gothic Demi"/>
              </w:rPr>
              <w:t>22</w:t>
            </w:r>
            <w:r w:rsidRPr="009B4E75">
              <w:rPr>
                <w:rFonts w:ascii="Franklin Gothic Demi" w:hAnsi="Franklin Gothic Demi"/>
              </w:rPr>
              <w:t> </w:t>
            </w:r>
            <w:r>
              <w:rPr>
                <w:rFonts w:ascii="Franklin Gothic Demi" w:hAnsi="Franklin Gothic Demi"/>
              </w:rPr>
              <w:t>465</w:t>
            </w:r>
          </w:p>
        </w:tc>
      </w:tr>
    </w:tbl>
    <w:p w:rsidR="00DE71A3" w:rsidRDefault="00DE71A3" w:rsidP="00DE71A3">
      <w:pPr>
        <w:pStyle w:val="Source"/>
        <w:rPr>
          <w:lang w:bidi="fa-IR"/>
        </w:rPr>
      </w:pPr>
      <w:r w:rsidRPr="002E67CD">
        <w:rPr>
          <w:i/>
          <w:lang w:bidi="fa-IR"/>
        </w:rPr>
        <w:t>Source:</w:t>
      </w:r>
      <w:r>
        <w:rPr>
          <w:lang w:bidi="fa-IR"/>
        </w:rPr>
        <w:t xml:space="preserve"> CIE.</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w:instrText>
      </w:r>
      <w:r w:rsidRPr="00695C93">
        <w:fldChar w:fldCharType="separate"/>
      </w:r>
      <w:r>
        <w:rPr>
          <w:noProof/>
        </w:rPr>
        <w:instrText>J</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14</w:instrText>
      </w:r>
      <w:r w:rsidRPr="00695C93">
        <w:fldChar w:fldCharType="end"/>
      </w:r>
      <w:r w:rsidRPr="00695C93">
        <w:instrText xml:space="preserve">" "" </w:instrText>
      </w:r>
      <w:r w:rsidRPr="00695C93">
        <w:fldChar w:fldCharType="separate"/>
      </w:r>
      <w:bookmarkStart w:id="8727" w:name="_Caption0101"/>
      <w:bookmarkStart w:id="8728" w:name="_Caption8968"/>
      <w:bookmarkStart w:id="8729" w:name="_Caption7055"/>
      <w:bookmarkStart w:id="8730" w:name="_Caption5234"/>
      <w:bookmarkStart w:id="8731" w:name="_Caption9894"/>
      <w:bookmarkStart w:id="8732" w:name="_Caption8355"/>
      <w:bookmarkStart w:id="8733" w:name="_Caption2451"/>
      <w:bookmarkStart w:id="8734" w:name="_Caption2796"/>
      <w:bookmarkStart w:id="8735" w:name="_Caption1314"/>
      <w:bookmarkStart w:id="8736" w:name="_Caption9075"/>
      <w:bookmarkStart w:id="8737" w:name="_Caption3421"/>
      <w:bookmarkStart w:id="8738" w:name="_Caption5795"/>
      <w:bookmarkStart w:id="8739" w:name="_Caption2042"/>
      <w:bookmarkStart w:id="8740" w:name="_Caption9921"/>
      <w:bookmarkStart w:id="8741" w:name="_Caption3805"/>
      <w:bookmarkStart w:id="8742" w:name="_Caption3816"/>
      <w:bookmarkStart w:id="8743" w:name="_Caption8996"/>
      <w:bookmarkStart w:id="8744" w:name="_Caption6715"/>
      <w:bookmarkStart w:id="8745" w:name="_Caption2505"/>
      <w:bookmarkStart w:id="8746" w:name="_Caption1088"/>
      <w:bookmarkStart w:id="8747" w:name="_Caption1896"/>
      <w:bookmarkStart w:id="8748" w:name="_Caption3182"/>
      <w:bookmarkStart w:id="8749" w:name="_Caption1295"/>
      <w:bookmarkStart w:id="8750" w:name="_Caption8233"/>
      <w:bookmarkStart w:id="8751" w:name="_Caption1841"/>
      <w:bookmarkStart w:id="8752" w:name="_Caption6951"/>
      <w:bookmarkStart w:id="8753" w:name="_Caption4634"/>
      <w:bookmarkStart w:id="8754" w:name="_Caption9469"/>
      <w:bookmarkStart w:id="8755" w:name="_Caption2599"/>
      <w:bookmarkStart w:id="8756" w:name="_Caption2556"/>
      <w:bookmarkStart w:id="8757" w:name="_Caption7584"/>
      <w:bookmarkStart w:id="8758" w:name="_Caption3778"/>
      <w:bookmarkStart w:id="8759" w:name="_Caption5318"/>
      <w:bookmarkStart w:id="8760" w:name="_Caption1463"/>
      <w:bookmarkStart w:id="8761" w:name="_Toc32321922"/>
      <w:bookmarkStart w:id="8762" w:name="_Toc44598628"/>
      <w:bookmarkStart w:id="8763" w:name="_Toc45654259"/>
      <w:r w:rsidR="00272AF3">
        <w:rPr>
          <w:noProof/>
        </w:rPr>
        <w:t>J</w:t>
      </w:r>
      <w:r w:rsidR="00272AF3" w:rsidRPr="00695C93">
        <w:rPr>
          <w:noProof/>
        </w:rPr>
        <w:t>.</w:t>
      </w:r>
      <w:r w:rsidR="00272AF3">
        <w:rPr>
          <w:noProof/>
        </w:rPr>
        <w:t>14</w:t>
      </w:r>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r w:rsidRPr="00695C93">
        <w:fldChar w:fldCharType="end"/>
      </w:r>
      <w:r w:rsidRPr="00695C93">
        <w:tab/>
      </w:r>
      <w:r>
        <w:t>Total impact of Silver standard on space of apartments in lift blocks</w:t>
      </w:r>
      <w:bookmarkEnd w:id="8761"/>
      <w:bookmarkEnd w:id="8762"/>
      <w:bookmarkEnd w:id="8763"/>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J.4"/>
        <w:tblDescription w:val="Total impact of Gold+ standard on space of volume build detached houses"/>
      </w:tblPr>
      <w:tblGrid>
        <w:gridCol w:w="2410"/>
        <w:gridCol w:w="1843"/>
        <w:gridCol w:w="1134"/>
        <w:gridCol w:w="1417"/>
        <w:gridCol w:w="1133"/>
      </w:tblGrid>
      <w:tr w:rsidR="005F17BE" w:rsidRPr="002E67CD" w:rsidTr="0031383F">
        <w:trPr>
          <w:trHeight w:val="252"/>
          <w:tblHeader/>
        </w:trPr>
        <w:tc>
          <w:tcPr>
            <w:tcW w:w="2410" w:type="dxa"/>
            <w:shd w:val="clear" w:color="auto" w:fill="6F6652" w:themeFill="accent5"/>
            <w:noWrap/>
            <w:hideMark/>
          </w:tcPr>
          <w:p w:rsidR="005F17BE" w:rsidRPr="002E67CD" w:rsidRDefault="00BD6F11" w:rsidP="0031383F">
            <w:pPr>
              <w:pStyle w:val="TableDataColumnHeading"/>
              <w:jc w:val="left"/>
            </w:pPr>
            <w:r>
              <w:t>Design element</w:t>
            </w:r>
          </w:p>
        </w:tc>
        <w:tc>
          <w:tcPr>
            <w:tcW w:w="1843" w:type="dxa"/>
            <w:shd w:val="clear" w:color="auto" w:fill="6F6652" w:themeFill="accent5"/>
            <w:noWrap/>
            <w:hideMark/>
          </w:tcPr>
          <w:p w:rsidR="005F17BE" w:rsidRDefault="005F17BE" w:rsidP="0031383F">
            <w:pPr>
              <w:pStyle w:val="TableDataColumnHeading"/>
              <w:rPr>
                <w:szCs w:val="16"/>
              </w:rPr>
            </w:pPr>
            <w:r w:rsidRPr="00167FC0">
              <w:rPr>
                <w:szCs w:val="16"/>
              </w:rPr>
              <w:t>Scenario weight for space impact</w:t>
            </w:r>
          </w:p>
          <w:p w:rsidR="005F17BE" w:rsidRPr="00167FC0" w:rsidRDefault="005F17BE" w:rsidP="0031383F">
            <w:pPr>
              <w:pStyle w:val="TableDataColumnHeading"/>
              <w:rPr>
                <w:szCs w:val="16"/>
              </w:rPr>
            </w:pPr>
            <w:r>
              <w:rPr>
                <w:szCs w:val="16"/>
              </w:rPr>
              <w:t>(Probability)</w:t>
            </w:r>
          </w:p>
        </w:tc>
        <w:tc>
          <w:tcPr>
            <w:tcW w:w="1134" w:type="dxa"/>
            <w:shd w:val="clear" w:color="auto" w:fill="6F6652" w:themeFill="accent5"/>
            <w:noWrap/>
            <w:hideMark/>
          </w:tcPr>
          <w:p w:rsidR="005F17BE" w:rsidRDefault="005F17BE" w:rsidP="0031383F">
            <w:pPr>
              <w:pStyle w:val="TableDataColumnHeading"/>
              <w:rPr>
                <w:szCs w:val="16"/>
              </w:rPr>
            </w:pPr>
            <w:r w:rsidRPr="00167FC0">
              <w:rPr>
                <w:szCs w:val="16"/>
              </w:rPr>
              <w:t>Potential impact</w:t>
            </w:r>
          </w:p>
          <w:p w:rsidR="005F17BE" w:rsidRPr="00167FC0" w:rsidRDefault="005F17BE" w:rsidP="0031383F">
            <w:pPr>
              <w:pStyle w:val="TableDataColumnHeading"/>
              <w:rPr>
                <w:szCs w:val="16"/>
              </w:rPr>
            </w:pPr>
            <w:r>
              <w:rPr>
                <w:szCs w:val="16"/>
              </w:rPr>
              <w:t>(sqm)</w:t>
            </w:r>
          </w:p>
        </w:tc>
        <w:tc>
          <w:tcPr>
            <w:tcW w:w="1417" w:type="dxa"/>
            <w:shd w:val="clear" w:color="auto" w:fill="6F6652" w:themeFill="accent5"/>
            <w:noWrap/>
            <w:hideMark/>
          </w:tcPr>
          <w:p w:rsidR="005F17BE" w:rsidRDefault="005F17BE" w:rsidP="0031383F">
            <w:pPr>
              <w:pStyle w:val="TableDataColumnHeading"/>
              <w:rPr>
                <w:szCs w:val="16"/>
              </w:rPr>
            </w:pPr>
            <w:r w:rsidRPr="00167FC0">
              <w:rPr>
                <w:szCs w:val="16"/>
              </w:rPr>
              <w:t>Weighted average impact</w:t>
            </w:r>
          </w:p>
          <w:p w:rsidR="005F17BE" w:rsidRPr="00167FC0" w:rsidRDefault="005F17BE" w:rsidP="0031383F">
            <w:pPr>
              <w:pStyle w:val="TableDataColumnHeading"/>
              <w:rPr>
                <w:szCs w:val="16"/>
              </w:rPr>
            </w:pPr>
            <w:r>
              <w:rPr>
                <w:szCs w:val="16"/>
              </w:rPr>
              <w:t>(sqm)</w:t>
            </w:r>
          </w:p>
        </w:tc>
        <w:tc>
          <w:tcPr>
            <w:tcW w:w="1133" w:type="dxa"/>
            <w:shd w:val="clear" w:color="auto" w:fill="6F6652" w:themeFill="accent5"/>
          </w:tcPr>
          <w:p w:rsidR="005F17BE" w:rsidRDefault="005F17BE" w:rsidP="0031383F">
            <w:pPr>
              <w:pStyle w:val="TableDataColumnHeading"/>
              <w:rPr>
                <w:szCs w:val="16"/>
              </w:rPr>
            </w:pPr>
            <w:r w:rsidRPr="00167FC0">
              <w:rPr>
                <w:szCs w:val="16"/>
              </w:rPr>
              <w:t>Total impact</w:t>
            </w:r>
          </w:p>
          <w:p w:rsidR="005F17BE" w:rsidRDefault="005F17BE" w:rsidP="0031383F">
            <w:pPr>
              <w:pStyle w:val="TableDataColumnHeading"/>
              <w:spacing w:before="0" w:after="0"/>
              <w:rPr>
                <w:szCs w:val="16"/>
              </w:rPr>
            </w:pPr>
          </w:p>
          <w:p w:rsidR="005F17BE" w:rsidRPr="00167FC0" w:rsidRDefault="005F17BE" w:rsidP="0031383F">
            <w:pPr>
              <w:pStyle w:val="TableDataColumnHeading"/>
              <w:spacing w:before="0"/>
              <w:rPr>
                <w:szCs w:val="16"/>
              </w:rPr>
            </w:pPr>
            <w:r>
              <w:rPr>
                <w:szCs w:val="16"/>
              </w:rPr>
              <w:t>($)</w:t>
            </w: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Unit"/>
              <w:jc w:val="left"/>
            </w:pPr>
            <w:r>
              <w:rPr>
                <w:szCs w:val="16"/>
              </w:rPr>
              <w:t>3. Wider corridor</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60%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0.60</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0.36</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B92870"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3. Wider corridor (form Silver to Gold/Gold+)</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0.00</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0.00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B92870"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slider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80%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0.00</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0.00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B92870" w:rsidRDefault="007C6A5F" w:rsidP="00C36DA4">
            <w:pPr>
              <w:pStyle w:val="TableDataEntries"/>
            </w:pPr>
          </w:p>
        </w:tc>
      </w:tr>
      <w:tr w:rsidR="007C6A5F" w:rsidRPr="002E67CD" w:rsidTr="008819BB">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4. Toilet - additional clear space with swing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20%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1.39</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0.28</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B92870" w:rsidRDefault="007C6A5F" w:rsidP="00C36DA4">
            <w:pPr>
              <w:pStyle w:val="TableDataEntries"/>
            </w:pPr>
          </w:p>
        </w:tc>
      </w:tr>
      <w:tr w:rsidR="007C6A5F" w:rsidRPr="005F3C95" w:rsidTr="008819BB">
        <w:trPr>
          <w:trHeight w:val="252"/>
        </w:trPr>
        <w:tc>
          <w:tcPr>
            <w:tcW w:w="2410"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F3C95" w:rsidRDefault="007C6A5F" w:rsidP="00C36DA4">
            <w:pPr>
              <w:pStyle w:val="TableDataEntries"/>
              <w:jc w:val="left"/>
              <w:rPr>
                <w:rFonts w:ascii="Franklin Gothic Demi" w:hAnsi="Franklin Gothic Demi"/>
              </w:rPr>
            </w:pPr>
            <w:r w:rsidRPr="005F3C95">
              <w:rPr>
                <w:rFonts w:ascii="Franklin Gothic Demi" w:hAnsi="Franklin Gothic Demi"/>
              </w:rPr>
              <w:t>Total impact</w:t>
            </w:r>
          </w:p>
        </w:tc>
        <w:tc>
          <w:tcPr>
            <w:tcW w:w="1843"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F3C95" w:rsidRDefault="007C6A5F" w:rsidP="00C36DA4">
            <w:pPr>
              <w:pStyle w:val="TableDataEntries"/>
              <w:rPr>
                <w:rFonts w:ascii="Franklin Gothic Demi" w:hAnsi="Franklin Gothic Demi"/>
              </w:rPr>
            </w:pPr>
          </w:p>
        </w:tc>
        <w:tc>
          <w:tcPr>
            <w:tcW w:w="1134"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F3C95" w:rsidRDefault="007C6A5F" w:rsidP="00C36DA4">
            <w:pPr>
              <w:pStyle w:val="TableDataEntries"/>
              <w:rPr>
                <w:rFonts w:ascii="Franklin Gothic Demi" w:hAnsi="Franklin Gothic Demi"/>
              </w:rPr>
            </w:pPr>
          </w:p>
        </w:tc>
        <w:tc>
          <w:tcPr>
            <w:tcW w:w="1417"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F3C95" w:rsidRDefault="007C6A5F" w:rsidP="00C36DA4">
            <w:pPr>
              <w:pStyle w:val="TableDataEntries"/>
              <w:rPr>
                <w:rFonts w:ascii="Franklin Gothic Demi" w:hAnsi="Franklin Gothic Demi"/>
              </w:rPr>
            </w:pPr>
            <w:r w:rsidRPr="005F3C95">
              <w:rPr>
                <w:rFonts w:ascii="Franklin Gothic Demi" w:hAnsi="Franklin Gothic Demi"/>
              </w:rPr>
              <w:t>0.</w:t>
            </w:r>
            <w:r>
              <w:rPr>
                <w:rFonts w:ascii="Franklin Gothic Demi" w:hAnsi="Franklin Gothic Demi"/>
              </w:rPr>
              <w:t>64</w:t>
            </w:r>
          </w:p>
        </w:tc>
        <w:tc>
          <w:tcPr>
            <w:tcW w:w="1133" w:type="dxa"/>
            <w:tcBorders>
              <w:top w:val="single" w:sz="8" w:space="0" w:color="FFFFFF" w:themeColor="background1"/>
              <w:bottom w:val="single" w:sz="4" w:space="0" w:color="6F6652" w:themeColor="accent5"/>
            </w:tcBorders>
            <w:shd w:val="clear" w:color="auto" w:fill="C2DADB" w:themeFill="accent6" w:themeFillTint="99"/>
          </w:tcPr>
          <w:p w:rsidR="007C6A5F" w:rsidRPr="005F3C95" w:rsidRDefault="007C6A5F" w:rsidP="00C36DA4">
            <w:pPr>
              <w:pStyle w:val="TableDataEntries"/>
              <w:rPr>
                <w:rFonts w:ascii="Franklin Gothic Demi" w:hAnsi="Franklin Gothic Demi"/>
              </w:rPr>
            </w:pPr>
            <w:r>
              <w:rPr>
                <w:rFonts w:ascii="Franklin Gothic Demi" w:hAnsi="Franklin Gothic Demi"/>
              </w:rPr>
              <w:t>2 878</w:t>
            </w:r>
          </w:p>
        </w:tc>
      </w:tr>
    </w:tbl>
    <w:p w:rsidR="00DE71A3" w:rsidRDefault="00DE71A3" w:rsidP="00DE71A3">
      <w:pPr>
        <w:pStyle w:val="Source"/>
        <w:rPr>
          <w:lang w:bidi="fa-IR"/>
        </w:rPr>
      </w:pPr>
      <w:r w:rsidRPr="002E67CD">
        <w:rPr>
          <w:i/>
          <w:lang w:bidi="fa-IR"/>
        </w:rPr>
        <w:t>Source:</w:t>
      </w:r>
      <w:r>
        <w:rPr>
          <w:lang w:bidi="fa-IR"/>
        </w:rPr>
        <w:t xml:space="preserve"> CIE.</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w:instrText>
      </w:r>
      <w:r w:rsidRPr="00695C93">
        <w:fldChar w:fldCharType="separate"/>
      </w:r>
      <w:r>
        <w:rPr>
          <w:noProof/>
        </w:rPr>
        <w:instrText>J</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15</w:instrText>
      </w:r>
      <w:r w:rsidRPr="00695C93">
        <w:fldChar w:fldCharType="end"/>
      </w:r>
      <w:r w:rsidRPr="00695C93">
        <w:instrText xml:space="preserve">" "" </w:instrText>
      </w:r>
      <w:r w:rsidRPr="00695C93">
        <w:fldChar w:fldCharType="separate"/>
      </w:r>
      <w:bookmarkStart w:id="8764" w:name="_Caption8900"/>
      <w:bookmarkStart w:id="8765" w:name="_Caption8931"/>
      <w:bookmarkStart w:id="8766" w:name="_Caption6492"/>
      <w:bookmarkStart w:id="8767" w:name="_Caption3392"/>
      <w:bookmarkStart w:id="8768" w:name="_Caption4418"/>
      <w:bookmarkStart w:id="8769" w:name="_Caption2304"/>
      <w:bookmarkStart w:id="8770" w:name="_Caption6606"/>
      <w:bookmarkStart w:id="8771" w:name="_Caption0885"/>
      <w:bookmarkStart w:id="8772" w:name="_Caption9406"/>
      <w:bookmarkStart w:id="8773" w:name="_Caption5484"/>
      <w:bookmarkStart w:id="8774" w:name="_Caption1801"/>
      <w:bookmarkStart w:id="8775" w:name="_Caption3066"/>
      <w:bookmarkStart w:id="8776" w:name="_Caption9118"/>
      <w:bookmarkStart w:id="8777" w:name="_Caption6569"/>
      <w:bookmarkStart w:id="8778" w:name="_Caption7503"/>
      <w:bookmarkStart w:id="8779" w:name="_Caption5591"/>
      <w:bookmarkStart w:id="8780" w:name="_Caption1146"/>
      <w:bookmarkStart w:id="8781" w:name="_Caption5286"/>
      <w:bookmarkStart w:id="8782" w:name="_Caption3573"/>
      <w:bookmarkStart w:id="8783" w:name="_Caption9619"/>
      <w:bookmarkStart w:id="8784" w:name="_Caption4352"/>
      <w:bookmarkStart w:id="8785" w:name="_Caption8220"/>
      <w:bookmarkStart w:id="8786" w:name="_Caption2790"/>
      <w:bookmarkStart w:id="8787" w:name="_Caption3147"/>
      <w:bookmarkStart w:id="8788" w:name="_Caption4725"/>
      <w:bookmarkStart w:id="8789" w:name="_Caption0704"/>
      <w:bookmarkStart w:id="8790" w:name="_Caption1735"/>
      <w:bookmarkStart w:id="8791" w:name="_Caption5090"/>
      <w:bookmarkStart w:id="8792" w:name="_Caption2905"/>
      <w:bookmarkStart w:id="8793" w:name="_Caption3691"/>
      <w:bookmarkStart w:id="8794" w:name="_Caption8992"/>
      <w:bookmarkStart w:id="8795" w:name="_Caption6356"/>
      <w:bookmarkStart w:id="8796" w:name="_Caption0936"/>
      <w:bookmarkStart w:id="8797" w:name="_Caption7205"/>
      <w:bookmarkStart w:id="8798" w:name="_Toc32321923"/>
      <w:bookmarkStart w:id="8799" w:name="_Toc44598629"/>
      <w:bookmarkStart w:id="8800" w:name="_Toc45654260"/>
      <w:r w:rsidR="00272AF3">
        <w:rPr>
          <w:noProof/>
        </w:rPr>
        <w:t>J</w:t>
      </w:r>
      <w:r w:rsidR="00272AF3" w:rsidRPr="00695C93">
        <w:rPr>
          <w:noProof/>
        </w:rPr>
        <w:t>.</w:t>
      </w:r>
      <w:r w:rsidR="00272AF3">
        <w:rPr>
          <w:noProof/>
        </w:rPr>
        <w:t>15</w:t>
      </w:r>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r w:rsidRPr="00695C93">
        <w:fldChar w:fldCharType="end"/>
      </w:r>
      <w:r w:rsidRPr="00695C93">
        <w:tab/>
      </w:r>
      <w:r>
        <w:t>Total impact of Gold standard on space of apartments in lift blocks</w:t>
      </w:r>
      <w:bookmarkEnd w:id="8798"/>
      <w:bookmarkEnd w:id="8799"/>
      <w:bookmarkEnd w:id="8800"/>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J.4"/>
        <w:tblDescription w:val="Total impact of Gold+ standard on space of volume build detached houses"/>
      </w:tblPr>
      <w:tblGrid>
        <w:gridCol w:w="2410"/>
        <w:gridCol w:w="1843"/>
        <w:gridCol w:w="1134"/>
        <w:gridCol w:w="1417"/>
        <w:gridCol w:w="1133"/>
      </w:tblGrid>
      <w:tr w:rsidR="005F17BE" w:rsidRPr="002E67CD" w:rsidTr="0031383F">
        <w:trPr>
          <w:trHeight w:val="252"/>
          <w:tblHeader/>
        </w:trPr>
        <w:tc>
          <w:tcPr>
            <w:tcW w:w="2410" w:type="dxa"/>
            <w:shd w:val="clear" w:color="auto" w:fill="6F6652" w:themeFill="accent5"/>
            <w:noWrap/>
            <w:hideMark/>
          </w:tcPr>
          <w:p w:rsidR="005F17BE" w:rsidRPr="002E67CD" w:rsidRDefault="00BD6F11" w:rsidP="0031383F">
            <w:pPr>
              <w:pStyle w:val="TableDataColumnHeading"/>
              <w:jc w:val="left"/>
            </w:pPr>
            <w:r>
              <w:t>Design element</w:t>
            </w:r>
          </w:p>
        </w:tc>
        <w:tc>
          <w:tcPr>
            <w:tcW w:w="1843" w:type="dxa"/>
            <w:shd w:val="clear" w:color="auto" w:fill="6F6652" w:themeFill="accent5"/>
            <w:noWrap/>
            <w:hideMark/>
          </w:tcPr>
          <w:p w:rsidR="005F17BE" w:rsidRDefault="005F17BE" w:rsidP="0031383F">
            <w:pPr>
              <w:pStyle w:val="TableDataColumnHeading"/>
              <w:rPr>
                <w:szCs w:val="16"/>
              </w:rPr>
            </w:pPr>
            <w:r w:rsidRPr="00167FC0">
              <w:rPr>
                <w:szCs w:val="16"/>
              </w:rPr>
              <w:t>Scenario weight for space impact</w:t>
            </w:r>
          </w:p>
          <w:p w:rsidR="005F17BE" w:rsidRPr="00167FC0" w:rsidRDefault="005F17BE" w:rsidP="0031383F">
            <w:pPr>
              <w:pStyle w:val="TableDataColumnHeading"/>
              <w:rPr>
                <w:szCs w:val="16"/>
              </w:rPr>
            </w:pPr>
            <w:r>
              <w:rPr>
                <w:szCs w:val="16"/>
              </w:rPr>
              <w:t>(Probability)</w:t>
            </w:r>
          </w:p>
        </w:tc>
        <w:tc>
          <w:tcPr>
            <w:tcW w:w="1134" w:type="dxa"/>
            <w:shd w:val="clear" w:color="auto" w:fill="6F6652" w:themeFill="accent5"/>
            <w:noWrap/>
            <w:hideMark/>
          </w:tcPr>
          <w:p w:rsidR="005F17BE" w:rsidRDefault="005F17BE" w:rsidP="0031383F">
            <w:pPr>
              <w:pStyle w:val="TableDataColumnHeading"/>
              <w:rPr>
                <w:szCs w:val="16"/>
              </w:rPr>
            </w:pPr>
            <w:r w:rsidRPr="00167FC0">
              <w:rPr>
                <w:szCs w:val="16"/>
              </w:rPr>
              <w:t>Potential impact</w:t>
            </w:r>
          </w:p>
          <w:p w:rsidR="005F17BE" w:rsidRPr="00167FC0" w:rsidRDefault="005F17BE" w:rsidP="0031383F">
            <w:pPr>
              <w:pStyle w:val="TableDataColumnHeading"/>
              <w:rPr>
                <w:szCs w:val="16"/>
              </w:rPr>
            </w:pPr>
            <w:r>
              <w:rPr>
                <w:szCs w:val="16"/>
              </w:rPr>
              <w:t>(sqm)</w:t>
            </w:r>
          </w:p>
        </w:tc>
        <w:tc>
          <w:tcPr>
            <w:tcW w:w="1417" w:type="dxa"/>
            <w:shd w:val="clear" w:color="auto" w:fill="6F6652" w:themeFill="accent5"/>
            <w:noWrap/>
            <w:hideMark/>
          </w:tcPr>
          <w:p w:rsidR="005F17BE" w:rsidRDefault="005F17BE" w:rsidP="0031383F">
            <w:pPr>
              <w:pStyle w:val="TableDataColumnHeading"/>
              <w:rPr>
                <w:szCs w:val="16"/>
              </w:rPr>
            </w:pPr>
            <w:r w:rsidRPr="00167FC0">
              <w:rPr>
                <w:szCs w:val="16"/>
              </w:rPr>
              <w:t>Weighted average impact</w:t>
            </w:r>
          </w:p>
          <w:p w:rsidR="005F17BE" w:rsidRPr="00167FC0" w:rsidRDefault="005F17BE" w:rsidP="0031383F">
            <w:pPr>
              <w:pStyle w:val="TableDataColumnHeading"/>
              <w:rPr>
                <w:szCs w:val="16"/>
              </w:rPr>
            </w:pPr>
            <w:r>
              <w:rPr>
                <w:szCs w:val="16"/>
              </w:rPr>
              <w:t>(sqm)</w:t>
            </w:r>
          </w:p>
        </w:tc>
        <w:tc>
          <w:tcPr>
            <w:tcW w:w="1133" w:type="dxa"/>
            <w:shd w:val="clear" w:color="auto" w:fill="6F6652" w:themeFill="accent5"/>
          </w:tcPr>
          <w:p w:rsidR="005F17BE" w:rsidRDefault="005F17BE" w:rsidP="0031383F">
            <w:pPr>
              <w:pStyle w:val="TableDataColumnHeading"/>
              <w:rPr>
                <w:szCs w:val="16"/>
              </w:rPr>
            </w:pPr>
            <w:r w:rsidRPr="00167FC0">
              <w:rPr>
                <w:szCs w:val="16"/>
              </w:rPr>
              <w:t>Total impact</w:t>
            </w:r>
          </w:p>
          <w:p w:rsidR="005F17BE" w:rsidRDefault="005F17BE" w:rsidP="0031383F">
            <w:pPr>
              <w:pStyle w:val="TableDataColumnHeading"/>
              <w:spacing w:before="0" w:after="0"/>
              <w:rPr>
                <w:szCs w:val="16"/>
              </w:rPr>
            </w:pPr>
          </w:p>
          <w:p w:rsidR="005F17BE" w:rsidRPr="00167FC0" w:rsidRDefault="005F17BE" w:rsidP="0031383F">
            <w:pPr>
              <w:pStyle w:val="TableDataColumnHeading"/>
              <w:spacing w:before="0"/>
              <w:rPr>
                <w:szCs w:val="16"/>
              </w:rPr>
            </w:pPr>
            <w:r>
              <w:rPr>
                <w:szCs w:val="16"/>
              </w:rPr>
              <w:t>($)</w:t>
            </w: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Unit"/>
              <w:jc w:val="left"/>
            </w:pPr>
            <w:r>
              <w:rPr>
                <w:szCs w:val="16"/>
              </w:rPr>
              <w:t>3. Wider corridor</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60%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1.80</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1.08</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B92870"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3. Wider corridor (form Silver to Gold/Gold+)</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1.20</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0.00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B92870"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slider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70%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0.54</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0.38</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B92870"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swing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30%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2.16</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0.65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B92870"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5. Shower - additional space with slider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35%</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1.53</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0.54</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B92870"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5. Shower - additional space with swing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15%</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1.99</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0.30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B92870"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8. Kitchen space</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30%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1.08</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0.32</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B92870" w:rsidRDefault="007C6A5F" w:rsidP="00C36DA4">
            <w:pPr>
              <w:pStyle w:val="TableDataEntries"/>
            </w:pPr>
          </w:p>
        </w:tc>
      </w:tr>
      <w:tr w:rsidR="007C6A5F" w:rsidRPr="002E67CD" w:rsidTr="008819BB">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9. Laundry space</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30%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0.54</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0.16</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B92870" w:rsidRDefault="007C6A5F" w:rsidP="00C36DA4">
            <w:pPr>
              <w:pStyle w:val="TableDataEntries"/>
            </w:pPr>
          </w:p>
        </w:tc>
      </w:tr>
      <w:tr w:rsidR="007C6A5F" w:rsidRPr="005F3C95" w:rsidTr="008819BB">
        <w:trPr>
          <w:trHeight w:val="252"/>
        </w:trPr>
        <w:tc>
          <w:tcPr>
            <w:tcW w:w="2410"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F3C95" w:rsidRDefault="007C6A5F" w:rsidP="00C36DA4">
            <w:pPr>
              <w:pStyle w:val="TableDataEntries"/>
              <w:jc w:val="left"/>
              <w:rPr>
                <w:rFonts w:ascii="Franklin Gothic Demi" w:hAnsi="Franklin Gothic Demi"/>
              </w:rPr>
            </w:pPr>
            <w:r w:rsidRPr="005F3C95">
              <w:rPr>
                <w:rFonts w:ascii="Franklin Gothic Demi" w:hAnsi="Franklin Gothic Demi"/>
              </w:rPr>
              <w:lastRenderedPageBreak/>
              <w:t>Total impact</w:t>
            </w:r>
          </w:p>
        </w:tc>
        <w:tc>
          <w:tcPr>
            <w:tcW w:w="1843"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F3C95" w:rsidRDefault="007C6A5F" w:rsidP="00C36DA4">
            <w:pPr>
              <w:pStyle w:val="TableDataEntries"/>
              <w:rPr>
                <w:rFonts w:ascii="Franklin Gothic Demi" w:hAnsi="Franklin Gothic Demi"/>
              </w:rPr>
            </w:pPr>
          </w:p>
        </w:tc>
        <w:tc>
          <w:tcPr>
            <w:tcW w:w="1134"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F3C95" w:rsidRDefault="007C6A5F" w:rsidP="00C36DA4">
            <w:pPr>
              <w:pStyle w:val="TableDataEntries"/>
              <w:rPr>
                <w:rFonts w:ascii="Franklin Gothic Demi" w:hAnsi="Franklin Gothic Demi"/>
              </w:rPr>
            </w:pPr>
          </w:p>
        </w:tc>
        <w:tc>
          <w:tcPr>
            <w:tcW w:w="1417"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F3C95" w:rsidRDefault="007C6A5F" w:rsidP="00C36DA4">
            <w:pPr>
              <w:pStyle w:val="TableDataEntries"/>
              <w:rPr>
                <w:rFonts w:ascii="Franklin Gothic Demi" w:hAnsi="Franklin Gothic Demi"/>
              </w:rPr>
            </w:pPr>
            <w:r>
              <w:rPr>
                <w:rFonts w:ascii="Franklin Gothic Demi" w:hAnsi="Franklin Gothic Demi"/>
              </w:rPr>
              <w:t>3.43</w:t>
            </w:r>
          </w:p>
        </w:tc>
        <w:tc>
          <w:tcPr>
            <w:tcW w:w="1133" w:type="dxa"/>
            <w:tcBorders>
              <w:top w:val="single" w:sz="8" w:space="0" w:color="FFFFFF" w:themeColor="background1"/>
              <w:bottom w:val="single" w:sz="4" w:space="0" w:color="6F6652" w:themeColor="accent5"/>
            </w:tcBorders>
            <w:shd w:val="clear" w:color="auto" w:fill="C2DADB" w:themeFill="accent6" w:themeFillTint="99"/>
          </w:tcPr>
          <w:p w:rsidR="007C6A5F" w:rsidRPr="005F3C95" w:rsidRDefault="007C6A5F" w:rsidP="00C36DA4">
            <w:pPr>
              <w:pStyle w:val="TableDataEntries"/>
              <w:rPr>
                <w:rFonts w:ascii="Franklin Gothic Demi" w:hAnsi="Franklin Gothic Demi"/>
              </w:rPr>
            </w:pPr>
            <w:r>
              <w:rPr>
                <w:rFonts w:ascii="Franklin Gothic Demi" w:hAnsi="Franklin Gothic Demi"/>
              </w:rPr>
              <w:t>15 481</w:t>
            </w:r>
          </w:p>
        </w:tc>
      </w:tr>
    </w:tbl>
    <w:p w:rsidR="00DE71A3" w:rsidRDefault="00DE71A3" w:rsidP="00DE71A3">
      <w:pPr>
        <w:pStyle w:val="Source"/>
        <w:rPr>
          <w:lang w:bidi="fa-IR"/>
        </w:rPr>
      </w:pPr>
      <w:r w:rsidRPr="002E67CD">
        <w:rPr>
          <w:i/>
          <w:lang w:bidi="fa-IR"/>
        </w:rPr>
        <w:t>Source:</w:t>
      </w:r>
      <w:r>
        <w:rPr>
          <w:lang w:bidi="fa-IR"/>
        </w:rPr>
        <w:t xml:space="preserve"> CIE.</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w:instrText>
      </w:r>
      <w:r w:rsidRPr="00695C93">
        <w:fldChar w:fldCharType="separate"/>
      </w:r>
      <w:r>
        <w:rPr>
          <w:noProof/>
        </w:rPr>
        <w:instrText>J</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J</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16</w:instrText>
      </w:r>
      <w:r w:rsidRPr="00695C93">
        <w:fldChar w:fldCharType="end"/>
      </w:r>
      <w:r w:rsidRPr="00695C93">
        <w:instrText xml:space="preserve">" "" </w:instrText>
      </w:r>
      <w:r w:rsidRPr="00695C93">
        <w:fldChar w:fldCharType="separate"/>
      </w:r>
      <w:bookmarkStart w:id="8801" w:name="_Caption3228"/>
      <w:bookmarkStart w:id="8802" w:name="_Caption2802"/>
      <w:bookmarkStart w:id="8803" w:name="_Caption3761"/>
      <w:bookmarkStart w:id="8804" w:name="_Caption9170"/>
      <w:bookmarkStart w:id="8805" w:name="_Caption8702"/>
      <w:bookmarkStart w:id="8806" w:name="_Caption9114"/>
      <w:bookmarkStart w:id="8807" w:name="_Caption7841"/>
      <w:bookmarkStart w:id="8808" w:name="_Caption6522"/>
      <w:bookmarkStart w:id="8809" w:name="_Caption9801"/>
      <w:bookmarkStart w:id="8810" w:name="_Caption1569"/>
      <w:bookmarkStart w:id="8811" w:name="_Caption1908"/>
      <w:bookmarkStart w:id="8812" w:name="_Caption6016"/>
      <w:bookmarkStart w:id="8813" w:name="_Caption3818"/>
      <w:bookmarkStart w:id="8814" w:name="_Caption2831"/>
      <w:bookmarkStart w:id="8815" w:name="_Caption6987"/>
      <w:bookmarkStart w:id="8816" w:name="_Caption3388"/>
      <w:bookmarkStart w:id="8817" w:name="_Caption7942"/>
      <w:bookmarkStart w:id="8818" w:name="_Caption9518"/>
      <w:bookmarkStart w:id="8819" w:name="_Caption1885"/>
      <w:bookmarkStart w:id="8820" w:name="_Caption5089"/>
      <w:bookmarkStart w:id="8821" w:name="_Caption9866"/>
      <w:bookmarkStart w:id="8822" w:name="_Caption9755"/>
      <w:bookmarkStart w:id="8823" w:name="_Caption0997"/>
      <w:bookmarkStart w:id="8824" w:name="_Caption0690"/>
      <w:bookmarkStart w:id="8825" w:name="_Caption3919"/>
      <w:bookmarkStart w:id="8826" w:name="_Caption5040"/>
      <w:bookmarkStart w:id="8827" w:name="_Caption1889"/>
      <w:bookmarkStart w:id="8828" w:name="_Caption5716"/>
      <w:bookmarkStart w:id="8829" w:name="_Caption9432"/>
      <w:bookmarkStart w:id="8830" w:name="_Caption3050"/>
      <w:bookmarkStart w:id="8831" w:name="_Caption0075"/>
      <w:bookmarkStart w:id="8832" w:name="_Caption6856"/>
      <w:bookmarkStart w:id="8833" w:name="_Caption1510"/>
      <w:bookmarkStart w:id="8834" w:name="_Caption6297"/>
      <w:bookmarkStart w:id="8835" w:name="_Toc32321924"/>
      <w:bookmarkStart w:id="8836" w:name="_Toc44598630"/>
      <w:bookmarkStart w:id="8837" w:name="_Toc45654261"/>
      <w:r w:rsidR="00272AF3">
        <w:rPr>
          <w:noProof/>
        </w:rPr>
        <w:t>J</w:t>
      </w:r>
      <w:r w:rsidR="00272AF3" w:rsidRPr="00695C93">
        <w:rPr>
          <w:noProof/>
        </w:rPr>
        <w:t>.</w:t>
      </w:r>
      <w:r w:rsidR="00272AF3">
        <w:rPr>
          <w:noProof/>
        </w:rPr>
        <w:t>16</w:t>
      </w:r>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r w:rsidRPr="00695C93">
        <w:fldChar w:fldCharType="end"/>
      </w:r>
      <w:r w:rsidRPr="00695C93">
        <w:tab/>
      </w:r>
      <w:r>
        <w:t>Total impact of Gold+ standard on space of apartments in lift blocks</w:t>
      </w:r>
      <w:bookmarkEnd w:id="8835"/>
      <w:bookmarkEnd w:id="8836"/>
      <w:bookmarkEnd w:id="8837"/>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J.4"/>
        <w:tblDescription w:val="Total impact of Gold+ standard on space of volume build detached houses"/>
      </w:tblPr>
      <w:tblGrid>
        <w:gridCol w:w="2410"/>
        <w:gridCol w:w="1843"/>
        <w:gridCol w:w="1134"/>
        <w:gridCol w:w="1417"/>
        <w:gridCol w:w="1133"/>
      </w:tblGrid>
      <w:tr w:rsidR="005F17BE" w:rsidRPr="002E67CD" w:rsidTr="0031383F">
        <w:trPr>
          <w:trHeight w:val="252"/>
          <w:tblHeader/>
        </w:trPr>
        <w:tc>
          <w:tcPr>
            <w:tcW w:w="2410" w:type="dxa"/>
            <w:shd w:val="clear" w:color="auto" w:fill="6F6652" w:themeFill="accent5"/>
            <w:noWrap/>
            <w:hideMark/>
          </w:tcPr>
          <w:p w:rsidR="005F17BE" w:rsidRPr="002E67CD" w:rsidRDefault="00BD6F11" w:rsidP="0031383F">
            <w:pPr>
              <w:pStyle w:val="TableDataColumnHeading"/>
              <w:jc w:val="left"/>
            </w:pPr>
            <w:r>
              <w:t>Design element</w:t>
            </w:r>
          </w:p>
        </w:tc>
        <w:tc>
          <w:tcPr>
            <w:tcW w:w="1843" w:type="dxa"/>
            <w:shd w:val="clear" w:color="auto" w:fill="6F6652" w:themeFill="accent5"/>
            <w:noWrap/>
            <w:hideMark/>
          </w:tcPr>
          <w:p w:rsidR="005F17BE" w:rsidRDefault="005F17BE" w:rsidP="0031383F">
            <w:pPr>
              <w:pStyle w:val="TableDataColumnHeading"/>
              <w:rPr>
                <w:szCs w:val="16"/>
              </w:rPr>
            </w:pPr>
            <w:r w:rsidRPr="00167FC0">
              <w:rPr>
                <w:szCs w:val="16"/>
              </w:rPr>
              <w:t>Scenario weight for space impact</w:t>
            </w:r>
          </w:p>
          <w:p w:rsidR="005F17BE" w:rsidRPr="00167FC0" w:rsidRDefault="005F17BE" w:rsidP="0031383F">
            <w:pPr>
              <w:pStyle w:val="TableDataColumnHeading"/>
              <w:rPr>
                <w:szCs w:val="16"/>
              </w:rPr>
            </w:pPr>
            <w:r>
              <w:rPr>
                <w:szCs w:val="16"/>
              </w:rPr>
              <w:t>(Probability)</w:t>
            </w:r>
          </w:p>
        </w:tc>
        <w:tc>
          <w:tcPr>
            <w:tcW w:w="1134" w:type="dxa"/>
            <w:shd w:val="clear" w:color="auto" w:fill="6F6652" w:themeFill="accent5"/>
            <w:noWrap/>
            <w:hideMark/>
          </w:tcPr>
          <w:p w:rsidR="005F17BE" w:rsidRDefault="005F17BE" w:rsidP="0031383F">
            <w:pPr>
              <w:pStyle w:val="TableDataColumnHeading"/>
              <w:rPr>
                <w:szCs w:val="16"/>
              </w:rPr>
            </w:pPr>
            <w:r w:rsidRPr="00167FC0">
              <w:rPr>
                <w:szCs w:val="16"/>
              </w:rPr>
              <w:t>Potential impact</w:t>
            </w:r>
          </w:p>
          <w:p w:rsidR="005F17BE" w:rsidRPr="00167FC0" w:rsidRDefault="005F17BE" w:rsidP="0031383F">
            <w:pPr>
              <w:pStyle w:val="TableDataColumnHeading"/>
              <w:rPr>
                <w:szCs w:val="16"/>
              </w:rPr>
            </w:pPr>
            <w:r>
              <w:rPr>
                <w:szCs w:val="16"/>
              </w:rPr>
              <w:t>(sqm)</w:t>
            </w:r>
          </w:p>
        </w:tc>
        <w:tc>
          <w:tcPr>
            <w:tcW w:w="1417" w:type="dxa"/>
            <w:shd w:val="clear" w:color="auto" w:fill="6F6652" w:themeFill="accent5"/>
            <w:noWrap/>
            <w:hideMark/>
          </w:tcPr>
          <w:p w:rsidR="005F17BE" w:rsidRDefault="005F17BE" w:rsidP="0031383F">
            <w:pPr>
              <w:pStyle w:val="TableDataColumnHeading"/>
              <w:rPr>
                <w:szCs w:val="16"/>
              </w:rPr>
            </w:pPr>
            <w:r w:rsidRPr="00167FC0">
              <w:rPr>
                <w:szCs w:val="16"/>
              </w:rPr>
              <w:t>Weighted average impact</w:t>
            </w:r>
          </w:p>
          <w:p w:rsidR="005F17BE" w:rsidRPr="00167FC0" w:rsidRDefault="005F17BE" w:rsidP="0031383F">
            <w:pPr>
              <w:pStyle w:val="TableDataColumnHeading"/>
              <w:rPr>
                <w:szCs w:val="16"/>
              </w:rPr>
            </w:pPr>
            <w:r>
              <w:rPr>
                <w:szCs w:val="16"/>
              </w:rPr>
              <w:t>(sqm)</w:t>
            </w:r>
          </w:p>
        </w:tc>
        <w:tc>
          <w:tcPr>
            <w:tcW w:w="1133" w:type="dxa"/>
            <w:shd w:val="clear" w:color="auto" w:fill="6F6652" w:themeFill="accent5"/>
          </w:tcPr>
          <w:p w:rsidR="005F17BE" w:rsidRDefault="005F17BE" w:rsidP="0031383F">
            <w:pPr>
              <w:pStyle w:val="TableDataColumnHeading"/>
              <w:rPr>
                <w:szCs w:val="16"/>
              </w:rPr>
            </w:pPr>
            <w:r w:rsidRPr="00167FC0">
              <w:rPr>
                <w:szCs w:val="16"/>
              </w:rPr>
              <w:t>Total impact</w:t>
            </w:r>
          </w:p>
          <w:p w:rsidR="005F17BE" w:rsidRDefault="005F17BE" w:rsidP="0031383F">
            <w:pPr>
              <w:pStyle w:val="TableDataColumnHeading"/>
              <w:spacing w:before="0" w:after="0"/>
              <w:rPr>
                <w:szCs w:val="16"/>
              </w:rPr>
            </w:pPr>
          </w:p>
          <w:p w:rsidR="005F17BE" w:rsidRPr="00167FC0" w:rsidRDefault="005F17BE" w:rsidP="0031383F">
            <w:pPr>
              <w:pStyle w:val="TableDataColumnHeading"/>
              <w:spacing w:before="0"/>
              <w:rPr>
                <w:szCs w:val="16"/>
              </w:rPr>
            </w:pPr>
            <w:r>
              <w:rPr>
                <w:szCs w:val="16"/>
              </w:rPr>
              <w:t>($)</w:t>
            </w: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Unit"/>
              <w:jc w:val="left"/>
            </w:pPr>
            <w:r>
              <w:rPr>
                <w:szCs w:val="16"/>
              </w:rPr>
              <w:t>3. Wider corridor</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60%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1.80</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1.08</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B92870"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3. Wider corridor (form Silver to Gold/Gold+)</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1.20</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0.00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B92870"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slider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70%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0.54</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0.38</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B92870"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4. Toilet - additional clear space with swing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30%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2.16</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0.65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B92870"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5. Shower - additional space with slider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35%</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1.53</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0.54</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B92870"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5. Shower - additional space with swing door design</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15%</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1.99</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0.30</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B92870"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8. Kitchen space</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30%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2.16</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0.65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B92870"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8. Kitchen space (from Gold to Gold+)</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10%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1.08</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0.11</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B92870" w:rsidRDefault="007C6A5F" w:rsidP="00C36DA4">
            <w:pPr>
              <w:pStyle w:val="TableDataEntries"/>
            </w:pPr>
          </w:p>
        </w:tc>
      </w:tr>
      <w:tr w:rsidR="007C6A5F" w:rsidRPr="002E67CD" w:rsidTr="003C4A01">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tcPr>
          <w:p w:rsidR="007C6A5F" w:rsidRPr="002E67CD" w:rsidRDefault="007C6A5F" w:rsidP="00C36DA4">
            <w:pPr>
              <w:pStyle w:val="TableDataEntries"/>
              <w:jc w:val="left"/>
            </w:pPr>
            <w:r>
              <w:rPr>
                <w:szCs w:val="16"/>
              </w:rPr>
              <w:t>9. Laundry space</w:t>
            </w:r>
          </w:p>
        </w:tc>
        <w:tc>
          <w:tcPr>
            <w:tcW w:w="1843"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30%</w:t>
            </w:r>
          </w:p>
        </w:tc>
        <w:tc>
          <w:tcPr>
            <w:tcW w:w="1134"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1.17</w:t>
            </w:r>
          </w:p>
        </w:tc>
        <w:tc>
          <w:tcPr>
            <w:tcW w:w="1417" w:type="dxa"/>
            <w:tcBorders>
              <w:top w:val="single" w:sz="8" w:space="0" w:color="FFFFFF" w:themeColor="background1"/>
              <w:bottom w:val="single" w:sz="8" w:space="0" w:color="FFFFFF" w:themeColor="background1"/>
            </w:tcBorders>
            <w:shd w:val="clear" w:color="auto" w:fill="E9E8E5" w:themeFill="background2"/>
            <w:noWrap/>
          </w:tcPr>
          <w:p w:rsidR="007C6A5F" w:rsidRPr="00B92870" w:rsidRDefault="007C6A5F" w:rsidP="00C36DA4">
            <w:pPr>
              <w:pStyle w:val="TableDataEntries"/>
            </w:pPr>
            <w:r>
              <w:rPr>
                <w:szCs w:val="16"/>
              </w:rPr>
              <w:t>0.35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B92870" w:rsidRDefault="007C6A5F" w:rsidP="00C36DA4">
            <w:pPr>
              <w:pStyle w:val="TableDataEntries"/>
            </w:pPr>
          </w:p>
        </w:tc>
      </w:tr>
      <w:tr w:rsidR="007C6A5F" w:rsidRPr="002E67CD" w:rsidTr="008819BB">
        <w:trPr>
          <w:trHeight w:val="252"/>
        </w:trPr>
        <w:tc>
          <w:tcPr>
            <w:tcW w:w="2410" w:type="dxa"/>
            <w:tcBorders>
              <w:top w:val="single" w:sz="8" w:space="0" w:color="FFFFFF" w:themeColor="background1"/>
              <w:bottom w:val="single" w:sz="8" w:space="0" w:color="FFFFFF" w:themeColor="background1"/>
            </w:tcBorders>
            <w:shd w:val="clear" w:color="auto" w:fill="E9E8E5" w:themeFill="background2"/>
            <w:noWrap/>
            <w:hideMark/>
          </w:tcPr>
          <w:p w:rsidR="007C6A5F" w:rsidRPr="002E67CD" w:rsidRDefault="007C6A5F" w:rsidP="00C36DA4">
            <w:pPr>
              <w:pStyle w:val="TableDataEntries"/>
              <w:jc w:val="left"/>
            </w:pPr>
            <w:r>
              <w:rPr>
                <w:szCs w:val="16"/>
              </w:rPr>
              <w:t>9. Laundry space (from Gold to Gold+)</w:t>
            </w:r>
          </w:p>
        </w:tc>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40%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0.63</w:t>
            </w:r>
          </w:p>
        </w:tc>
        <w:tc>
          <w:tcPr>
            <w:tcW w:w="1417" w:type="dxa"/>
            <w:tcBorders>
              <w:top w:val="single" w:sz="8" w:space="0" w:color="FFFFFF" w:themeColor="background1"/>
              <w:bottom w:val="single" w:sz="8" w:space="0" w:color="FFFFFF" w:themeColor="background1"/>
            </w:tcBorders>
            <w:shd w:val="clear" w:color="auto" w:fill="E9E8E5" w:themeFill="background2"/>
            <w:noWrap/>
            <w:hideMark/>
          </w:tcPr>
          <w:p w:rsidR="007C6A5F" w:rsidRPr="00B92870" w:rsidRDefault="007C6A5F" w:rsidP="00C36DA4">
            <w:pPr>
              <w:pStyle w:val="TableDataEntries"/>
            </w:pPr>
            <w:r>
              <w:rPr>
                <w:szCs w:val="16"/>
              </w:rPr>
              <w:t>0.25</w:t>
            </w:r>
          </w:p>
        </w:tc>
        <w:tc>
          <w:tcPr>
            <w:tcW w:w="1133" w:type="dxa"/>
            <w:tcBorders>
              <w:top w:val="single" w:sz="8" w:space="0" w:color="FFFFFF" w:themeColor="background1"/>
              <w:bottom w:val="single" w:sz="8" w:space="0" w:color="FFFFFF" w:themeColor="background1"/>
            </w:tcBorders>
            <w:shd w:val="clear" w:color="auto" w:fill="E9E8E5" w:themeFill="background2"/>
          </w:tcPr>
          <w:p w:rsidR="007C6A5F" w:rsidRPr="00B92870" w:rsidRDefault="007C6A5F" w:rsidP="00C36DA4">
            <w:pPr>
              <w:pStyle w:val="TableDataEntries"/>
            </w:pPr>
          </w:p>
        </w:tc>
      </w:tr>
      <w:tr w:rsidR="007C6A5F" w:rsidRPr="005F3C95" w:rsidTr="008819BB">
        <w:trPr>
          <w:trHeight w:val="252"/>
        </w:trPr>
        <w:tc>
          <w:tcPr>
            <w:tcW w:w="2410"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F3C95" w:rsidRDefault="007C6A5F" w:rsidP="00C36DA4">
            <w:pPr>
              <w:pStyle w:val="TableDataEntries"/>
              <w:jc w:val="left"/>
              <w:rPr>
                <w:rFonts w:ascii="Franklin Gothic Demi" w:hAnsi="Franklin Gothic Demi"/>
              </w:rPr>
            </w:pPr>
            <w:r w:rsidRPr="005F3C95">
              <w:rPr>
                <w:rFonts w:ascii="Franklin Gothic Demi" w:hAnsi="Franklin Gothic Demi"/>
              </w:rPr>
              <w:t>Total impact</w:t>
            </w:r>
          </w:p>
        </w:tc>
        <w:tc>
          <w:tcPr>
            <w:tcW w:w="1843"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F3C95" w:rsidRDefault="007C6A5F" w:rsidP="00C36DA4">
            <w:pPr>
              <w:pStyle w:val="TableDataEntries"/>
              <w:rPr>
                <w:rFonts w:ascii="Franklin Gothic Demi" w:hAnsi="Franklin Gothic Demi"/>
              </w:rPr>
            </w:pPr>
          </w:p>
        </w:tc>
        <w:tc>
          <w:tcPr>
            <w:tcW w:w="1134"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F3C95" w:rsidRDefault="007C6A5F" w:rsidP="00C36DA4">
            <w:pPr>
              <w:pStyle w:val="TableDataEntries"/>
              <w:rPr>
                <w:rFonts w:ascii="Franklin Gothic Demi" w:hAnsi="Franklin Gothic Demi"/>
              </w:rPr>
            </w:pPr>
          </w:p>
        </w:tc>
        <w:tc>
          <w:tcPr>
            <w:tcW w:w="1417" w:type="dxa"/>
            <w:tcBorders>
              <w:top w:val="single" w:sz="8" w:space="0" w:color="FFFFFF" w:themeColor="background1"/>
              <w:bottom w:val="single" w:sz="4" w:space="0" w:color="6F6652" w:themeColor="accent5"/>
            </w:tcBorders>
            <w:shd w:val="clear" w:color="auto" w:fill="C2DADB" w:themeFill="accent6" w:themeFillTint="99"/>
            <w:noWrap/>
            <w:hideMark/>
          </w:tcPr>
          <w:p w:rsidR="007C6A5F" w:rsidRPr="005F3C95" w:rsidRDefault="007C6A5F" w:rsidP="00C36DA4">
            <w:pPr>
              <w:pStyle w:val="TableDataEntries"/>
              <w:rPr>
                <w:rFonts w:ascii="Franklin Gothic Demi" w:hAnsi="Franklin Gothic Demi"/>
              </w:rPr>
            </w:pPr>
            <w:r>
              <w:rPr>
                <w:rFonts w:ascii="Franklin Gothic Demi" w:hAnsi="Franklin Gothic Demi"/>
              </w:rPr>
              <w:t>4.30</w:t>
            </w:r>
          </w:p>
        </w:tc>
        <w:tc>
          <w:tcPr>
            <w:tcW w:w="1133" w:type="dxa"/>
            <w:tcBorders>
              <w:top w:val="single" w:sz="8" w:space="0" w:color="FFFFFF" w:themeColor="background1"/>
              <w:bottom w:val="single" w:sz="4" w:space="0" w:color="6F6652" w:themeColor="accent5"/>
            </w:tcBorders>
            <w:shd w:val="clear" w:color="auto" w:fill="C2DADB" w:themeFill="accent6" w:themeFillTint="99"/>
          </w:tcPr>
          <w:p w:rsidR="007C6A5F" w:rsidRPr="005F3C95" w:rsidRDefault="007C6A5F" w:rsidP="00C36DA4">
            <w:pPr>
              <w:pStyle w:val="TableDataEntries"/>
              <w:rPr>
                <w:rFonts w:ascii="Franklin Gothic Demi" w:hAnsi="Franklin Gothic Demi"/>
              </w:rPr>
            </w:pPr>
            <w:r w:rsidRPr="005F3C95">
              <w:rPr>
                <w:rFonts w:ascii="Franklin Gothic Demi" w:hAnsi="Franklin Gothic Demi"/>
              </w:rPr>
              <w:t>1</w:t>
            </w:r>
            <w:r>
              <w:rPr>
                <w:rFonts w:ascii="Franklin Gothic Demi" w:hAnsi="Franklin Gothic Demi"/>
              </w:rPr>
              <w:t>9 424</w:t>
            </w:r>
          </w:p>
        </w:tc>
      </w:tr>
    </w:tbl>
    <w:p w:rsidR="00DE71A3" w:rsidRDefault="00DE71A3" w:rsidP="00DE71A3">
      <w:pPr>
        <w:pStyle w:val="Source"/>
        <w:rPr>
          <w:lang w:bidi="fa-IR"/>
        </w:rPr>
      </w:pPr>
      <w:r w:rsidRPr="002E67CD">
        <w:rPr>
          <w:i/>
          <w:lang w:bidi="fa-IR"/>
        </w:rPr>
        <w:t>Source:</w:t>
      </w:r>
      <w:r>
        <w:rPr>
          <w:lang w:bidi="fa-IR"/>
        </w:rPr>
        <w:t xml:space="preserve"> CIE.</w:t>
      </w:r>
    </w:p>
    <w:p w:rsidR="007C6A5F" w:rsidRDefault="007C6A5F" w:rsidP="00EF4A2E">
      <w:pPr>
        <w:pStyle w:val="Heading7"/>
        <w:numPr>
          <w:ilvl w:val="6"/>
          <w:numId w:val="5"/>
        </w:numPr>
        <w:spacing w:before="480"/>
        <w:rPr>
          <w:lang w:bidi="fa-IR"/>
        </w:rPr>
      </w:pPr>
      <w:r>
        <w:rPr>
          <w:lang w:bidi="fa-IR"/>
        </w:rPr>
        <w:t>Space impacts in willingness to pay methodology</w:t>
      </w:r>
    </w:p>
    <w:p w:rsidR="007C6A5F" w:rsidRDefault="007C6A5F" w:rsidP="007C6A5F">
      <w:pPr>
        <w:pStyle w:val="BodyText"/>
        <w:rPr>
          <w:lang w:bidi="fa-IR"/>
        </w:rPr>
      </w:pPr>
      <w:r>
        <w:rPr>
          <w:lang w:bidi="fa-IR"/>
        </w:rPr>
        <w:t xml:space="preserve">As a check on the space cost estimates discussed above, we examined estimates from the survey data of WTP to avoid transfer of space from living areas and bedrooms to corridors, kitchen, laundry and bathrooms. </w:t>
      </w:r>
    </w:p>
    <w:p w:rsidR="007C6A5F" w:rsidRDefault="007C6A5F" w:rsidP="007C6A5F">
      <w:pPr>
        <w:pStyle w:val="BodyText"/>
        <w:rPr>
          <w:lang w:bidi="fa-IR"/>
        </w:rPr>
      </w:pPr>
      <w:r>
        <w:rPr>
          <w:lang w:bidi="fa-IR"/>
        </w:rPr>
        <w:t>The WTP model described in appendix K estimated WTP to avoid a transfer of 5 percentage points of floor space of $3.30 per week for owner-occupiers and $2.48 per week for renters. The present values of 30-year streams of these ‘use values’ are $2126 and $1598, respectively. The model does not distinguish between dwelling types. Under Option 1 the weighted average impact across dwelling types on the proportion of space used for living areas and bedrooms is 0.6 percentage points, while the impact under Options 2 and 3 are 3.4 and 4.2 percentage points, respectively. Assuming the amenity costs of these impacts are proportionate to the 5 per cent impact, the disamenity from the Silver standard would be $229 (capitalised in the purchase price) on average and the disamenity from the Gold standard would be $1 306, and the disamenity from the Gold Plus standard would be $1 647.</w:t>
      </w:r>
    </w:p>
    <w:p w:rsidR="007C6A5F" w:rsidRPr="0018376C" w:rsidRDefault="007C6A5F" w:rsidP="007C6A5F">
      <w:pPr>
        <w:pStyle w:val="BodyText"/>
      </w:pPr>
      <w:r>
        <w:rPr>
          <w:lang w:bidi="fa-IR"/>
        </w:rPr>
        <w:lastRenderedPageBreak/>
        <w:t>These estimates are within the range discussed above for detached houses, but are lower than the amounts estimated for other housing types.</w:t>
      </w:r>
    </w:p>
    <w:p w:rsidR="007C6A5F" w:rsidRDefault="007C6A5F" w:rsidP="007C6A5F">
      <w:pPr>
        <w:pStyle w:val="Heading6"/>
        <w:numPr>
          <w:ilvl w:val="5"/>
          <w:numId w:val="5"/>
        </w:numPr>
      </w:pPr>
      <w:bookmarkStart w:id="8838" w:name="_Toc32321783"/>
      <w:bookmarkStart w:id="8839" w:name="_Toc44598473"/>
      <w:bookmarkStart w:id="8840" w:name="_Toc45654104"/>
      <w:r>
        <w:lastRenderedPageBreak/>
        <w:t>Survey method and results</w:t>
      </w:r>
      <w:bookmarkEnd w:id="8275"/>
      <w:bookmarkEnd w:id="8838"/>
      <w:bookmarkEnd w:id="8839"/>
      <w:bookmarkEnd w:id="8840"/>
    </w:p>
    <w:p w:rsidR="007C6A5F" w:rsidRDefault="007C6A5F" w:rsidP="007C6A5F">
      <w:pPr>
        <w:pStyle w:val="Heading7"/>
        <w:numPr>
          <w:ilvl w:val="6"/>
          <w:numId w:val="5"/>
        </w:numPr>
      </w:pPr>
      <w:r>
        <w:t>Introduction</w:t>
      </w:r>
    </w:p>
    <w:p w:rsidR="007C6A5F" w:rsidRDefault="007C6A5F" w:rsidP="007C6A5F">
      <w:pPr>
        <w:pStyle w:val="BodyText"/>
      </w:pPr>
      <w:r>
        <w:t xml:space="preserve">This stated preference study was undertaken for the Australian Building Codes Board (ABCB) for the purpose of informing cost-benefit analysis (CBA) of options for increasing the accessibility of residential buildings in Australia. CBA is a systematic approach to weighing up the costs and benefits of alternative policy options in a common metric. Key steps in a CBA of changes in the accessibility of residential buildings include developing an understanding of the values placed by Australians on accessibility features in their own home as well as altruistic values placed on improvements in outcomes for people with limited mobility. These values, which correspond to </w:t>
      </w:r>
      <w:r>
        <w:rPr>
          <w:lang w:bidi="fa-IR"/>
        </w:rPr>
        <w:t>the maximum amount that individuals would be willing to pay for an improvement or the minimum amount they would be willing to accept as compensation for a degradation,</w:t>
      </w:r>
      <w:r>
        <w:t xml:space="preserve"> can be used to estimate the economic benefits of policy options as part of the CBA. The purpose of this study is to estimate these values.</w:t>
      </w:r>
    </w:p>
    <w:p w:rsidR="007C6A5F" w:rsidRPr="005F6240" w:rsidRDefault="007C6A5F" w:rsidP="007C6A5F">
      <w:pPr>
        <w:pStyle w:val="BodyText"/>
      </w:pPr>
      <w:r>
        <w:rPr>
          <w:lang w:eastAsia="en-US"/>
        </w:rPr>
        <w:t>Professor Riccardo Scarpa from University of Waikato has been engaged in a peer review role to provide technical advice in relation to the survey method, estimation of WTP and application of those estimates to the cost-benefit analysis. The approach set out in this appendix has been informed by Professor Scarpa’s advice.</w:t>
      </w:r>
    </w:p>
    <w:p w:rsidR="007C6A5F" w:rsidRDefault="007C6A5F" w:rsidP="007C6A5F">
      <w:pPr>
        <w:pStyle w:val="Heading7"/>
        <w:numPr>
          <w:ilvl w:val="6"/>
          <w:numId w:val="5"/>
        </w:numPr>
      </w:pPr>
      <w:r>
        <w:t>Research method</w:t>
      </w:r>
    </w:p>
    <w:p w:rsidR="007C6A5F" w:rsidRDefault="007C6A5F" w:rsidP="007C6A5F">
      <w:pPr>
        <w:pStyle w:val="BodyText"/>
        <w:rPr>
          <w:lang w:bidi="fa-IR"/>
        </w:rPr>
      </w:pPr>
      <w:r>
        <w:rPr>
          <w:lang w:bidi="fa-IR"/>
        </w:rPr>
        <w:t>Community preferences for accessible housing features are expressed at least to an extent through their home purchasing and renting decisions. A lack of data on accessibility features for past property sales means it is difficult to use these decisions to understand preferences. Furthermore, these decisions may not reveal the community’s willingness to pay for the provision of accessible housing features for other members of the community.</w:t>
      </w:r>
    </w:p>
    <w:p w:rsidR="007C6A5F" w:rsidRDefault="007C6A5F" w:rsidP="007C6A5F">
      <w:pPr>
        <w:pStyle w:val="BodyText"/>
        <w:rPr>
          <w:lang w:bidi="fa-IR"/>
        </w:rPr>
      </w:pPr>
      <w:r>
        <w:rPr>
          <w:lang w:bidi="fa-IR"/>
        </w:rPr>
        <w:t>One approach to quantifying the values members of the community place on accessibility features in their own home and in the wider housing stock is through a stated preference survey designed to measure the willingness to pay (WTP) of different members of the community for different outcomes. This is the approach taken in this study.</w:t>
      </w:r>
    </w:p>
    <w:p w:rsidR="007C6A5F" w:rsidRDefault="007C6A5F" w:rsidP="007C6A5F">
      <w:pPr>
        <w:pStyle w:val="BodyText"/>
      </w:pPr>
      <w:r>
        <w:t>We conducted two choice exercises consecutively within the same questionnaire:</w:t>
      </w:r>
    </w:p>
    <w:p w:rsidR="007C6A5F" w:rsidRDefault="007C6A5F" w:rsidP="005A6F87">
      <w:pPr>
        <w:pStyle w:val="ListBullet"/>
        <w:numPr>
          <w:ilvl w:val="0"/>
          <w:numId w:val="17"/>
        </w:numPr>
      </w:pPr>
      <w:r>
        <w:t>asking the respondent to imagine they are at the point of purchasing or renting their next home and asking the respondent to choose between dwellings with differing combinations of accessibility features at different prices/rents; and</w:t>
      </w:r>
    </w:p>
    <w:p w:rsidR="007C6A5F" w:rsidRDefault="007C6A5F" w:rsidP="005A6F87">
      <w:pPr>
        <w:pStyle w:val="ListBullet"/>
        <w:numPr>
          <w:ilvl w:val="0"/>
          <w:numId w:val="17"/>
        </w:numPr>
      </w:pPr>
      <w:r>
        <w:t>asking the respondent to choose between sets of housing outcomes for people with limited mobility generally.</w:t>
      </w:r>
    </w:p>
    <w:p w:rsidR="007C6A5F" w:rsidRDefault="007C6A5F" w:rsidP="007C6A5F">
      <w:pPr>
        <w:pStyle w:val="BodyText"/>
      </w:pPr>
      <w:r>
        <w:lastRenderedPageBreak/>
        <w:t>The former exercise used a choice modelling (also known as a conjoint analysis or discrete choice experiment) approach. Under this technique, consumers respond to a carefully constructed survey instrument designed to elicit preferences. The overall choice modelling technique is well established in marketing and economic research fields. To date, however, there has not been a comprehensive national choice modelling study of demand for accessible housing in Australia that allows consideration of the policy issues now at hand. This component of the study captures the net private benefits or costs of:</w:t>
      </w:r>
    </w:p>
    <w:p w:rsidR="007C6A5F" w:rsidRDefault="007C6A5F" w:rsidP="005A6F87">
      <w:pPr>
        <w:pStyle w:val="ListBullet"/>
        <w:numPr>
          <w:ilvl w:val="0"/>
          <w:numId w:val="17"/>
        </w:numPr>
      </w:pPr>
      <w:r>
        <w:t>if the respondent has a person with limited mobility in their household, the accessibility and useability of the dwelling</w:t>
      </w:r>
    </w:p>
    <w:p w:rsidR="007C6A5F" w:rsidRDefault="007C6A5F" w:rsidP="005A6F87">
      <w:pPr>
        <w:pStyle w:val="ListBullet"/>
        <w:numPr>
          <w:ilvl w:val="0"/>
          <w:numId w:val="17"/>
        </w:numPr>
      </w:pPr>
      <w:r>
        <w:t>if the respondent does not have a person with limited mobility in their household, the ability to remain in the home if someone in their household suffers from limited mobility in the future</w:t>
      </w:r>
    </w:p>
    <w:p w:rsidR="007C6A5F" w:rsidRDefault="007C6A5F" w:rsidP="005A6F87">
      <w:pPr>
        <w:pStyle w:val="ListBullet"/>
        <w:numPr>
          <w:ilvl w:val="0"/>
          <w:numId w:val="17"/>
        </w:numPr>
      </w:pPr>
      <w:r>
        <w:t>any disamenity from accessibility features</w:t>
      </w:r>
      <w:r w:rsidR="00DE71A3">
        <w:t>,</w:t>
      </w:r>
      <w:r>
        <w:t xml:space="preserve"> and</w:t>
      </w:r>
    </w:p>
    <w:p w:rsidR="007C6A5F" w:rsidRDefault="007C6A5F" w:rsidP="005A6F87">
      <w:pPr>
        <w:pStyle w:val="ListBullet"/>
        <w:numPr>
          <w:ilvl w:val="0"/>
          <w:numId w:val="17"/>
        </w:numPr>
      </w:pPr>
      <w:r>
        <w:t>ability to entertain visits from friends and family with limited mobility.</w:t>
      </w:r>
    </w:p>
    <w:p w:rsidR="007C6A5F" w:rsidRDefault="007C6A5F" w:rsidP="007C6A5F">
      <w:pPr>
        <w:pStyle w:val="BodyText"/>
        <w:rPr>
          <w:lang w:bidi="fa-IR"/>
        </w:rPr>
      </w:pPr>
      <w:r>
        <w:rPr>
          <w:lang w:bidi="fa-IR"/>
        </w:rPr>
        <w:t>The second exercise captures altruism and WTP for better outcomes for others. We used a single ‘contingent valuation’ question for each respondent, offering an improved accessible housing outcome at a specified increase in rates/taxes. The increases in rates/taxes would be varied across respondents, allowing us to identify the distribution of willingness to pay over the population.</w:t>
      </w:r>
    </w:p>
    <w:p w:rsidR="007C6A5F" w:rsidRDefault="007C6A5F" w:rsidP="007C6A5F">
      <w:pPr>
        <w:pStyle w:val="BodyText"/>
        <w:rPr>
          <w:lang w:bidi="fa-IR"/>
        </w:rPr>
      </w:pPr>
      <w:r>
        <w:rPr>
          <w:lang w:bidi="fa-IR"/>
        </w:rPr>
        <w:t>The survey instrument was designed to meet best-practice in stated preference research. It comprised the following:</w:t>
      </w:r>
    </w:p>
    <w:p w:rsidR="007C6A5F" w:rsidRDefault="007C6A5F" w:rsidP="005A6F87">
      <w:pPr>
        <w:pStyle w:val="ListBullet"/>
        <w:numPr>
          <w:ilvl w:val="0"/>
          <w:numId w:val="17"/>
        </w:numPr>
        <w:rPr>
          <w:lang w:bidi="fa-IR"/>
        </w:rPr>
      </w:pPr>
      <w:r>
        <w:rPr>
          <w:lang w:bidi="fa-IR"/>
        </w:rPr>
        <w:t>a welcome, with instructions and information about privacy</w:t>
      </w:r>
    </w:p>
    <w:p w:rsidR="007C6A5F" w:rsidRDefault="007C6A5F" w:rsidP="005A6F87">
      <w:pPr>
        <w:pStyle w:val="ListBullet"/>
        <w:numPr>
          <w:ilvl w:val="0"/>
          <w:numId w:val="17"/>
        </w:numPr>
        <w:rPr>
          <w:lang w:bidi="fa-IR"/>
        </w:rPr>
      </w:pPr>
      <w:r>
        <w:rPr>
          <w:lang w:bidi="fa-IR"/>
        </w:rPr>
        <w:t>screening questions to ensure representative samples that exclude respondents with potential conflicts of interest</w:t>
      </w:r>
    </w:p>
    <w:p w:rsidR="007C6A5F" w:rsidRDefault="007C6A5F" w:rsidP="005A6F87">
      <w:pPr>
        <w:pStyle w:val="ListBullet"/>
        <w:numPr>
          <w:ilvl w:val="0"/>
          <w:numId w:val="17"/>
        </w:numPr>
        <w:rPr>
          <w:lang w:bidi="fa-IR"/>
        </w:rPr>
      </w:pPr>
      <w:r>
        <w:rPr>
          <w:lang w:bidi="fa-IR"/>
        </w:rPr>
        <w:t>questions about mobility limitations within the respondent’s household</w:t>
      </w:r>
    </w:p>
    <w:p w:rsidR="007C6A5F" w:rsidRDefault="007C6A5F" w:rsidP="005A6F87">
      <w:pPr>
        <w:pStyle w:val="ListBullet"/>
        <w:numPr>
          <w:ilvl w:val="0"/>
          <w:numId w:val="17"/>
        </w:numPr>
        <w:rPr>
          <w:lang w:bidi="fa-IR"/>
        </w:rPr>
      </w:pPr>
      <w:r>
        <w:rPr>
          <w:lang w:bidi="fa-IR"/>
        </w:rPr>
        <w:t>factual information about accessibility features and questions about the accessibility features of the respondent’s current home</w:t>
      </w:r>
    </w:p>
    <w:p w:rsidR="007C6A5F" w:rsidRDefault="007C6A5F" w:rsidP="005A6F87">
      <w:pPr>
        <w:pStyle w:val="ListBullet"/>
        <w:numPr>
          <w:ilvl w:val="0"/>
          <w:numId w:val="17"/>
        </w:numPr>
        <w:rPr>
          <w:lang w:bidi="fa-IR"/>
        </w:rPr>
      </w:pPr>
      <w:r>
        <w:rPr>
          <w:lang w:bidi="fa-IR"/>
        </w:rPr>
        <w:t>questions about attitudes towards accessibility features</w:t>
      </w:r>
    </w:p>
    <w:p w:rsidR="007C6A5F" w:rsidRDefault="007C6A5F" w:rsidP="005A6F87">
      <w:pPr>
        <w:pStyle w:val="ListBullet"/>
        <w:numPr>
          <w:ilvl w:val="0"/>
          <w:numId w:val="17"/>
        </w:numPr>
        <w:rPr>
          <w:lang w:bidi="fa-IR"/>
        </w:rPr>
      </w:pPr>
      <w:r>
        <w:rPr>
          <w:lang w:bidi="fa-IR"/>
        </w:rPr>
        <w:t>questions about the nature of the respondent’s next home</w:t>
      </w:r>
    </w:p>
    <w:p w:rsidR="007C6A5F" w:rsidRDefault="007C6A5F" w:rsidP="005A6F87">
      <w:pPr>
        <w:pStyle w:val="ListBullet"/>
        <w:numPr>
          <w:ilvl w:val="0"/>
          <w:numId w:val="17"/>
        </w:numPr>
        <w:rPr>
          <w:lang w:bidi="fa-IR"/>
        </w:rPr>
      </w:pPr>
      <w:r>
        <w:rPr>
          <w:lang w:bidi="fa-IR"/>
        </w:rPr>
        <w:t>instructions about the choice questions</w:t>
      </w:r>
    </w:p>
    <w:p w:rsidR="007C6A5F" w:rsidRDefault="007C6A5F" w:rsidP="005A6F87">
      <w:pPr>
        <w:pStyle w:val="ListBullet"/>
        <w:numPr>
          <w:ilvl w:val="0"/>
          <w:numId w:val="17"/>
        </w:numPr>
        <w:rPr>
          <w:lang w:bidi="fa-IR"/>
        </w:rPr>
      </w:pPr>
      <w:r>
        <w:rPr>
          <w:lang w:bidi="fa-IR"/>
        </w:rPr>
        <w:t>six DCE questions – discussed in further detail below</w:t>
      </w:r>
    </w:p>
    <w:p w:rsidR="007C6A5F" w:rsidRDefault="007C6A5F" w:rsidP="005A6F87">
      <w:pPr>
        <w:pStyle w:val="ListBullet"/>
        <w:numPr>
          <w:ilvl w:val="0"/>
          <w:numId w:val="17"/>
        </w:numPr>
        <w:rPr>
          <w:lang w:bidi="fa-IR"/>
        </w:rPr>
      </w:pPr>
      <w:r>
        <w:rPr>
          <w:lang w:bidi="fa-IR"/>
        </w:rPr>
        <w:t>description of a proposed policy option and a ‘cheap talk’ script to limit hypothetical bias by reminding respondents of the consequentiality of the survey and their budget constraint</w:t>
      </w:r>
    </w:p>
    <w:p w:rsidR="007C6A5F" w:rsidRDefault="007C6A5F" w:rsidP="005A6F87">
      <w:pPr>
        <w:pStyle w:val="ListBullet"/>
        <w:numPr>
          <w:ilvl w:val="0"/>
          <w:numId w:val="17"/>
        </w:numPr>
        <w:rPr>
          <w:lang w:bidi="fa-IR"/>
        </w:rPr>
      </w:pPr>
      <w:r>
        <w:rPr>
          <w:lang w:bidi="fa-IR"/>
        </w:rPr>
        <w:t>a contingent valuation (CV) question – discussed in further detail below</w:t>
      </w:r>
    </w:p>
    <w:p w:rsidR="007C6A5F" w:rsidRDefault="007C6A5F" w:rsidP="005A6F87">
      <w:pPr>
        <w:pStyle w:val="ListBullet"/>
        <w:numPr>
          <w:ilvl w:val="0"/>
          <w:numId w:val="17"/>
        </w:numPr>
        <w:rPr>
          <w:lang w:bidi="fa-IR"/>
        </w:rPr>
      </w:pPr>
      <w:r>
        <w:rPr>
          <w:lang w:bidi="fa-IR"/>
        </w:rPr>
        <w:t>debriefing questions about the motivation behind and approach taken by the respondent to the DCE and CV questions</w:t>
      </w:r>
      <w:r w:rsidR="00DE71A3">
        <w:rPr>
          <w:lang w:bidi="fa-IR"/>
        </w:rPr>
        <w:t>,</w:t>
      </w:r>
      <w:r>
        <w:rPr>
          <w:lang w:bidi="fa-IR"/>
        </w:rPr>
        <w:t xml:space="preserve"> and</w:t>
      </w:r>
    </w:p>
    <w:p w:rsidR="007C6A5F" w:rsidRDefault="007C6A5F" w:rsidP="005A6F87">
      <w:pPr>
        <w:pStyle w:val="ListBullet"/>
        <w:numPr>
          <w:ilvl w:val="0"/>
          <w:numId w:val="17"/>
        </w:numPr>
        <w:rPr>
          <w:lang w:bidi="fa-IR"/>
        </w:rPr>
      </w:pPr>
      <w:r>
        <w:rPr>
          <w:lang w:bidi="fa-IR"/>
        </w:rPr>
        <w:t>further questions about the respondent’s characteristics.</w:t>
      </w:r>
    </w:p>
    <w:p w:rsidR="007C6A5F" w:rsidRDefault="007C6A5F" w:rsidP="007C6A5F">
      <w:pPr>
        <w:pStyle w:val="BodyText"/>
        <w:rPr>
          <w:lang w:bidi="fa-IR"/>
        </w:rPr>
      </w:pPr>
      <w:r>
        <w:rPr>
          <w:lang w:bidi="fa-IR"/>
        </w:rPr>
        <w:t>The questionnaire was developed through several stages of review and testing, including:</w:t>
      </w:r>
    </w:p>
    <w:p w:rsidR="007C6A5F" w:rsidRDefault="007C6A5F" w:rsidP="005A6F87">
      <w:pPr>
        <w:pStyle w:val="ListBullet"/>
        <w:numPr>
          <w:ilvl w:val="0"/>
          <w:numId w:val="17"/>
        </w:numPr>
        <w:rPr>
          <w:lang w:bidi="fa-IR"/>
        </w:rPr>
      </w:pPr>
      <w:r>
        <w:rPr>
          <w:lang w:bidi="fa-IR"/>
        </w:rPr>
        <w:t>review and input from ABCB and stakeholder consultations in response to the questionnaire structure included in the Issues Paper</w:t>
      </w:r>
      <w:r w:rsidR="00DE71A3">
        <w:rPr>
          <w:lang w:bidi="fa-IR"/>
        </w:rPr>
        <w:t>,</w:t>
      </w:r>
      <w:r>
        <w:rPr>
          <w:lang w:bidi="fa-IR"/>
        </w:rPr>
        <w:t xml:space="preserve"> and </w:t>
      </w:r>
    </w:p>
    <w:p w:rsidR="007C6A5F" w:rsidRDefault="007C6A5F" w:rsidP="005A6F87">
      <w:pPr>
        <w:pStyle w:val="ListBullet"/>
        <w:numPr>
          <w:ilvl w:val="0"/>
          <w:numId w:val="17"/>
        </w:numPr>
        <w:rPr>
          <w:lang w:bidi="fa-IR"/>
        </w:rPr>
      </w:pPr>
      <w:r>
        <w:rPr>
          <w:lang w:bidi="fa-IR"/>
        </w:rPr>
        <w:lastRenderedPageBreak/>
        <w:t>a pilot wave of survey fieldwork.</w:t>
      </w:r>
    </w:p>
    <w:p w:rsidR="007C6A5F" w:rsidRDefault="007C6A5F" w:rsidP="007C6A5F">
      <w:pPr>
        <w:pStyle w:val="Heading8"/>
        <w:numPr>
          <w:ilvl w:val="7"/>
          <w:numId w:val="5"/>
        </w:numPr>
        <w:rPr>
          <w:lang w:bidi="fa-IR"/>
        </w:rPr>
      </w:pPr>
      <w:r>
        <w:rPr>
          <w:lang w:bidi="fa-IR"/>
        </w:rPr>
        <w:t>Discrete choice experiment questions</w:t>
      </w:r>
    </w:p>
    <w:p w:rsidR="007C6A5F" w:rsidRDefault="007C6A5F" w:rsidP="007C6A5F">
      <w:pPr>
        <w:pStyle w:val="BodyText"/>
        <w:rPr>
          <w:lang w:bidi="fa-IR"/>
        </w:rPr>
      </w:pPr>
      <w:r>
        <w:rPr>
          <w:lang w:bidi="fa-IR"/>
        </w:rPr>
        <w:t>There are several important decisions that must be made when designing a DCE. These include:</w:t>
      </w:r>
    </w:p>
    <w:p w:rsidR="007C6A5F" w:rsidRDefault="007C6A5F" w:rsidP="005A6F87">
      <w:pPr>
        <w:pStyle w:val="ListBullet"/>
        <w:numPr>
          <w:ilvl w:val="0"/>
          <w:numId w:val="17"/>
        </w:numPr>
        <w:rPr>
          <w:lang w:bidi="fa-IR"/>
        </w:rPr>
      </w:pPr>
      <w:r>
        <w:rPr>
          <w:lang w:bidi="fa-IR"/>
        </w:rPr>
        <w:t>the features or attributes to be included in the choice tasks and how those attributes should be defined</w:t>
      </w:r>
    </w:p>
    <w:p w:rsidR="007C6A5F" w:rsidRDefault="007C6A5F" w:rsidP="005A6F87">
      <w:pPr>
        <w:pStyle w:val="ListBullet"/>
        <w:numPr>
          <w:ilvl w:val="0"/>
          <w:numId w:val="17"/>
        </w:numPr>
        <w:rPr>
          <w:lang w:bidi="fa-IR"/>
        </w:rPr>
      </w:pPr>
      <w:r>
        <w:rPr>
          <w:lang w:bidi="fa-IR"/>
        </w:rPr>
        <w:t>the number of alternatives to be included in each choice task</w:t>
      </w:r>
    </w:p>
    <w:p w:rsidR="007C6A5F" w:rsidRDefault="007C6A5F" w:rsidP="005A6F87">
      <w:pPr>
        <w:pStyle w:val="ListBullet"/>
        <w:numPr>
          <w:ilvl w:val="0"/>
          <w:numId w:val="17"/>
        </w:numPr>
        <w:rPr>
          <w:lang w:bidi="fa-IR"/>
        </w:rPr>
      </w:pPr>
      <w:r>
        <w:rPr>
          <w:lang w:bidi="fa-IR"/>
        </w:rPr>
        <w:t>the number of questions to be answered by each respondent</w:t>
      </w:r>
    </w:p>
    <w:p w:rsidR="007C6A5F" w:rsidRDefault="007C6A5F" w:rsidP="005A6F87">
      <w:pPr>
        <w:pStyle w:val="ListBullet"/>
        <w:numPr>
          <w:ilvl w:val="0"/>
          <w:numId w:val="17"/>
        </w:numPr>
        <w:rPr>
          <w:lang w:bidi="fa-IR"/>
        </w:rPr>
      </w:pPr>
      <w:r>
        <w:rPr>
          <w:lang w:bidi="fa-IR"/>
        </w:rPr>
        <w:t>the levels that the attributes can take in the questions</w:t>
      </w:r>
    </w:p>
    <w:p w:rsidR="007C6A5F" w:rsidRDefault="007C6A5F" w:rsidP="005A6F87">
      <w:pPr>
        <w:pStyle w:val="ListBullet"/>
        <w:numPr>
          <w:ilvl w:val="0"/>
          <w:numId w:val="17"/>
        </w:numPr>
        <w:rPr>
          <w:lang w:bidi="fa-IR"/>
        </w:rPr>
      </w:pPr>
      <w:r>
        <w:rPr>
          <w:lang w:bidi="fa-IR"/>
        </w:rPr>
        <w:t>the combinations of attribute levels in each question (that is, the experimental design)</w:t>
      </w:r>
      <w:r w:rsidR="00DE71A3">
        <w:rPr>
          <w:lang w:bidi="fa-IR"/>
        </w:rPr>
        <w:t>,</w:t>
      </w:r>
      <w:r>
        <w:rPr>
          <w:lang w:bidi="fa-IR"/>
        </w:rPr>
        <w:t xml:space="preserve"> and</w:t>
      </w:r>
    </w:p>
    <w:p w:rsidR="007C6A5F" w:rsidRDefault="007C6A5F" w:rsidP="005A6F87">
      <w:pPr>
        <w:pStyle w:val="ListBullet"/>
        <w:numPr>
          <w:ilvl w:val="0"/>
          <w:numId w:val="17"/>
        </w:numPr>
        <w:rPr>
          <w:lang w:bidi="fa-IR"/>
        </w:rPr>
      </w:pPr>
      <w:r>
        <w:rPr>
          <w:lang w:bidi="fa-IR"/>
        </w:rPr>
        <w:t>the information, instructions and/or questions used to prepare respondents for the choice.</w:t>
      </w:r>
    </w:p>
    <w:p w:rsidR="007C6A5F" w:rsidRDefault="007C6A5F" w:rsidP="007C6A5F">
      <w:pPr>
        <w:pStyle w:val="Heading9"/>
        <w:rPr>
          <w:lang w:bidi="fa-IR"/>
        </w:rPr>
      </w:pPr>
      <w:r>
        <w:rPr>
          <w:lang w:bidi="fa-IR"/>
        </w:rPr>
        <w:t>Housing attributes</w:t>
      </w:r>
    </w:p>
    <w:p w:rsidR="007C6A5F" w:rsidRDefault="007C6A5F" w:rsidP="007C6A5F">
      <w:pPr>
        <w:pStyle w:val="BodyText"/>
        <w:rPr>
          <w:lang w:bidi="fa-IR"/>
        </w:rPr>
      </w:pPr>
      <w:r>
        <w:rPr>
          <w:lang w:bidi="fa-IR"/>
        </w:rPr>
        <w:t>The attributes included in the DCE were:</w:t>
      </w:r>
    </w:p>
    <w:p w:rsidR="007C6A5F" w:rsidRDefault="007C6A5F" w:rsidP="005A6F87">
      <w:pPr>
        <w:pStyle w:val="ListBullet"/>
        <w:numPr>
          <w:ilvl w:val="0"/>
          <w:numId w:val="17"/>
        </w:numPr>
        <w:rPr>
          <w:lang w:bidi="fa-IR"/>
        </w:rPr>
      </w:pPr>
      <w:r>
        <w:rPr>
          <w:lang w:bidi="fa-IR"/>
        </w:rPr>
        <w:t xml:space="preserve">Price/Rent </w:t>
      </w:r>
    </w:p>
    <w:p w:rsidR="007C6A5F" w:rsidRDefault="007C6A5F" w:rsidP="005A6F87">
      <w:pPr>
        <w:pStyle w:val="ListBullet"/>
        <w:numPr>
          <w:ilvl w:val="0"/>
          <w:numId w:val="17"/>
        </w:numPr>
        <w:rPr>
          <w:lang w:bidi="fa-IR"/>
        </w:rPr>
      </w:pPr>
      <w:r>
        <w:rPr>
          <w:lang w:bidi="fa-IR"/>
        </w:rPr>
        <w:t>Getting in and out</w:t>
      </w:r>
    </w:p>
    <w:p w:rsidR="007C6A5F" w:rsidRDefault="007C6A5F" w:rsidP="005A6F87">
      <w:pPr>
        <w:pStyle w:val="ListBullet"/>
        <w:numPr>
          <w:ilvl w:val="0"/>
          <w:numId w:val="17"/>
        </w:numPr>
        <w:rPr>
          <w:lang w:bidi="fa-IR"/>
        </w:rPr>
      </w:pPr>
      <w:r>
        <w:rPr>
          <w:lang w:bidi="fa-IR"/>
        </w:rPr>
        <w:t>Moving around indoors</w:t>
      </w:r>
    </w:p>
    <w:p w:rsidR="007C6A5F" w:rsidRDefault="007C6A5F" w:rsidP="005A6F87">
      <w:pPr>
        <w:pStyle w:val="ListBullet"/>
        <w:numPr>
          <w:ilvl w:val="0"/>
          <w:numId w:val="17"/>
        </w:numPr>
        <w:rPr>
          <w:lang w:bidi="fa-IR"/>
        </w:rPr>
      </w:pPr>
      <w:r>
        <w:rPr>
          <w:lang w:bidi="fa-IR"/>
        </w:rPr>
        <w:t>Living with limited mobility on same level as an entrance</w:t>
      </w:r>
    </w:p>
    <w:p w:rsidR="007C6A5F" w:rsidRDefault="007C6A5F" w:rsidP="005A6F87">
      <w:pPr>
        <w:pStyle w:val="ListBullet"/>
        <w:numPr>
          <w:ilvl w:val="0"/>
          <w:numId w:val="17"/>
        </w:numPr>
        <w:rPr>
          <w:lang w:bidi="fa-IR"/>
        </w:rPr>
      </w:pPr>
      <w:r>
        <w:rPr>
          <w:lang w:bidi="fa-IR"/>
        </w:rPr>
        <w:t>Modification that would be needed to make home suitable for ageing in place</w:t>
      </w:r>
    </w:p>
    <w:p w:rsidR="007C6A5F" w:rsidRDefault="007C6A5F" w:rsidP="005A6F87">
      <w:pPr>
        <w:pStyle w:val="ListBullet"/>
        <w:numPr>
          <w:ilvl w:val="0"/>
          <w:numId w:val="17"/>
        </w:numPr>
        <w:rPr>
          <w:lang w:bidi="fa-IR"/>
        </w:rPr>
      </w:pPr>
      <w:r>
        <w:rPr>
          <w:lang w:bidi="fa-IR"/>
        </w:rPr>
        <w:t>Total size of home compared to similar homes</w:t>
      </w:r>
    </w:p>
    <w:p w:rsidR="007C6A5F" w:rsidRDefault="007C6A5F" w:rsidP="005A6F87">
      <w:pPr>
        <w:pStyle w:val="ListBullet"/>
        <w:numPr>
          <w:ilvl w:val="0"/>
          <w:numId w:val="17"/>
        </w:numPr>
        <w:rPr>
          <w:lang w:bidi="fa-IR"/>
        </w:rPr>
      </w:pPr>
      <w:r>
        <w:rPr>
          <w:lang w:bidi="fa-IR"/>
        </w:rPr>
        <w:t>Amount of space used for: Corridors, bathroom, kitchen, laundry</w:t>
      </w:r>
    </w:p>
    <w:p w:rsidR="007C6A5F" w:rsidRDefault="007C6A5F" w:rsidP="005A6F87">
      <w:pPr>
        <w:pStyle w:val="ListBullet"/>
        <w:numPr>
          <w:ilvl w:val="0"/>
          <w:numId w:val="17"/>
        </w:numPr>
        <w:rPr>
          <w:lang w:bidi="fa-IR"/>
        </w:rPr>
      </w:pPr>
      <w:r>
        <w:rPr>
          <w:lang w:bidi="fa-IR"/>
        </w:rPr>
        <w:t>Amount of space used for: Living areas and bedrooms</w:t>
      </w:r>
    </w:p>
    <w:p w:rsidR="007C6A5F" w:rsidRDefault="007C6A5F" w:rsidP="007C6A5F">
      <w:pPr>
        <w:pStyle w:val="BodyText"/>
        <w:rPr>
          <w:lang w:bidi="fa-IR"/>
        </w:rPr>
      </w:pPr>
      <w:r>
        <w:rPr>
          <w:lang w:bidi="fa-IR"/>
        </w:rPr>
        <w:t xml:space="preserve">These attributes were chosen to focus on the outcomes for people with or concerned about limited mobility. </w:t>
      </w:r>
    </w:p>
    <w:p w:rsidR="007C6A5F" w:rsidRDefault="007C6A5F" w:rsidP="007C6A5F">
      <w:pPr>
        <w:pStyle w:val="BodyText"/>
        <w:rPr>
          <w:lang w:bidi="fa-IR"/>
        </w:rPr>
      </w:pPr>
      <w:r>
        <w:rPr>
          <w:lang w:bidi="fa-IR"/>
        </w:rPr>
        <w:t xml:space="preserve">For respondents indicating they would be likely to buy their next home, the cost attribute was defined as the purchase price. For other respondents, the cost attribute was defined as the weekly rent. </w:t>
      </w:r>
    </w:p>
    <w:p w:rsidR="007C6A5F" w:rsidRDefault="007C6A5F" w:rsidP="007C6A5F">
      <w:pPr>
        <w:pStyle w:val="Heading9"/>
        <w:rPr>
          <w:lang w:bidi="fa-IR"/>
        </w:rPr>
      </w:pPr>
      <w:r>
        <w:rPr>
          <w:lang w:bidi="fa-IR"/>
        </w:rPr>
        <w:t>Alternatives per task</w:t>
      </w:r>
    </w:p>
    <w:p w:rsidR="007C6A5F" w:rsidRDefault="007C6A5F" w:rsidP="007C6A5F">
      <w:pPr>
        <w:pStyle w:val="BodyText"/>
        <w:rPr>
          <w:lang w:bidi="fa-IR"/>
        </w:rPr>
      </w:pPr>
      <w:r>
        <w:rPr>
          <w:lang w:bidi="fa-IR"/>
        </w:rPr>
        <w:t xml:space="preserve">Each DCE question comprised two alternative homes. Although decision making is often reference-dependent, we decided against including the current home as a status quo option, as it would introduce the added complication of the value placed on sentimental attachment and avoided moving costs. These values, along with the fact that many respondents consider a move within the next five years as unlikely, mean that a status quo option would likely attract a large number of choices, which would detract from the experiment’s ability to isolate the trade-offs respondents are willing to make between </w:t>
      </w:r>
      <w:r>
        <w:rPr>
          <w:lang w:bidi="fa-IR"/>
        </w:rPr>
        <w:lastRenderedPageBreak/>
        <w:t>price and accessibility features. To isolate these trade-offs, we asked respondents to imagine they were choosing between two homes at the point of their next home purchase/rent decision. Feedback from pretesting indicated that larger choice tasks involving three or more homes would be too complex.</w:t>
      </w:r>
    </w:p>
    <w:p w:rsidR="007C6A5F" w:rsidRDefault="007C6A5F" w:rsidP="007C6A5F">
      <w:pPr>
        <w:pStyle w:val="Heading9"/>
        <w:rPr>
          <w:lang w:bidi="fa-IR"/>
        </w:rPr>
      </w:pPr>
      <w:r>
        <w:rPr>
          <w:lang w:bidi="fa-IR"/>
        </w:rPr>
        <w:t>Number of questions per respondent</w:t>
      </w:r>
    </w:p>
    <w:p w:rsidR="007C6A5F" w:rsidRDefault="007C6A5F" w:rsidP="007C6A5F">
      <w:pPr>
        <w:pStyle w:val="BodyText"/>
      </w:pPr>
      <w:r>
        <w:rPr>
          <w:lang w:bidi="fa-IR"/>
        </w:rPr>
        <w:t>The questionnaire included six choice tasks. The risk of respondents dropping out of self-administered questionnaires increases with the number of choice tasks presented. The number of respondents required to obtain statistically significant estimates of WTP reduces with the number of choice tasks presented to each respondent. A sequence of six choice tasks per respondent was judged to strike an appropriate balance between these two considerations.</w:t>
      </w:r>
    </w:p>
    <w:p w:rsidR="007C6A5F" w:rsidRDefault="007C6A5F" w:rsidP="007C6A5F">
      <w:pPr>
        <w:pStyle w:val="Heading9"/>
      </w:pPr>
      <w:r>
        <w:t>Attribute levels</w:t>
      </w:r>
    </w:p>
    <w:p w:rsidR="007C6A5F" w:rsidRDefault="007C6A5F" w:rsidP="007C6A5F">
      <w:pPr>
        <w:pStyle w:val="BodyText"/>
      </w:pPr>
      <w:r>
        <w:t xml:space="preserve">The attribute levels used in the DCE questions are set out in table </w:t>
      </w:r>
      <w:r>
        <w:rPr>
          <w:noProof/>
        </w:rPr>
        <w:t>K.1</w:t>
      </w:r>
      <w:r>
        <w:t>. Prices/rents were calculated using a reference price calculated as the midpoint of the price range that the respondent indicated they would expect to pay for their next home. Most of the price levels were designed below the reference price to ensure they lay within the respondent’s budget constraint. In wave 2 of the survey fieldwork, different price levels were used depending on whether the respondent had indicated in a qualitative question they would prefer a home with at least some accessibility features. Analysis of data from wave 1 indicated that WTP varied considerably with the response to this qualitative question. To improve the efficiency of the experimental design, this qualitative question was used as a filtering question to allocate respondents to one of two different designs, each with price levels that covered the range of WTP estimated from Wave 1 data for the best and worst combinations of attribute levels.</w:t>
      </w:r>
    </w:p>
    <w:bookmarkStart w:id="8841" w:name="_Toc32321925"/>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w:instrText>
      </w:r>
      <w:r w:rsidRPr="00695C93">
        <w:fldChar w:fldCharType="separate"/>
      </w:r>
      <w:r>
        <w:rPr>
          <w:noProof/>
        </w:rPr>
        <w:instrText>K</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w:instrText>
      </w:r>
      <w:r w:rsidRPr="00695C93">
        <w:fldChar w:fldCharType="end"/>
      </w:r>
      <w:r w:rsidRPr="00695C93">
        <w:instrText xml:space="preserve">" "" </w:instrText>
      </w:r>
      <w:r w:rsidRPr="00695C93">
        <w:fldChar w:fldCharType="separate"/>
      </w:r>
      <w:bookmarkStart w:id="8842" w:name="_Caption0460"/>
      <w:bookmarkStart w:id="8843" w:name="_Caption8028"/>
      <w:bookmarkStart w:id="8844" w:name="_Caption9937"/>
      <w:bookmarkStart w:id="8845" w:name="_Caption6809"/>
      <w:bookmarkStart w:id="8846" w:name="_Toc44598631"/>
      <w:bookmarkStart w:id="8847" w:name="_Toc45654262"/>
      <w:r w:rsidR="00272AF3">
        <w:rPr>
          <w:noProof/>
        </w:rPr>
        <w:t>K</w:t>
      </w:r>
      <w:r w:rsidR="00272AF3" w:rsidRPr="00695C93">
        <w:rPr>
          <w:noProof/>
        </w:rPr>
        <w:t>.</w:t>
      </w:r>
      <w:r w:rsidR="00272AF3">
        <w:rPr>
          <w:noProof/>
        </w:rPr>
        <w:t>1</w:t>
      </w:r>
      <w:bookmarkEnd w:id="8842"/>
      <w:bookmarkEnd w:id="8843"/>
      <w:bookmarkEnd w:id="8844"/>
      <w:bookmarkEnd w:id="8845"/>
      <w:r w:rsidRPr="00695C93">
        <w:fldChar w:fldCharType="end"/>
      </w:r>
      <w:r w:rsidRPr="00695C93">
        <w:tab/>
      </w:r>
      <w:r>
        <w:t>Attribute levels used in discrete choice experiment</w:t>
      </w:r>
      <w:bookmarkEnd w:id="8841"/>
      <w:bookmarkEnd w:id="8846"/>
      <w:bookmarkEnd w:id="8847"/>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K.1"/>
        <w:tblDescription w:val="Attribute levels used in discrete choice experiment"/>
      </w:tblPr>
      <w:tblGrid>
        <w:gridCol w:w="2835"/>
        <w:gridCol w:w="5102"/>
      </w:tblGrid>
      <w:tr w:rsidR="007C6A5F" w:rsidTr="005F17BE">
        <w:trPr>
          <w:tblHeader/>
        </w:trPr>
        <w:tc>
          <w:tcPr>
            <w:tcW w:w="2835" w:type="dxa"/>
            <w:tcBorders>
              <w:bottom w:val="single" w:sz="8" w:space="0" w:color="FFFFFF" w:themeColor="background1"/>
            </w:tcBorders>
            <w:shd w:val="clear" w:color="auto" w:fill="6F6652" w:themeFill="accent5"/>
          </w:tcPr>
          <w:p w:rsidR="007C6A5F" w:rsidRDefault="007C6A5F" w:rsidP="00C36DA4">
            <w:pPr>
              <w:pStyle w:val="TableTextColumnHeading"/>
            </w:pPr>
            <w:r>
              <w:t>Attribute</w:t>
            </w:r>
          </w:p>
        </w:tc>
        <w:tc>
          <w:tcPr>
            <w:tcW w:w="5102" w:type="dxa"/>
            <w:tcBorders>
              <w:bottom w:val="single" w:sz="8" w:space="0" w:color="FFFFFF" w:themeColor="background1"/>
            </w:tcBorders>
            <w:shd w:val="clear" w:color="auto" w:fill="6F6652" w:themeFill="accent5"/>
          </w:tcPr>
          <w:p w:rsidR="007C6A5F" w:rsidRDefault="007C6A5F" w:rsidP="00C36DA4">
            <w:pPr>
              <w:pStyle w:val="TableTextColumnHeading"/>
            </w:pPr>
            <w:r>
              <w:t>Levels</w:t>
            </w:r>
          </w:p>
        </w:tc>
      </w:tr>
      <w:tr w:rsidR="007C6A5F" w:rsidTr="005F17BE">
        <w:tc>
          <w:tcPr>
            <w:tcW w:w="2835" w:type="dxa"/>
            <w:tcBorders>
              <w:top w:val="single" w:sz="8" w:space="0" w:color="FFFFFF" w:themeColor="background1"/>
              <w:bottom w:val="single" w:sz="8" w:space="0" w:color="FFFFFF" w:themeColor="background1"/>
            </w:tcBorders>
            <w:shd w:val="clear" w:color="auto" w:fill="E9E8E5" w:themeFill="background2"/>
          </w:tcPr>
          <w:p w:rsidR="007C6A5F" w:rsidRPr="008C017F" w:rsidRDefault="007C6A5F" w:rsidP="00C36DA4">
            <w:pPr>
              <w:pStyle w:val="TableTextEntries"/>
            </w:pPr>
            <w:r w:rsidRPr="008C017F">
              <w:t xml:space="preserve">Price / Rent </w:t>
            </w:r>
          </w:p>
        </w:tc>
        <w:tc>
          <w:tcPr>
            <w:tcW w:w="510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pPr>
            <w:r>
              <w:t>Wave 1:</w:t>
            </w:r>
          </w:p>
          <w:p w:rsidR="007C6A5F" w:rsidRDefault="007C6A5F" w:rsidP="00C36DA4">
            <w:pPr>
              <w:pStyle w:val="TableTextEntries"/>
            </w:pPr>
            <w:r>
              <w:t>Reference price/rent x 0.868, 0.884, 0.892, 0.896, 0.898, 0.899, 0.9, 0.901, 0.902, 0.904, 0.908, 0.916, 0.932, 0.964, 1.028</w:t>
            </w:r>
          </w:p>
          <w:p w:rsidR="007C6A5F" w:rsidRDefault="007C6A5F" w:rsidP="00C36DA4">
            <w:pPr>
              <w:pStyle w:val="TableTextEntries"/>
            </w:pPr>
            <w:r>
              <w:t>Wave 2:</w:t>
            </w:r>
          </w:p>
          <w:p w:rsidR="007C6A5F" w:rsidRDefault="007C6A5F" w:rsidP="00C36DA4">
            <w:pPr>
              <w:pStyle w:val="TableTextEntries"/>
            </w:pPr>
            <w:r>
              <w:t>Respondents indicating a preference for at least some accessibility features:</w:t>
            </w:r>
          </w:p>
          <w:p w:rsidR="007C6A5F" w:rsidRDefault="007C6A5F" w:rsidP="00C36DA4">
            <w:pPr>
              <w:pStyle w:val="TableTextEntries"/>
            </w:pPr>
            <w:r>
              <w:t>Reference price/rent x 0.7, 0.85, 0.89, 0.897, 0.903, 0.91, 0.95, 1.1</w:t>
            </w:r>
          </w:p>
          <w:p w:rsidR="007C6A5F" w:rsidRDefault="007C6A5F" w:rsidP="00C36DA4">
            <w:pPr>
              <w:pStyle w:val="TableTextEntries"/>
            </w:pPr>
            <w:r>
              <w:t>Other respondents:</w:t>
            </w:r>
          </w:p>
          <w:p w:rsidR="007C6A5F" w:rsidRDefault="007C6A5F" w:rsidP="00C36DA4">
            <w:pPr>
              <w:pStyle w:val="TableTextEntries"/>
            </w:pPr>
            <w:r>
              <w:t>Reference price/rent x 0.902, 0.938, 0.947, 0.949, 0.951, 0.953, 0.962, 0.998</w:t>
            </w:r>
          </w:p>
        </w:tc>
      </w:tr>
      <w:tr w:rsidR="007C6A5F" w:rsidTr="005F17BE">
        <w:tc>
          <w:tcPr>
            <w:tcW w:w="2835" w:type="dxa"/>
            <w:tcBorders>
              <w:top w:val="single" w:sz="8" w:space="0" w:color="FFFFFF" w:themeColor="background1"/>
              <w:bottom w:val="single" w:sz="8" w:space="0" w:color="FFFFFF" w:themeColor="background1"/>
            </w:tcBorders>
            <w:shd w:val="clear" w:color="auto" w:fill="E9E8E5" w:themeFill="background2"/>
          </w:tcPr>
          <w:p w:rsidR="007C6A5F" w:rsidRPr="008C017F" w:rsidRDefault="007C6A5F" w:rsidP="00C36DA4">
            <w:pPr>
              <w:pStyle w:val="TableTextEntries"/>
            </w:pPr>
            <w:r w:rsidRPr="008C017F">
              <w:t>Getting in and out</w:t>
            </w:r>
          </w:p>
        </w:tc>
        <w:tc>
          <w:tcPr>
            <w:tcW w:w="510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pPr>
            <w:r w:rsidRPr="0072355C">
              <w:t>Several steps</w:t>
            </w:r>
          </w:p>
          <w:p w:rsidR="007C6A5F" w:rsidRDefault="007C6A5F" w:rsidP="00C36DA4">
            <w:pPr>
              <w:pStyle w:val="TableTextEntries"/>
            </w:pPr>
            <w:r w:rsidRPr="0072355C">
              <w:t>Single step</w:t>
            </w:r>
          </w:p>
          <w:p w:rsidR="007C6A5F" w:rsidRDefault="007C6A5F" w:rsidP="00C36DA4">
            <w:pPr>
              <w:pStyle w:val="TableTextEntries"/>
            </w:pPr>
            <w:r w:rsidRPr="0072355C">
              <w:t>Step-free</w:t>
            </w:r>
          </w:p>
        </w:tc>
      </w:tr>
      <w:tr w:rsidR="007C6A5F" w:rsidTr="005F17BE">
        <w:tc>
          <w:tcPr>
            <w:tcW w:w="2835" w:type="dxa"/>
            <w:tcBorders>
              <w:top w:val="single" w:sz="8" w:space="0" w:color="FFFFFF" w:themeColor="background1"/>
              <w:bottom w:val="single" w:sz="8" w:space="0" w:color="FFFFFF" w:themeColor="background1"/>
            </w:tcBorders>
            <w:shd w:val="clear" w:color="auto" w:fill="E9E8E5" w:themeFill="background2"/>
          </w:tcPr>
          <w:p w:rsidR="007C6A5F" w:rsidRPr="008C017F" w:rsidRDefault="007C6A5F" w:rsidP="00C36DA4">
            <w:pPr>
              <w:pStyle w:val="TableTextEntries"/>
            </w:pPr>
            <w:r w:rsidRPr="008C017F">
              <w:t>Moving around indoors</w:t>
            </w:r>
          </w:p>
        </w:tc>
        <w:tc>
          <w:tcPr>
            <w:tcW w:w="510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pPr>
            <w:r>
              <w:t>Regular spaces – Suitable for some mobility aids</w:t>
            </w:r>
            <w:r>
              <w:tab/>
            </w:r>
          </w:p>
          <w:p w:rsidR="007C6A5F" w:rsidRDefault="007C6A5F" w:rsidP="00C36DA4">
            <w:pPr>
              <w:pStyle w:val="TableTextEntries"/>
            </w:pPr>
            <w:r>
              <w:t>Wide spaces – Suitable for most mobility aids, but not wheelchairs</w:t>
            </w:r>
            <w:r>
              <w:tab/>
            </w:r>
          </w:p>
          <w:p w:rsidR="007C6A5F" w:rsidRDefault="007C6A5F" w:rsidP="00C36DA4">
            <w:pPr>
              <w:pStyle w:val="TableTextEntries"/>
            </w:pPr>
            <w:r>
              <w:lastRenderedPageBreak/>
              <w:t>Extra-wide spaces – Suitable for all mobility aids, including wheelchairs</w:t>
            </w:r>
          </w:p>
        </w:tc>
      </w:tr>
      <w:tr w:rsidR="007C6A5F" w:rsidTr="005F17BE">
        <w:tc>
          <w:tcPr>
            <w:tcW w:w="2835" w:type="dxa"/>
            <w:tcBorders>
              <w:top w:val="single" w:sz="8" w:space="0" w:color="FFFFFF" w:themeColor="background1"/>
              <w:bottom w:val="single" w:sz="8" w:space="0" w:color="FFFFFF" w:themeColor="background1"/>
            </w:tcBorders>
            <w:shd w:val="clear" w:color="auto" w:fill="E9E8E5" w:themeFill="background2"/>
          </w:tcPr>
          <w:p w:rsidR="007C6A5F" w:rsidRPr="008C017F" w:rsidRDefault="007C6A5F" w:rsidP="00C36DA4">
            <w:pPr>
              <w:pStyle w:val="TableTextEntries"/>
            </w:pPr>
            <w:r w:rsidRPr="008C017F">
              <w:lastRenderedPageBreak/>
              <w:t>Living with limited mobility on same level as an entrance</w:t>
            </w:r>
          </w:p>
        </w:tc>
        <w:tc>
          <w:tcPr>
            <w:tcW w:w="510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pPr>
            <w:r>
              <w:t>Unsuitable – No toilet or shower on entry level</w:t>
            </w:r>
            <w:r>
              <w:tab/>
            </w:r>
            <w:r>
              <w:tab/>
            </w:r>
          </w:p>
          <w:p w:rsidR="007C6A5F" w:rsidRDefault="007C6A5F" w:rsidP="00C36DA4">
            <w:pPr>
              <w:pStyle w:val="TableTextEntries"/>
            </w:pPr>
            <w:r>
              <w:t>Suitable for short visits – Toilet, but no shower on entry level</w:t>
            </w:r>
            <w:r>
              <w:tab/>
            </w:r>
          </w:p>
          <w:p w:rsidR="007C6A5F" w:rsidRDefault="007C6A5F" w:rsidP="00C36DA4">
            <w:pPr>
              <w:pStyle w:val="TableTextEntries"/>
            </w:pPr>
            <w:r>
              <w:t>Suitable for living or overnight visits – Toilet, shower and bedroom on entry level</w:t>
            </w:r>
          </w:p>
        </w:tc>
      </w:tr>
      <w:tr w:rsidR="007C6A5F" w:rsidTr="005F17BE">
        <w:tc>
          <w:tcPr>
            <w:tcW w:w="2835" w:type="dxa"/>
            <w:tcBorders>
              <w:top w:val="single" w:sz="8" w:space="0" w:color="FFFFFF" w:themeColor="background1"/>
              <w:bottom w:val="single" w:sz="8" w:space="0" w:color="FFFFFF" w:themeColor="background1"/>
            </w:tcBorders>
            <w:shd w:val="clear" w:color="auto" w:fill="E9E8E5" w:themeFill="background2"/>
          </w:tcPr>
          <w:p w:rsidR="007C6A5F" w:rsidRPr="008C017F" w:rsidRDefault="007C6A5F" w:rsidP="00C36DA4">
            <w:pPr>
              <w:pStyle w:val="TableTextEntries"/>
            </w:pPr>
            <w:r w:rsidRPr="008C017F">
              <w:t>Modification that would be needed to make home suitable for ageing in place</w:t>
            </w:r>
          </w:p>
        </w:tc>
        <w:tc>
          <w:tcPr>
            <w:tcW w:w="510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pPr>
            <w:r>
              <w:t>Significant</w:t>
            </w:r>
          </w:p>
          <w:p w:rsidR="007C6A5F" w:rsidRDefault="007C6A5F" w:rsidP="00C36DA4">
            <w:pPr>
              <w:pStyle w:val="TableTextEntries"/>
            </w:pPr>
            <w:r>
              <w:t>Minimal</w:t>
            </w:r>
          </w:p>
        </w:tc>
      </w:tr>
      <w:tr w:rsidR="007C6A5F" w:rsidTr="005F17BE">
        <w:tc>
          <w:tcPr>
            <w:tcW w:w="2835" w:type="dxa"/>
            <w:tcBorders>
              <w:top w:val="single" w:sz="8" w:space="0" w:color="FFFFFF" w:themeColor="background1"/>
              <w:bottom w:val="single" w:sz="8" w:space="0" w:color="FFFFFF" w:themeColor="background1"/>
            </w:tcBorders>
            <w:shd w:val="clear" w:color="auto" w:fill="E9E8E5" w:themeFill="background2"/>
          </w:tcPr>
          <w:p w:rsidR="007C6A5F" w:rsidRPr="008C017F" w:rsidRDefault="007C6A5F" w:rsidP="00C36DA4">
            <w:pPr>
              <w:pStyle w:val="TableTextEntries"/>
            </w:pPr>
            <w:r w:rsidRPr="008C017F">
              <w:t>Total size of home compared to similar homes</w:t>
            </w:r>
          </w:p>
        </w:tc>
        <w:tc>
          <w:tcPr>
            <w:tcW w:w="510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pPr>
            <w:r>
              <w:t>Same</w:t>
            </w:r>
          </w:p>
          <w:p w:rsidR="007C6A5F" w:rsidRDefault="007C6A5F" w:rsidP="00C36DA4">
            <w:pPr>
              <w:pStyle w:val="TableTextEntries"/>
            </w:pPr>
            <w:r>
              <w:t>5% larger</w:t>
            </w:r>
          </w:p>
        </w:tc>
      </w:tr>
      <w:tr w:rsidR="007C6A5F" w:rsidTr="005F17BE">
        <w:tc>
          <w:tcPr>
            <w:tcW w:w="2835" w:type="dxa"/>
            <w:tcBorders>
              <w:top w:val="single" w:sz="8" w:space="0" w:color="FFFFFF" w:themeColor="background1"/>
              <w:bottom w:val="single" w:sz="8" w:space="0" w:color="FFFFFF" w:themeColor="background1"/>
            </w:tcBorders>
            <w:shd w:val="clear" w:color="auto" w:fill="E9E8E5" w:themeFill="background2"/>
          </w:tcPr>
          <w:p w:rsidR="007C6A5F" w:rsidRPr="008C017F" w:rsidRDefault="007C6A5F" w:rsidP="00C36DA4">
            <w:pPr>
              <w:pStyle w:val="TableTextEntries"/>
            </w:pPr>
            <w:r w:rsidRPr="008C017F">
              <w:t>Amount of space used for: Corridors, bathroom, kitchen, laundry</w:t>
            </w:r>
          </w:p>
        </w:tc>
        <w:tc>
          <w:tcPr>
            <w:tcW w:w="5102" w:type="dxa"/>
            <w:tcBorders>
              <w:top w:val="single" w:sz="8" w:space="0" w:color="FFFFFF" w:themeColor="background1"/>
              <w:bottom w:val="single" w:sz="8" w:space="0" w:color="FFFFFF" w:themeColor="background1"/>
            </w:tcBorders>
            <w:shd w:val="clear" w:color="auto" w:fill="E9E8E5" w:themeFill="background2"/>
          </w:tcPr>
          <w:p w:rsidR="007C6A5F" w:rsidRDefault="007C6A5F" w:rsidP="00C36DA4">
            <w:pPr>
              <w:pStyle w:val="TableTextEntries"/>
            </w:pPr>
            <w:r>
              <w:t>40%</w:t>
            </w:r>
          </w:p>
          <w:p w:rsidR="007C6A5F" w:rsidRDefault="007C6A5F" w:rsidP="00C36DA4">
            <w:pPr>
              <w:pStyle w:val="TableTextEntries"/>
            </w:pPr>
            <w:r>
              <w:t>45%</w:t>
            </w:r>
          </w:p>
          <w:p w:rsidR="007C6A5F" w:rsidRDefault="007C6A5F" w:rsidP="00C36DA4">
            <w:pPr>
              <w:pStyle w:val="TableTextEntries"/>
            </w:pPr>
            <w:r>
              <w:t>50%</w:t>
            </w:r>
          </w:p>
        </w:tc>
      </w:tr>
      <w:tr w:rsidR="007C6A5F" w:rsidTr="005F17BE">
        <w:tc>
          <w:tcPr>
            <w:tcW w:w="2835"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TextEntries"/>
            </w:pPr>
            <w:r w:rsidRPr="008C017F">
              <w:t>Amount of space used for: Living areas and bedrooms</w:t>
            </w:r>
          </w:p>
        </w:tc>
        <w:tc>
          <w:tcPr>
            <w:tcW w:w="5102" w:type="dxa"/>
            <w:tcBorders>
              <w:top w:val="single" w:sz="8" w:space="0" w:color="FFFFFF" w:themeColor="background1"/>
              <w:bottom w:val="single" w:sz="4" w:space="0" w:color="6F6652" w:themeColor="accent5"/>
            </w:tcBorders>
            <w:shd w:val="clear" w:color="auto" w:fill="E9E8E5" w:themeFill="background2"/>
          </w:tcPr>
          <w:p w:rsidR="007C6A5F" w:rsidRDefault="007C6A5F" w:rsidP="00C36DA4">
            <w:pPr>
              <w:pStyle w:val="TableTextEntries"/>
            </w:pPr>
            <w:r>
              <w:t>Calculated as 100% minus the level for the attribute above</w:t>
            </w:r>
          </w:p>
        </w:tc>
      </w:tr>
    </w:tbl>
    <w:p w:rsidR="007C6A5F" w:rsidRDefault="007C6A5F" w:rsidP="007C6A5F">
      <w:pPr>
        <w:pStyle w:val="Source"/>
      </w:pPr>
      <w:r>
        <w:rPr>
          <w:i/>
        </w:rPr>
        <w:t>Source</w:t>
      </w:r>
      <w:r w:rsidRPr="00E4232C">
        <w:rPr>
          <w:i/>
        </w:rPr>
        <w:t>:</w:t>
      </w:r>
      <w:r>
        <w:t xml:space="preserve"> CIE</w:t>
      </w:r>
      <w:r w:rsidR="00DE71A3">
        <w:t>.</w:t>
      </w:r>
    </w:p>
    <w:p w:rsidR="007C6A5F" w:rsidRDefault="007C6A5F" w:rsidP="007C6A5F">
      <w:pPr>
        <w:pStyle w:val="Heading9"/>
      </w:pPr>
      <w:r>
        <w:t>Experimental design</w:t>
      </w:r>
    </w:p>
    <w:p w:rsidR="007C6A5F" w:rsidRDefault="007C6A5F" w:rsidP="007C6A5F">
      <w:pPr>
        <w:pStyle w:val="BodyText"/>
        <w:rPr>
          <w:lang w:bidi="fa-IR"/>
        </w:rPr>
      </w:pPr>
      <w:r>
        <w:rPr>
          <w:lang w:bidi="fa-IR"/>
        </w:rPr>
        <w:t>To conduct a DCE, the analyst needs to assign combinations of attribute levels to the various alternatives and questions. These combinations are referred to as the experimental design. The experimental design has a direct impact on the statistical significance of estimates of WTP. If some information about preferences is known, it is possible to generate an experimental design that can elicit statistically significant estimates of WTP from a smaller number of respondents than a randomly generated design.</w:t>
      </w:r>
    </w:p>
    <w:p w:rsidR="007C6A5F" w:rsidRDefault="007C6A5F" w:rsidP="007C6A5F">
      <w:pPr>
        <w:pStyle w:val="BodyText"/>
      </w:pPr>
      <w:r w:rsidRPr="005D1733">
        <w:t>The</w:t>
      </w:r>
      <w:r>
        <w:t xml:space="preserve"> experimental design used in the</w:t>
      </w:r>
      <w:r w:rsidRPr="005D1733">
        <w:t xml:space="preserve"> first wave</w:t>
      </w:r>
      <w:r>
        <w:t xml:space="preserve"> of fieldwork comprised two separate four-block designs – one in which the ‘total size of home’ attribute was held constant across alternatives and one in which it was not. This approach was taken for the initial design to manage risks raised in pretesting that the total size attribute would dominate the choice decision process. </w:t>
      </w:r>
    </w:p>
    <w:p w:rsidR="007C6A5F" w:rsidRDefault="007C6A5F" w:rsidP="007C6A5F">
      <w:pPr>
        <w:pStyle w:val="BodyText"/>
        <w:rPr>
          <w:lang w:bidi="fa-IR"/>
        </w:rPr>
      </w:pPr>
      <w:r>
        <w:rPr>
          <w:lang w:bidi="fa-IR"/>
        </w:rPr>
        <w:t>Information on preferences gathered in the first wave of fieldwork was used to generate a design for the second and main wave of fieldwork. The approach minimised the statistical confidence intervals around the estimates of WTP derived from responses to the questions in the design.</w:t>
      </w:r>
      <w:r>
        <w:rPr>
          <w:rStyle w:val="FootnoteReference"/>
          <w:lang w:bidi="fa-IR"/>
        </w:rPr>
        <w:footnoteReference w:id="123"/>
      </w:r>
    </w:p>
    <w:p w:rsidR="007C6A5F" w:rsidRDefault="007C6A5F" w:rsidP="007C6A5F">
      <w:pPr>
        <w:pStyle w:val="BodyText"/>
        <w:rPr>
          <w:lang w:bidi="fa-IR"/>
        </w:rPr>
      </w:pPr>
      <w:r>
        <w:rPr>
          <w:lang w:bidi="fa-IR"/>
        </w:rPr>
        <w:lastRenderedPageBreak/>
        <w:t>The second and main wave of fieldwork used a design with 16 blocks of six questions, with each respondent answering only one block assigned using least-fill logic. The reason for using multiple blocks was to improve design efficiency and limit the impact of any single choice task on the results.</w:t>
      </w:r>
    </w:p>
    <w:p w:rsidR="007C6A5F" w:rsidRPr="00695C93"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w:instrText>
      </w:r>
      <w:r w:rsidRPr="00695C93">
        <w:fldChar w:fldCharType="separate"/>
      </w:r>
      <w:r>
        <w:rPr>
          <w:noProof/>
        </w:rPr>
        <w:instrText>K</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2</w:instrText>
      </w:r>
      <w:r w:rsidRPr="00695C93">
        <w:fldChar w:fldCharType="end"/>
      </w:r>
      <w:r w:rsidRPr="00695C93">
        <w:instrText xml:space="preserve">" "" </w:instrText>
      </w:r>
      <w:r w:rsidRPr="00695C93">
        <w:fldChar w:fldCharType="separate"/>
      </w:r>
      <w:bookmarkStart w:id="8848" w:name="_Caption0780"/>
      <w:bookmarkStart w:id="8849" w:name="_Caption4315"/>
      <w:bookmarkStart w:id="8850" w:name="_Caption3627"/>
      <w:bookmarkStart w:id="8851" w:name="_Caption7196"/>
      <w:bookmarkStart w:id="8852" w:name="_Toc44598632"/>
      <w:bookmarkStart w:id="8853" w:name="_Toc45654263"/>
      <w:r w:rsidR="00272AF3">
        <w:rPr>
          <w:noProof/>
        </w:rPr>
        <w:t>K</w:t>
      </w:r>
      <w:r w:rsidR="00272AF3" w:rsidRPr="00695C93">
        <w:rPr>
          <w:noProof/>
        </w:rPr>
        <w:t>.</w:t>
      </w:r>
      <w:r w:rsidR="00272AF3">
        <w:rPr>
          <w:noProof/>
        </w:rPr>
        <w:t>2</w:t>
      </w:r>
      <w:bookmarkEnd w:id="8848"/>
      <w:bookmarkEnd w:id="8849"/>
      <w:bookmarkEnd w:id="8850"/>
      <w:bookmarkEnd w:id="8851"/>
      <w:r w:rsidRPr="00695C93">
        <w:fldChar w:fldCharType="end"/>
      </w:r>
      <w:r w:rsidRPr="00695C93">
        <w:tab/>
      </w:r>
      <w:bookmarkStart w:id="8854" w:name="_Toc32321926"/>
      <w:r>
        <w:t>Example of choice question</w:t>
      </w:r>
      <w:bookmarkEnd w:id="8852"/>
      <w:bookmarkEnd w:id="8853"/>
      <w:bookmarkEnd w:id="8854"/>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Caption w:val="Figure K.2"/>
        <w:tblDescription w:val="Example of choice question"/>
      </w:tblPr>
      <w:tblGrid>
        <w:gridCol w:w="7938"/>
      </w:tblGrid>
      <w:tr w:rsidR="007C6A5F" w:rsidTr="009F1D80">
        <w:trPr>
          <w:cantSplit/>
          <w:tblHeader/>
        </w:trPr>
        <w:tc>
          <w:tcPr>
            <w:tcW w:w="7938" w:type="dxa"/>
            <w:shd w:val="clear" w:color="auto" w:fill="E9E8E5" w:themeFill="background2"/>
          </w:tcPr>
          <w:p w:rsidR="007C6A5F" w:rsidRDefault="007C6A5F" w:rsidP="00C36DA4">
            <w:pPr>
              <w:pStyle w:val="Chart"/>
              <w:spacing w:before="120" w:after="120"/>
              <w:jc w:val="center"/>
            </w:pPr>
            <w:r>
              <w:rPr>
                <w:noProof/>
                <w:lang w:eastAsia="en-AU"/>
              </w:rPr>
              <w:drawing>
                <wp:inline distT="0" distB="0" distL="0" distR="0" wp14:anchorId="4FE92AA4" wp14:editId="3CC9ED17">
                  <wp:extent cx="4860000" cy="3077142"/>
                  <wp:effectExtent l="0" t="0" r="0" b="9525"/>
                  <wp:docPr id="14" name="Picture 14" descr="Chart K.2 - Example of choic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1 crop.png"/>
                          <pic:cNvPicPr/>
                        </pic:nvPicPr>
                        <pic:blipFill>
                          <a:blip r:embed="rId54">
                            <a:extLst>
                              <a:ext uri="{28A0092B-C50C-407E-A947-70E740481C1C}">
                                <a14:useLocalDpi xmlns:a14="http://schemas.microsoft.com/office/drawing/2010/main" val="0"/>
                              </a:ext>
                            </a:extLst>
                          </a:blip>
                          <a:stretch>
                            <a:fillRect/>
                          </a:stretch>
                        </pic:blipFill>
                        <pic:spPr>
                          <a:xfrm>
                            <a:off x="0" y="0"/>
                            <a:ext cx="4860000" cy="3077142"/>
                          </a:xfrm>
                          <a:prstGeom prst="rect">
                            <a:avLst/>
                          </a:prstGeom>
                        </pic:spPr>
                      </pic:pic>
                    </a:graphicData>
                  </a:graphic>
                </wp:inline>
              </w:drawing>
            </w:r>
          </w:p>
        </w:tc>
      </w:tr>
    </w:tbl>
    <w:p w:rsidR="007C6A5F" w:rsidRDefault="007C6A5F" w:rsidP="007C6A5F">
      <w:pPr>
        <w:pStyle w:val="Source"/>
      </w:pPr>
      <w:r>
        <w:rPr>
          <w:i/>
        </w:rPr>
        <w:t>Data source</w:t>
      </w:r>
      <w:r w:rsidRPr="00A67576">
        <w:rPr>
          <w:i/>
        </w:rPr>
        <w:t>:</w:t>
      </w:r>
      <w:r>
        <w:t xml:space="preserve"> CIE</w:t>
      </w:r>
      <w:r w:rsidR="00DE71A3">
        <w:t>.</w:t>
      </w:r>
    </w:p>
    <w:p w:rsidR="007C6A5F" w:rsidRDefault="007C6A5F" w:rsidP="007C6A5F">
      <w:pPr>
        <w:pStyle w:val="Heading8"/>
        <w:numPr>
          <w:ilvl w:val="7"/>
          <w:numId w:val="5"/>
        </w:numPr>
        <w:rPr>
          <w:lang w:bidi="fa-IR"/>
        </w:rPr>
      </w:pPr>
      <w:r>
        <w:rPr>
          <w:lang w:bidi="fa-IR"/>
        </w:rPr>
        <w:t>Contingent valuation question</w:t>
      </w:r>
    </w:p>
    <w:p w:rsidR="007C6A5F" w:rsidRDefault="007C6A5F" w:rsidP="007C6A5F">
      <w:pPr>
        <w:pStyle w:val="BodyText"/>
        <w:rPr>
          <w:lang w:bidi="fa-IR"/>
        </w:rPr>
      </w:pPr>
      <w:r>
        <w:rPr>
          <w:lang w:bidi="fa-IR"/>
        </w:rPr>
        <w:t>Respondents were shown an accessibility standard, described in terms of the attributes used in the DCE, and told that the proportion of the housing stock meeting this standard is currently very low and is expected to remain low and that it is not enough to provide accessible homes for all Australians with a disability who use a mobility aid (around 5 per cent of households). Respondents were also told:</w:t>
      </w:r>
    </w:p>
    <w:p w:rsidR="007C6A5F" w:rsidRDefault="007C6A5F" w:rsidP="007C6A5F">
      <w:pPr>
        <w:pStyle w:val="Quote"/>
        <w:rPr>
          <w:lang w:bidi="fa-IR"/>
        </w:rPr>
      </w:pPr>
      <w:r>
        <w:rPr>
          <w:lang w:bidi="fa-IR"/>
        </w:rPr>
        <w:t>As a result, some people with limited mobility have difficulty finding an accessible home and instead live in unsuitable housing with a carer. This can lead to health risks from slips, trips and falls and places extra demands on carers.</w:t>
      </w:r>
    </w:p>
    <w:p w:rsidR="007C6A5F" w:rsidRDefault="007C6A5F" w:rsidP="007C6A5F">
      <w:pPr>
        <w:pStyle w:val="Quote"/>
        <w:rPr>
          <w:lang w:bidi="fa-IR"/>
        </w:rPr>
      </w:pPr>
      <w:r>
        <w:rPr>
          <w:lang w:bidi="fa-IR"/>
        </w:rPr>
        <w:t>Some people with limited mobility also experience social isolation due to difficulty visiting homes of friends and family.</w:t>
      </w:r>
    </w:p>
    <w:p w:rsidR="007C6A5F" w:rsidRDefault="007C6A5F" w:rsidP="007C6A5F">
      <w:pPr>
        <w:pStyle w:val="Quote"/>
        <w:rPr>
          <w:lang w:bidi="fa-IR"/>
        </w:rPr>
      </w:pPr>
      <w:r>
        <w:rPr>
          <w:lang w:bidi="fa-IR"/>
        </w:rPr>
        <w:t>Without additional government action, the proportion of housing in Australia that meets the accessibility standard is expected to remain below 5%.</w:t>
      </w:r>
    </w:p>
    <w:p w:rsidR="007C6A5F" w:rsidRDefault="007C6A5F" w:rsidP="007C6A5F">
      <w:pPr>
        <w:pStyle w:val="Quote"/>
        <w:rPr>
          <w:lang w:bidi="fa-IR"/>
        </w:rPr>
      </w:pPr>
      <w:r>
        <w:rPr>
          <w:lang w:bidi="fa-IR"/>
        </w:rPr>
        <w:t>Governments have a range of ways to increase the amount of accessible housing, including building regulations, incentives schemes, land-use planning and public housing. The share of accessible housing could be increased to 15% of overall housing by 2035, which would greatly improve the chances of Australians with limited mobility finding suitable homes.</w:t>
      </w:r>
    </w:p>
    <w:p w:rsidR="007C6A5F" w:rsidRPr="00D8193F" w:rsidRDefault="007C6A5F" w:rsidP="007C6A5F">
      <w:pPr>
        <w:pStyle w:val="Quote"/>
        <w:rPr>
          <w:lang w:bidi="fa-IR"/>
        </w:rPr>
      </w:pPr>
      <w:r>
        <w:rPr>
          <w:lang w:bidi="fa-IR"/>
        </w:rPr>
        <w:t>However, this would come at a cost that would need to be covered by an increase in rates and taxes.</w:t>
      </w:r>
    </w:p>
    <w:p w:rsidR="007C6A5F" w:rsidRDefault="007C6A5F" w:rsidP="007C6A5F">
      <w:pPr>
        <w:pStyle w:val="BodyText"/>
        <w:rPr>
          <w:lang w:bidi="fa-IR"/>
        </w:rPr>
      </w:pPr>
      <w:r>
        <w:rPr>
          <w:lang w:bidi="fa-IR"/>
        </w:rPr>
        <w:lastRenderedPageBreak/>
        <w:t xml:space="preserve">Respondents were then asked a closed-ended, dichotomous-choice contingent valuation question, the form of which is shown in figure </w:t>
      </w:r>
      <w:r>
        <w:rPr>
          <w:lang w:bidi="fa-IR"/>
        </w:rPr>
        <w:fldChar w:fldCharType="begin"/>
      </w:r>
      <w:r>
        <w:rPr>
          <w:lang w:bidi="fa-IR"/>
        </w:rPr>
        <w:instrText xml:space="preserve"> REF _Caption5171 </w:instrText>
      </w:r>
      <w:r>
        <w:rPr>
          <w:lang w:bidi="fa-IR"/>
        </w:rPr>
        <w:fldChar w:fldCharType="separate"/>
      </w:r>
      <w:r>
        <w:rPr>
          <w:noProof/>
        </w:rPr>
        <w:t>K</w:t>
      </w:r>
      <w:r w:rsidRPr="00695C93">
        <w:rPr>
          <w:noProof/>
        </w:rPr>
        <w:t>.</w:t>
      </w:r>
      <w:r>
        <w:rPr>
          <w:noProof/>
        </w:rPr>
        <w:t>3</w:t>
      </w:r>
      <w:r>
        <w:rPr>
          <w:lang w:bidi="fa-IR"/>
        </w:rPr>
        <w:fldChar w:fldCharType="end"/>
      </w:r>
      <w:r>
        <w:rPr>
          <w:lang w:bidi="fa-IR"/>
        </w:rPr>
        <w:t>. The cost level shown in the question varied across respondents. In Wave 1 fieldwork, the cost levels were $5, $20, $50 and $200. Analysis of Wave 1 data suggested there could be a ‘fat tail’ problem, with 17 per cent (5 of 41) of respondents shown the $200 cost indicating they would definitely vote for the policy. In Wave 2 fieldwork, the vector of levels was revised to $5, $20, $100 and $500 to manage the risk of this problem. A certainty scale was used to mitigate yea-saying bias in accordance with best-practice from the field of environmental valuation. Reminders (a ‘cheap talk’ script) about consequentiality and budget constraints were included to mitigate hypothetical bias.</w:t>
      </w:r>
    </w:p>
    <w:p w:rsidR="007C6A5F" w:rsidRPr="00695C93"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w:instrText>
      </w:r>
      <w:r w:rsidRPr="00695C93">
        <w:fldChar w:fldCharType="separate"/>
      </w:r>
      <w:r>
        <w:rPr>
          <w:b/>
          <w:bCs/>
          <w:noProof/>
          <w:lang w:val="en-US"/>
        </w:rPr>
        <w:instrText>Error! No text of specified style in document.</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w:instrText>
      </w:r>
      <w:r w:rsidRPr="00695C93">
        <w:fldChar w:fldCharType="separate"/>
      </w:r>
      <w:r>
        <w:rPr>
          <w:noProof/>
        </w:rPr>
        <w:instrText>K</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3</w:instrText>
      </w:r>
      <w:r w:rsidRPr="00695C93">
        <w:fldChar w:fldCharType="end"/>
      </w:r>
      <w:r w:rsidRPr="00695C93">
        <w:instrText xml:space="preserve">" "" </w:instrText>
      </w:r>
      <w:r w:rsidRPr="00695C93">
        <w:fldChar w:fldCharType="separate"/>
      </w:r>
      <w:bookmarkStart w:id="8855" w:name="_Caption8806"/>
      <w:bookmarkStart w:id="8856" w:name="_Caption9402"/>
      <w:bookmarkStart w:id="8857" w:name="_Caption1929"/>
      <w:bookmarkStart w:id="8858" w:name="_Caption9822"/>
      <w:bookmarkStart w:id="8859" w:name="_Caption3505"/>
      <w:bookmarkStart w:id="8860" w:name="_Caption9760"/>
      <w:bookmarkStart w:id="8861" w:name="_Caption0708"/>
      <w:bookmarkStart w:id="8862" w:name="_Caption1710"/>
      <w:bookmarkStart w:id="8863" w:name="_Caption1802"/>
      <w:bookmarkStart w:id="8864" w:name="_Caption4624"/>
      <w:bookmarkStart w:id="8865" w:name="_Caption3131"/>
      <w:bookmarkStart w:id="8866" w:name="_Caption1995"/>
      <w:bookmarkStart w:id="8867" w:name="_Caption9409"/>
      <w:bookmarkStart w:id="8868" w:name="_Caption5773"/>
      <w:bookmarkStart w:id="8869" w:name="_Caption6434"/>
      <w:bookmarkStart w:id="8870" w:name="_Caption3760"/>
      <w:bookmarkStart w:id="8871" w:name="_Caption3153"/>
      <w:bookmarkStart w:id="8872" w:name="_Caption6061"/>
      <w:bookmarkStart w:id="8873" w:name="_Caption3826"/>
      <w:bookmarkStart w:id="8874" w:name="_Caption2955"/>
      <w:bookmarkStart w:id="8875" w:name="_Caption7534"/>
      <w:bookmarkStart w:id="8876" w:name="_Caption5693"/>
      <w:bookmarkStart w:id="8877" w:name="_Caption7757"/>
      <w:bookmarkStart w:id="8878" w:name="_Caption4204"/>
      <w:bookmarkStart w:id="8879" w:name="_Caption4791"/>
      <w:bookmarkStart w:id="8880" w:name="_Caption9285"/>
      <w:bookmarkStart w:id="8881" w:name="_Caption4629"/>
      <w:bookmarkStart w:id="8882" w:name="_Caption2237"/>
      <w:bookmarkStart w:id="8883" w:name="_Caption9797"/>
      <w:bookmarkStart w:id="8884" w:name="_Caption8873"/>
      <w:bookmarkStart w:id="8885" w:name="_Caption4969"/>
      <w:bookmarkStart w:id="8886" w:name="_Caption8488"/>
      <w:bookmarkStart w:id="8887" w:name="_Caption9096"/>
      <w:bookmarkStart w:id="8888" w:name="_Caption2296"/>
      <w:bookmarkStart w:id="8889" w:name="_Caption6539"/>
      <w:bookmarkStart w:id="8890" w:name="_Caption7741"/>
      <w:bookmarkStart w:id="8891" w:name="_Caption1636"/>
      <w:bookmarkStart w:id="8892" w:name="_Caption4567"/>
      <w:bookmarkStart w:id="8893" w:name="_Caption8412"/>
      <w:bookmarkStart w:id="8894" w:name="_Caption9033"/>
      <w:bookmarkStart w:id="8895" w:name="_Caption9767"/>
      <w:bookmarkStart w:id="8896" w:name="_Caption5171"/>
      <w:bookmarkStart w:id="8897" w:name="_Caption3932"/>
      <w:bookmarkStart w:id="8898" w:name="_Caption9002"/>
      <w:bookmarkStart w:id="8899" w:name="_Caption0310"/>
      <w:bookmarkStart w:id="8900" w:name="_Caption5747"/>
      <w:bookmarkStart w:id="8901" w:name="_Caption2569"/>
      <w:bookmarkStart w:id="8902" w:name="_Caption6639"/>
      <w:bookmarkStart w:id="8903" w:name="_Caption1519"/>
      <w:bookmarkStart w:id="8904" w:name="_Caption3863"/>
      <w:bookmarkStart w:id="8905" w:name="_Caption6495"/>
      <w:bookmarkStart w:id="8906" w:name="_Caption8194"/>
      <w:bookmarkStart w:id="8907" w:name="_Caption3069"/>
      <w:bookmarkStart w:id="8908" w:name="_Caption1448"/>
      <w:bookmarkStart w:id="8909" w:name="_Caption3154"/>
      <w:bookmarkStart w:id="8910" w:name="_Caption5307"/>
      <w:bookmarkStart w:id="8911" w:name="_Caption3142"/>
      <w:bookmarkStart w:id="8912" w:name="_Caption6189"/>
      <w:bookmarkStart w:id="8913" w:name="_Caption7456"/>
      <w:bookmarkStart w:id="8914" w:name="_Caption1116"/>
      <w:bookmarkStart w:id="8915" w:name="_Caption3473"/>
      <w:bookmarkStart w:id="8916" w:name="_Caption0904"/>
      <w:bookmarkStart w:id="8917" w:name="_Caption0190"/>
      <w:bookmarkStart w:id="8918" w:name="_Caption4605"/>
      <w:bookmarkStart w:id="8919" w:name="_Caption8263"/>
      <w:bookmarkStart w:id="8920" w:name="_Caption8119"/>
      <w:bookmarkStart w:id="8921" w:name="_Caption1352"/>
      <w:bookmarkStart w:id="8922" w:name="_Caption1203"/>
      <w:bookmarkStart w:id="8923" w:name="_Caption7295"/>
      <w:bookmarkStart w:id="8924" w:name="_Caption4588"/>
      <w:bookmarkStart w:id="8925" w:name="_Caption1770"/>
      <w:bookmarkStart w:id="8926" w:name="_Caption4108"/>
      <w:bookmarkStart w:id="8927" w:name="_Caption7929"/>
      <w:bookmarkStart w:id="8928" w:name="_Caption2207"/>
      <w:bookmarkStart w:id="8929" w:name="_Caption8631"/>
      <w:bookmarkStart w:id="8930" w:name="_Caption3290"/>
      <w:bookmarkStart w:id="8931" w:name="_Caption1253"/>
      <w:bookmarkStart w:id="8932" w:name="_Caption0437"/>
      <w:bookmarkStart w:id="8933" w:name="_Caption9849"/>
      <w:bookmarkStart w:id="8934" w:name="_Caption8959"/>
      <w:bookmarkStart w:id="8935" w:name="_Caption6895"/>
      <w:bookmarkStart w:id="8936" w:name="_Caption2035"/>
      <w:bookmarkStart w:id="8937" w:name="_Caption0781"/>
      <w:bookmarkStart w:id="8938" w:name="_Caption1445"/>
      <w:bookmarkStart w:id="8939" w:name="_Caption5814"/>
      <w:bookmarkStart w:id="8940" w:name="_Caption1991"/>
      <w:bookmarkStart w:id="8941" w:name="_Caption4243"/>
      <w:bookmarkStart w:id="8942" w:name="_Caption4380"/>
      <w:bookmarkStart w:id="8943" w:name="_Caption0138"/>
      <w:bookmarkStart w:id="8944" w:name="_Caption0623"/>
      <w:bookmarkStart w:id="8945" w:name="_Caption8858"/>
      <w:bookmarkStart w:id="8946" w:name="_Caption7556"/>
      <w:bookmarkStart w:id="8947" w:name="_Toc32321927"/>
      <w:bookmarkStart w:id="8948" w:name="_Toc44598633"/>
      <w:bookmarkStart w:id="8949" w:name="_Toc45654264"/>
      <w:r w:rsidR="00272AF3">
        <w:rPr>
          <w:noProof/>
        </w:rPr>
        <w:t>K</w:t>
      </w:r>
      <w:r w:rsidR="00272AF3" w:rsidRPr="00695C93">
        <w:rPr>
          <w:noProof/>
        </w:rPr>
        <w:t>.</w:t>
      </w:r>
      <w:r w:rsidR="00272AF3">
        <w:rPr>
          <w:noProof/>
        </w:rPr>
        <w:t>3</w:t>
      </w:r>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r w:rsidRPr="00695C93">
        <w:fldChar w:fldCharType="end"/>
      </w:r>
      <w:r w:rsidRPr="00695C93">
        <w:tab/>
      </w:r>
      <w:r>
        <w:t>Example of contingent valuation question</w:t>
      </w:r>
      <w:bookmarkEnd w:id="8947"/>
      <w:bookmarkEnd w:id="8948"/>
      <w:bookmarkEnd w:id="8949"/>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Caption w:val="Figure K.3"/>
        <w:tblDescription w:val="Example of contingent valuation question"/>
      </w:tblPr>
      <w:tblGrid>
        <w:gridCol w:w="7938"/>
      </w:tblGrid>
      <w:tr w:rsidR="007C6A5F" w:rsidTr="009F1D80">
        <w:trPr>
          <w:cantSplit/>
          <w:tblHeader/>
        </w:trPr>
        <w:tc>
          <w:tcPr>
            <w:tcW w:w="7938" w:type="dxa"/>
            <w:shd w:val="clear" w:color="auto" w:fill="E9E8E5" w:themeFill="background2"/>
          </w:tcPr>
          <w:p w:rsidR="007C6A5F" w:rsidRDefault="007C6A5F" w:rsidP="00C36DA4">
            <w:pPr>
              <w:pStyle w:val="Chart"/>
              <w:spacing w:before="120" w:after="120"/>
              <w:jc w:val="center"/>
            </w:pPr>
            <w:r>
              <w:rPr>
                <w:noProof/>
                <w:lang w:eastAsia="en-AU"/>
              </w:rPr>
              <w:drawing>
                <wp:inline distT="0" distB="0" distL="0" distR="0" wp14:anchorId="3E592925" wp14:editId="74E4D0A3">
                  <wp:extent cx="4860000" cy="2885510"/>
                  <wp:effectExtent l="0" t="0" r="0" b="0"/>
                  <wp:docPr id="15" name="Picture 15" descr="Chart K.3 - Example of contingent valuation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CV crop.png"/>
                          <pic:cNvPicPr/>
                        </pic:nvPicPr>
                        <pic:blipFill>
                          <a:blip r:embed="rId55">
                            <a:extLst>
                              <a:ext uri="{28A0092B-C50C-407E-A947-70E740481C1C}">
                                <a14:useLocalDpi xmlns:a14="http://schemas.microsoft.com/office/drawing/2010/main" val="0"/>
                              </a:ext>
                            </a:extLst>
                          </a:blip>
                          <a:stretch>
                            <a:fillRect/>
                          </a:stretch>
                        </pic:blipFill>
                        <pic:spPr>
                          <a:xfrm>
                            <a:off x="0" y="0"/>
                            <a:ext cx="4860000" cy="2885510"/>
                          </a:xfrm>
                          <a:prstGeom prst="rect">
                            <a:avLst/>
                          </a:prstGeom>
                        </pic:spPr>
                      </pic:pic>
                    </a:graphicData>
                  </a:graphic>
                </wp:inline>
              </w:drawing>
            </w:r>
          </w:p>
        </w:tc>
      </w:tr>
    </w:tbl>
    <w:p w:rsidR="007C6A5F" w:rsidRDefault="007C6A5F" w:rsidP="007C6A5F">
      <w:pPr>
        <w:pStyle w:val="Source"/>
      </w:pPr>
      <w:r>
        <w:rPr>
          <w:i/>
        </w:rPr>
        <w:t>Data source</w:t>
      </w:r>
      <w:r w:rsidRPr="00A67576">
        <w:rPr>
          <w:i/>
        </w:rPr>
        <w:t>:</w:t>
      </w:r>
      <w:r>
        <w:t xml:space="preserve"> CIE</w:t>
      </w:r>
      <w:r w:rsidR="00DE71A3">
        <w:t>.</w:t>
      </w:r>
    </w:p>
    <w:p w:rsidR="007C6A5F" w:rsidRDefault="007C6A5F" w:rsidP="007C6A5F">
      <w:pPr>
        <w:pStyle w:val="BodyText"/>
      </w:pPr>
      <w:r>
        <w:t>The cost attribute was defined as an ongoing payment to reflect the ongoing nature of the costs involved in the policy options. We chose a broad payment vehicle of taxes and rates. Alternative, more specific vehicles, such as an increase in the price of new homes, were problematic since they are seen to be avoidable by significant proportions of the population.</w:t>
      </w:r>
    </w:p>
    <w:p w:rsidR="007C6A5F" w:rsidRDefault="007C6A5F" w:rsidP="007C6A5F">
      <w:pPr>
        <w:pStyle w:val="Heading9"/>
        <w:rPr>
          <w:lang w:bidi="fa-IR"/>
        </w:rPr>
      </w:pPr>
      <w:r>
        <w:rPr>
          <w:lang w:bidi="fa-IR"/>
        </w:rPr>
        <w:t>Debriefing</w:t>
      </w:r>
    </w:p>
    <w:p w:rsidR="007C6A5F" w:rsidRDefault="007C6A5F" w:rsidP="007C6A5F">
      <w:pPr>
        <w:pStyle w:val="BodyText"/>
        <w:rPr>
          <w:lang w:bidi="fa-IR"/>
        </w:rPr>
      </w:pPr>
      <w:r>
        <w:rPr>
          <w:lang w:bidi="fa-IR"/>
        </w:rPr>
        <w:t>Respondents were asked, o</w:t>
      </w:r>
      <w:r w:rsidRPr="0076579E">
        <w:rPr>
          <w:lang w:bidi="fa-IR"/>
        </w:rPr>
        <w:t xml:space="preserve">n a scale of 1 to 10, how much </w:t>
      </w:r>
      <w:r>
        <w:rPr>
          <w:lang w:bidi="fa-IR"/>
        </w:rPr>
        <w:t>their</w:t>
      </w:r>
      <w:r w:rsidRPr="0076579E">
        <w:rPr>
          <w:lang w:bidi="fa-IR"/>
        </w:rPr>
        <w:t xml:space="preserve"> decision</w:t>
      </w:r>
      <w:r>
        <w:rPr>
          <w:lang w:bidi="fa-IR"/>
        </w:rPr>
        <w:t xml:space="preserve"> was</w:t>
      </w:r>
      <w:r w:rsidRPr="0076579E">
        <w:rPr>
          <w:lang w:bidi="fa-IR"/>
        </w:rPr>
        <w:t xml:space="preserve"> based on outcomes for other people</w:t>
      </w:r>
      <w:r>
        <w:rPr>
          <w:lang w:bidi="fa-IR"/>
        </w:rPr>
        <w:t>. The purpose of this question is to enable WTP to be scaled to the altruism-only component to avoid double-counting with WTP for accessibility features in the respondent’s own home.</w:t>
      </w:r>
    </w:p>
    <w:p w:rsidR="007C6A5F" w:rsidRPr="00BB1DF3" w:rsidRDefault="007C6A5F" w:rsidP="007C6A5F">
      <w:pPr>
        <w:pStyle w:val="BodyText"/>
        <w:rPr>
          <w:lang w:bidi="fa-IR"/>
        </w:rPr>
      </w:pPr>
      <w:r>
        <w:rPr>
          <w:lang w:bidi="fa-IR"/>
        </w:rPr>
        <w:t>Debriefing questions were also included on the reasons for their answer to the CV question and the extent to which they believed the survey would affect government action on accessible housing and on the rates and taxes they pay.</w:t>
      </w:r>
    </w:p>
    <w:p w:rsidR="007C6A5F" w:rsidRDefault="007C6A5F" w:rsidP="007C6A5F">
      <w:pPr>
        <w:pStyle w:val="Heading7"/>
        <w:numPr>
          <w:ilvl w:val="6"/>
          <w:numId w:val="5"/>
        </w:numPr>
      </w:pPr>
      <w:r>
        <w:lastRenderedPageBreak/>
        <w:t>The sample</w:t>
      </w:r>
    </w:p>
    <w:p w:rsidR="007C6A5F" w:rsidRDefault="007C6A5F" w:rsidP="007C6A5F">
      <w:pPr>
        <w:pStyle w:val="Heading8"/>
        <w:numPr>
          <w:ilvl w:val="7"/>
          <w:numId w:val="5"/>
        </w:numPr>
        <w:spacing w:before="240"/>
      </w:pPr>
      <w:bookmarkStart w:id="8950" w:name="_Toc10042744"/>
      <w:r>
        <w:t>Recruitment</w:t>
      </w:r>
      <w:bookmarkEnd w:id="8950"/>
    </w:p>
    <w:p w:rsidR="007C6A5F" w:rsidRDefault="007C6A5F" w:rsidP="007C6A5F">
      <w:pPr>
        <w:pStyle w:val="BodyText"/>
        <w:rPr>
          <w:lang w:bidi="fa-IR"/>
        </w:rPr>
      </w:pPr>
      <w:r>
        <w:rPr>
          <w:lang w:bidi="fa-IR"/>
        </w:rPr>
        <w:t>The fieldwork was conducted in December 2019 and January 2020. All respondents were sampled through the Pureprofile online panel and were compensated for their time through Pureprofile’s rewards system.</w:t>
      </w:r>
    </w:p>
    <w:p w:rsidR="007C6A5F" w:rsidRDefault="007C6A5F" w:rsidP="007C6A5F">
      <w:pPr>
        <w:pStyle w:val="BodyText"/>
      </w:pPr>
      <w:r>
        <w:t xml:space="preserve">Overall, 2062 respondents completed the questionnaire. </w:t>
      </w:r>
      <w:r w:rsidRPr="008D113B">
        <w:t xml:space="preserve">There </w:t>
      </w:r>
      <w:r>
        <w:t>we</w:t>
      </w:r>
      <w:r w:rsidRPr="008D113B">
        <w:t xml:space="preserve">re </w:t>
      </w:r>
      <w:r>
        <w:t>66</w:t>
      </w:r>
      <w:r w:rsidRPr="008D113B">
        <w:t xml:space="preserve"> </w:t>
      </w:r>
      <w:r>
        <w:t>i</w:t>
      </w:r>
      <w:r w:rsidRPr="008D113B">
        <w:t>ncomplete</w:t>
      </w:r>
      <w:r>
        <w:t xml:space="preserve"> responses. Other respondents were screened out because either:</w:t>
      </w:r>
    </w:p>
    <w:p w:rsidR="007C6A5F" w:rsidRDefault="007C6A5F" w:rsidP="005A6F87">
      <w:pPr>
        <w:pStyle w:val="ListBullet"/>
        <w:numPr>
          <w:ilvl w:val="0"/>
          <w:numId w:val="17"/>
        </w:numPr>
        <w:rPr>
          <w:lang w:bidi="fa-IR"/>
        </w:rPr>
      </w:pPr>
      <w:r>
        <w:rPr>
          <w:lang w:bidi="fa-IR"/>
        </w:rPr>
        <w:t>they did not hold an Australian citizenship or permanent resident visa;</w:t>
      </w:r>
    </w:p>
    <w:p w:rsidR="007C6A5F" w:rsidRDefault="007C6A5F" w:rsidP="005A6F87">
      <w:pPr>
        <w:pStyle w:val="ListBullet"/>
        <w:numPr>
          <w:ilvl w:val="0"/>
          <w:numId w:val="17"/>
        </w:numPr>
        <w:rPr>
          <w:lang w:bidi="fa-IR"/>
        </w:rPr>
      </w:pPr>
      <w:r>
        <w:rPr>
          <w:lang w:bidi="fa-IR"/>
        </w:rPr>
        <w:t xml:space="preserve">they or someone else in their household </w:t>
      </w:r>
      <w:r>
        <w:t>work for the Australian Building Codes Board; or</w:t>
      </w:r>
    </w:p>
    <w:p w:rsidR="007C6A5F" w:rsidRDefault="007C6A5F" w:rsidP="005A6F87">
      <w:pPr>
        <w:pStyle w:val="ListBullet"/>
        <w:numPr>
          <w:ilvl w:val="0"/>
          <w:numId w:val="17"/>
        </w:numPr>
        <w:rPr>
          <w:lang w:bidi="fa-IR"/>
        </w:rPr>
      </w:pPr>
      <w:r>
        <w:rPr>
          <w:lang w:bidi="fa-IR"/>
        </w:rPr>
        <w:t>the quotas for their age, gender or location categories had already been filled.</w:t>
      </w:r>
    </w:p>
    <w:p w:rsidR="007C6A5F" w:rsidRDefault="007C6A5F" w:rsidP="007C6A5F">
      <w:pPr>
        <w:pStyle w:val="BodyText"/>
        <w:rPr>
          <w:lang w:bidi="fa-IR"/>
        </w:rPr>
      </w:pPr>
      <w:r>
        <w:rPr>
          <w:lang w:bidi="fa-IR"/>
        </w:rPr>
        <w:t xml:space="preserve">Quotas were set using </w:t>
      </w:r>
      <w:bookmarkStart w:id="8951" w:name="_Hlk5373446"/>
      <w:r>
        <w:rPr>
          <w:lang w:bidi="fa-IR"/>
        </w:rPr>
        <w:t xml:space="preserve">Australian Bureau of Statistics data Cat. No. 3235.0 Table 3 </w:t>
      </w:r>
      <w:bookmarkEnd w:id="8951"/>
      <w:r>
        <w:rPr>
          <w:lang w:bidi="fa-IR"/>
        </w:rPr>
        <w:t xml:space="preserve">and Cat. No. </w:t>
      </w:r>
      <w:r w:rsidRPr="00937185">
        <w:rPr>
          <w:lang w:bidi="fa-IR"/>
        </w:rPr>
        <w:t>3101</w:t>
      </w:r>
      <w:r>
        <w:rPr>
          <w:lang w:bidi="fa-IR"/>
        </w:rPr>
        <w:t>.</w:t>
      </w:r>
      <w:r w:rsidRPr="00937185">
        <w:rPr>
          <w:lang w:bidi="fa-IR"/>
        </w:rPr>
        <w:t>0</w:t>
      </w:r>
      <w:r>
        <w:rPr>
          <w:lang w:bidi="fa-IR"/>
        </w:rPr>
        <w:t xml:space="preserve"> Table 8. </w:t>
      </w:r>
    </w:p>
    <w:p w:rsidR="007C6A5F" w:rsidRDefault="007C6A5F" w:rsidP="007C6A5F">
      <w:pPr>
        <w:pStyle w:val="Heading8"/>
        <w:numPr>
          <w:ilvl w:val="7"/>
          <w:numId w:val="5"/>
        </w:numPr>
        <w:spacing w:before="360"/>
        <w:rPr>
          <w:lang w:bidi="fa-IR"/>
        </w:rPr>
      </w:pPr>
      <w:r>
        <w:rPr>
          <w:lang w:bidi="fa-IR"/>
        </w:rPr>
        <w:t>Characteristics</w:t>
      </w:r>
    </w:p>
    <w:p w:rsidR="007C6A5F" w:rsidRDefault="007C6A5F" w:rsidP="007C6A5F">
      <w:pPr>
        <w:pStyle w:val="BodyText"/>
        <w:rPr>
          <w:lang w:bidi="fa-IR"/>
        </w:rPr>
      </w:pPr>
      <w:r>
        <w:rPr>
          <w:lang w:bidi="fa-IR"/>
        </w:rPr>
        <w:t xml:space="preserve">The sample was representative of the national population of people aged 18 years and over in terms of age, gender and location. People speaking languages other than English at home and the highest-income households were under-represented, while households with income in the range </w:t>
      </w:r>
      <w:r w:rsidRPr="00A65D8B">
        <w:rPr>
          <w:lang w:bidi="fa-IR"/>
        </w:rPr>
        <w:t xml:space="preserve">$78,000 </w:t>
      </w:r>
      <w:r>
        <w:rPr>
          <w:lang w:bidi="fa-IR"/>
        </w:rPr>
        <w:t>to</w:t>
      </w:r>
      <w:r w:rsidRPr="00A65D8B">
        <w:rPr>
          <w:lang w:bidi="fa-IR"/>
        </w:rPr>
        <w:t xml:space="preserve"> $104,000 per year</w:t>
      </w:r>
      <w:r>
        <w:rPr>
          <w:lang w:bidi="fa-IR"/>
        </w:rPr>
        <w:t xml:space="preserve"> were over-represented. We used raking to generate poststratification weights based on the language, income and age characteristics of the target population. The reweighted sample characteristics are very close to those of the target population, which provides confidence that results can be generalised to the population.</w:t>
      </w:r>
    </w:p>
    <w:p w:rsidR="007C6A5F" w:rsidRDefault="007C6A5F" w:rsidP="007C6A5F">
      <w:pPr>
        <w:pStyle w:val="Caption"/>
        <w:spacing w:before="240"/>
      </w:pPr>
      <w:r w:rsidRPr="006932E3">
        <w:fldChar w:fldCharType="begin"/>
      </w:r>
      <w:r w:rsidRPr="006932E3">
        <w:instrText xml:space="preserve"> IF 1 = 1 "</w:instrText>
      </w:r>
      <w:r w:rsidRPr="006932E3">
        <w:fldChar w:fldCharType="begin"/>
      </w:r>
      <w:r w:rsidRPr="006932E3">
        <w:instrText xml:space="preserve"> IF </w:instrText>
      </w:r>
      <w:r w:rsidRPr="006932E3">
        <w:rPr>
          <w:noProof/>
        </w:rPr>
        <w:fldChar w:fldCharType="begin"/>
      </w:r>
      <w:r w:rsidRPr="006932E3">
        <w:rPr>
          <w:noProof/>
        </w:rPr>
        <w:instrText xml:space="preserve"> STYLEREF "Heading 6" \l \n </w:instrText>
      </w:r>
      <w:r w:rsidRPr="006932E3">
        <w:rPr>
          <w:noProof/>
        </w:rPr>
        <w:fldChar w:fldCharType="separate"/>
      </w:r>
      <w:r w:rsidRPr="006932E3">
        <w:rPr>
          <w:noProof/>
        </w:rPr>
        <w:instrText>K</w:instrText>
      </w:r>
      <w:r w:rsidRPr="006932E3">
        <w:rPr>
          <w:noProof/>
        </w:rPr>
        <w:fldChar w:fldCharType="end"/>
      </w:r>
      <w:r w:rsidRPr="006932E3">
        <w:instrText xml:space="preserve"> = 0 "</w:instrText>
      </w:r>
      <w:r w:rsidRPr="006932E3">
        <w:fldChar w:fldCharType="begin"/>
      </w:r>
      <w:r w:rsidRPr="006932E3">
        <w:instrText xml:space="preserve"> IF </w:instrText>
      </w:r>
      <w:r w:rsidRPr="006932E3">
        <w:rPr>
          <w:noProof/>
        </w:rPr>
        <w:fldChar w:fldCharType="begin"/>
      </w:r>
      <w:r w:rsidRPr="006932E3">
        <w:rPr>
          <w:noProof/>
        </w:rPr>
        <w:instrText xml:space="preserve"> STYLEREF "Heading 1" \l \n </w:instrText>
      </w:r>
      <w:r w:rsidRPr="006932E3">
        <w:rPr>
          <w:noProof/>
        </w:rPr>
        <w:fldChar w:fldCharType="separate"/>
      </w:r>
      <w:r w:rsidRPr="006932E3">
        <w:rPr>
          <w:noProof/>
        </w:rPr>
        <w:instrText>0</w:instrText>
      </w:r>
      <w:r w:rsidRPr="006932E3">
        <w:rPr>
          <w:noProof/>
        </w:rPr>
        <w:fldChar w:fldCharType="end"/>
      </w:r>
      <w:r w:rsidRPr="006932E3">
        <w:instrText xml:space="preserve"> = 0 "" "</w:instrText>
      </w:r>
      <w:r w:rsidRPr="006932E3">
        <w:rPr>
          <w:noProof/>
        </w:rPr>
        <w:fldChar w:fldCharType="begin"/>
      </w:r>
      <w:r w:rsidRPr="006932E3">
        <w:rPr>
          <w:noProof/>
        </w:rPr>
        <w:instrText xml:space="preserve"> STYLEREF "Heading 1" \l \n </w:instrText>
      </w:r>
      <w:r w:rsidRPr="006932E3">
        <w:rPr>
          <w:noProof/>
        </w:rPr>
        <w:fldChar w:fldCharType="separate"/>
      </w:r>
      <w:r w:rsidRPr="006932E3">
        <w:rPr>
          <w:noProof/>
        </w:rPr>
        <w:instrText>2</w:instrText>
      </w:r>
      <w:r w:rsidRPr="006932E3">
        <w:rPr>
          <w:noProof/>
        </w:rPr>
        <w:fldChar w:fldCharType="end"/>
      </w:r>
      <w:r w:rsidRPr="006932E3">
        <w:instrText xml:space="preserve">." </w:instrText>
      </w:r>
      <w:r w:rsidRPr="006932E3">
        <w:fldChar w:fldCharType="end"/>
      </w:r>
      <w:r w:rsidRPr="006932E3">
        <w:instrText>" "</w:instrText>
      </w:r>
      <w:r w:rsidRPr="006932E3">
        <w:rPr>
          <w:noProof/>
        </w:rPr>
        <w:fldChar w:fldCharType="begin"/>
      </w:r>
      <w:r w:rsidRPr="006932E3">
        <w:rPr>
          <w:noProof/>
        </w:rPr>
        <w:instrText xml:space="preserve"> STYLEREF "Heading 6" \l \n </w:instrText>
      </w:r>
      <w:r w:rsidRPr="006932E3">
        <w:rPr>
          <w:noProof/>
        </w:rPr>
        <w:fldChar w:fldCharType="separate"/>
      </w:r>
      <w:r w:rsidRPr="006932E3">
        <w:rPr>
          <w:noProof/>
        </w:rPr>
        <w:instrText>K</w:instrText>
      </w:r>
      <w:r w:rsidRPr="006932E3">
        <w:rPr>
          <w:noProof/>
        </w:rPr>
        <w:fldChar w:fldCharType="end"/>
      </w:r>
      <w:r w:rsidRPr="006932E3">
        <w:instrText xml:space="preserve">." </w:instrText>
      </w:r>
      <w:r w:rsidRPr="006932E3">
        <w:fldChar w:fldCharType="separate"/>
      </w:r>
      <w:r w:rsidRPr="006932E3">
        <w:rPr>
          <w:noProof/>
        </w:rPr>
        <w:instrText>K.</w:instrText>
      </w:r>
      <w:r w:rsidRPr="006932E3">
        <w:fldChar w:fldCharType="end"/>
      </w:r>
      <w:r w:rsidRPr="006932E3">
        <w:fldChar w:fldCharType="begin"/>
      </w:r>
      <w:r w:rsidRPr="006932E3">
        <w:instrText xml:space="preserve"> SEQ Item \* ARABIC \s </w:instrText>
      </w:r>
      <w:r w:rsidRPr="006932E3">
        <w:fldChar w:fldCharType="begin"/>
      </w:r>
      <w:r w:rsidRPr="006932E3">
        <w:instrText xml:space="preserve"> IF </w:instrText>
      </w:r>
      <w:r w:rsidRPr="006932E3">
        <w:rPr>
          <w:noProof/>
        </w:rPr>
        <w:fldChar w:fldCharType="begin"/>
      </w:r>
      <w:r w:rsidRPr="006932E3">
        <w:rPr>
          <w:noProof/>
        </w:rPr>
        <w:instrText xml:space="preserve"> STYLEREF "Heading 6" \l \n </w:instrText>
      </w:r>
      <w:r w:rsidRPr="006932E3">
        <w:rPr>
          <w:noProof/>
        </w:rPr>
        <w:fldChar w:fldCharType="separate"/>
      </w:r>
      <w:r w:rsidRPr="006932E3">
        <w:rPr>
          <w:noProof/>
        </w:rPr>
        <w:instrText>K</w:instrText>
      </w:r>
      <w:r w:rsidRPr="006932E3">
        <w:rPr>
          <w:noProof/>
        </w:rPr>
        <w:fldChar w:fldCharType="end"/>
      </w:r>
      <w:r w:rsidRPr="006932E3">
        <w:instrText xml:space="preserve"> = 0 "</w:instrText>
      </w:r>
      <w:r w:rsidRPr="006932E3">
        <w:fldChar w:fldCharType="begin"/>
      </w:r>
      <w:r w:rsidRPr="006932E3">
        <w:instrText xml:space="preserve"> IF </w:instrText>
      </w:r>
      <w:r w:rsidRPr="006932E3">
        <w:rPr>
          <w:noProof/>
        </w:rPr>
        <w:fldChar w:fldCharType="begin"/>
      </w:r>
      <w:r w:rsidRPr="006932E3">
        <w:rPr>
          <w:noProof/>
        </w:rPr>
        <w:instrText xml:space="preserve"> STYLEREF "Heading 1" \l \n </w:instrText>
      </w:r>
      <w:r w:rsidRPr="006932E3">
        <w:rPr>
          <w:noProof/>
        </w:rPr>
        <w:fldChar w:fldCharType="separate"/>
      </w:r>
      <w:r w:rsidRPr="006932E3">
        <w:rPr>
          <w:noProof/>
        </w:rPr>
        <w:instrText>0</w:instrText>
      </w:r>
      <w:r w:rsidRPr="006932E3">
        <w:rPr>
          <w:noProof/>
        </w:rPr>
        <w:fldChar w:fldCharType="end"/>
      </w:r>
      <w:r w:rsidRPr="006932E3">
        <w:instrText xml:space="preserve"> = 0 "" "1" </w:instrText>
      </w:r>
      <w:r w:rsidRPr="006932E3">
        <w:fldChar w:fldCharType="end"/>
      </w:r>
      <w:r w:rsidRPr="006932E3">
        <w:instrText xml:space="preserve">" "6" </w:instrText>
      </w:r>
      <w:r w:rsidRPr="006932E3">
        <w:fldChar w:fldCharType="separate"/>
      </w:r>
      <w:r w:rsidRPr="006932E3">
        <w:rPr>
          <w:noProof/>
        </w:rPr>
        <w:instrText>6</w:instrText>
      </w:r>
      <w:r w:rsidRPr="006932E3">
        <w:fldChar w:fldCharType="end"/>
      </w:r>
      <w:r w:rsidRPr="006932E3">
        <w:instrText xml:space="preserve"> </w:instrText>
      </w:r>
      <w:r w:rsidRPr="006932E3">
        <w:fldChar w:fldCharType="separate"/>
      </w:r>
      <w:r w:rsidRPr="006932E3">
        <w:rPr>
          <w:noProof/>
        </w:rPr>
        <w:instrText>4</w:instrText>
      </w:r>
      <w:r w:rsidRPr="006932E3">
        <w:fldChar w:fldCharType="end"/>
      </w:r>
      <w:r w:rsidRPr="006932E3">
        <w:instrText xml:space="preserve">" "" </w:instrText>
      </w:r>
      <w:r w:rsidRPr="006932E3">
        <w:fldChar w:fldCharType="separate"/>
      </w:r>
      <w:bookmarkStart w:id="8952" w:name="_Caption1903"/>
      <w:bookmarkStart w:id="8953" w:name="_Caption1821"/>
      <w:bookmarkStart w:id="8954" w:name="_Caption6589"/>
      <w:bookmarkStart w:id="8955" w:name="_Caption0478"/>
      <w:bookmarkStart w:id="8956" w:name="_Caption4423"/>
      <w:bookmarkStart w:id="8957" w:name="_Caption9171"/>
      <w:bookmarkStart w:id="8958" w:name="_Caption1724"/>
      <w:bookmarkStart w:id="8959" w:name="_Caption7238"/>
      <w:bookmarkStart w:id="8960" w:name="_Caption5711"/>
      <w:bookmarkStart w:id="8961" w:name="_Caption7326"/>
      <w:bookmarkStart w:id="8962" w:name="_Caption2037"/>
      <w:bookmarkStart w:id="8963" w:name="_Caption3023"/>
      <w:bookmarkStart w:id="8964" w:name="_Caption9663"/>
      <w:bookmarkStart w:id="8965" w:name="_Caption6734"/>
      <w:bookmarkStart w:id="8966" w:name="_Caption3311"/>
      <w:bookmarkStart w:id="8967" w:name="_Caption7926"/>
      <w:bookmarkStart w:id="8968" w:name="_Caption5609"/>
      <w:bookmarkStart w:id="8969" w:name="_Caption2068"/>
      <w:bookmarkStart w:id="8970" w:name="_Caption7778"/>
      <w:bookmarkStart w:id="8971" w:name="_Caption2100"/>
      <w:bookmarkStart w:id="8972" w:name="_Caption8663"/>
      <w:bookmarkStart w:id="8973" w:name="_Caption8429"/>
      <w:bookmarkStart w:id="8974" w:name="_Caption5728"/>
      <w:bookmarkStart w:id="8975" w:name="_Caption8410"/>
      <w:bookmarkStart w:id="8976" w:name="_Caption1307"/>
      <w:bookmarkStart w:id="8977" w:name="_Caption7337"/>
      <w:bookmarkStart w:id="8978" w:name="_Caption2106"/>
      <w:bookmarkStart w:id="8979" w:name="_Caption1114"/>
      <w:bookmarkStart w:id="8980" w:name="_Caption5819"/>
      <w:bookmarkStart w:id="8981" w:name="_Caption3425"/>
      <w:bookmarkStart w:id="8982" w:name="_Caption2593"/>
      <w:bookmarkStart w:id="8983" w:name="_Caption2826"/>
      <w:bookmarkStart w:id="8984" w:name="_Caption4399"/>
      <w:bookmarkStart w:id="8985" w:name="_Caption0694"/>
      <w:bookmarkStart w:id="8986" w:name="_Caption1426"/>
      <w:bookmarkStart w:id="8987" w:name="_Caption4175"/>
      <w:bookmarkStart w:id="8988" w:name="_Caption3879"/>
      <w:bookmarkStart w:id="8989" w:name="_Caption5194"/>
      <w:bookmarkStart w:id="8990" w:name="_Caption2271"/>
      <w:bookmarkStart w:id="8991" w:name="_Caption6138"/>
      <w:bookmarkStart w:id="8992" w:name="_Caption4746"/>
      <w:bookmarkStart w:id="8993" w:name="_Caption9123"/>
      <w:bookmarkStart w:id="8994" w:name="_Caption2312"/>
      <w:bookmarkStart w:id="8995" w:name="_Caption6423"/>
      <w:bookmarkStart w:id="8996" w:name="_Caption6790"/>
      <w:bookmarkStart w:id="8997" w:name="_Caption3785"/>
      <w:bookmarkStart w:id="8998" w:name="_Caption6664"/>
      <w:bookmarkStart w:id="8999" w:name="_Caption9343"/>
      <w:bookmarkStart w:id="9000" w:name="_Caption9057"/>
      <w:bookmarkStart w:id="9001" w:name="_Caption9934"/>
      <w:bookmarkStart w:id="9002" w:name="_Caption1730"/>
      <w:bookmarkStart w:id="9003" w:name="_Caption6274"/>
      <w:bookmarkStart w:id="9004" w:name="_Caption9941"/>
      <w:bookmarkStart w:id="9005" w:name="_Caption5559"/>
      <w:bookmarkStart w:id="9006" w:name="_Caption9874"/>
      <w:bookmarkStart w:id="9007" w:name="_Caption3953"/>
      <w:bookmarkStart w:id="9008" w:name="_Caption9670"/>
      <w:bookmarkStart w:id="9009" w:name="_Caption0097"/>
      <w:bookmarkStart w:id="9010" w:name="_Caption6869"/>
      <w:bookmarkStart w:id="9011" w:name="_Caption1871"/>
      <w:bookmarkStart w:id="9012" w:name="_Caption1311"/>
      <w:bookmarkStart w:id="9013" w:name="_Caption8068"/>
      <w:bookmarkStart w:id="9014" w:name="_Caption1629"/>
      <w:bookmarkStart w:id="9015" w:name="_Caption1707"/>
      <w:bookmarkStart w:id="9016" w:name="_Caption3356"/>
      <w:bookmarkStart w:id="9017" w:name="_Caption4037"/>
      <w:bookmarkStart w:id="9018" w:name="_Caption4474"/>
      <w:bookmarkStart w:id="9019" w:name="_Caption5427"/>
      <w:bookmarkStart w:id="9020" w:name="_Caption2091"/>
      <w:bookmarkStart w:id="9021" w:name="_Caption0661"/>
      <w:bookmarkStart w:id="9022" w:name="_Caption0178"/>
      <w:bookmarkStart w:id="9023" w:name="_Caption0264"/>
      <w:bookmarkStart w:id="9024" w:name="_Caption3849"/>
      <w:bookmarkStart w:id="9025" w:name="_Caption7161"/>
      <w:bookmarkStart w:id="9026" w:name="_Caption4973"/>
      <w:bookmarkStart w:id="9027" w:name="_Caption2402"/>
      <w:bookmarkStart w:id="9028" w:name="_Caption9689"/>
      <w:bookmarkStart w:id="9029" w:name="_Caption6472"/>
      <w:bookmarkStart w:id="9030" w:name="_Caption5862"/>
      <w:bookmarkStart w:id="9031" w:name="_Caption7429"/>
      <w:bookmarkStart w:id="9032" w:name="_Caption8897"/>
      <w:bookmarkStart w:id="9033" w:name="_Caption0590"/>
      <w:bookmarkStart w:id="9034" w:name="_Caption6105"/>
      <w:bookmarkStart w:id="9035" w:name="_Caption7107"/>
      <w:bookmarkStart w:id="9036" w:name="_Caption2800"/>
      <w:bookmarkStart w:id="9037" w:name="_Caption5698"/>
      <w:bookmarkStart w:id="9038" w:name="_Caption3055"/>
      <w:bookmarkStart w:id="9039" w:name="_Caption9659"/>
      <w:bookmarkStart w:id="9040" w:name="_Caption9709"/>
      <w:bookmarkStart w:id="9041" w:name="_Caption4839"/>
      <w:bookmarkStart w:id="9042" w:name="_Caption8264"/>
      <w:bookmarkStart w:id="9043" w:name="_Toc32321928"/>
      <w:bookmarkStart w:id="9044" w:name="_Toc44598634"/>
      <w:bookmarkStart w:id="9045" w:name="_Toc45654265"/>
      <w:r w:rsidR="00272AF3" w:rsidRPr="006932E3">
        <w:rPr>
          <w:noProof/>
        </w:rPr>
        <w:t>K.4</w:t>
      </w:r>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r w:rsidRPr="006932E3">
        <w:fldChar w:fldCharType="end"/>
      </w:r>
      <w:r w:rsidRPr="006932E3">
        <w:tab/>
        <w:t>Characteristics of sample, reweighted sample and target population</w:t>
      </w:r>
      <w:bookmarkEnd w:id="9043"/>
      <w:bookmarkEnd w:id="9044"/>
      <w:bookmarkEnd w:id="9045"/>
    </w:p>
    <w:tbl>
      <w:tblPr>
        <w:tblStyle w:val="TableGridLight"/>
        <w:tblW w:w="8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4"/>
        <w:tblDescription w:val="Characteristics of sample, reweighted sample and target population"/>
      </w:tblPr>
      <w:tblGrid>
        <w:gridCol w:w="1843"/>
        <w:gridCol w:w="1843"/>
        <w:gridCol w:w="1276"/>
        <w:gridCol w:w="1124"/>
        <w:gridCol w:w="1107"/>
        <w:gridCol w:w="963"/>
      </w:tblGrid>
      <w:tr w:rsidR="006932E3" w:rsidRPr="005726EB" w:rsidTr="00BC2453">
        <w:trPr>
          <w:trHeight w:val="250"/>
          <w:tblHeader/>
        </w:trPr>
        <w:tc>
          <w:tcPr>
            <w:tcW w:w="1843" w:type="dxa"/>
            <w:shd w:val="clear" w:color="auto" w:fill="6F6652" w:themeFill="accent5"/>
            <w:noWrap/>
            <w:hideMark/>
          </w:tcPr>
          <w:p w:rsidR="006932E3" w:rsidRPr="005726EB" w:rsidRDefault="006932E3" w:rsidP="005F17BE">
            <w:pPr>
              <w:pStyle w:val="TableDataColumnHeading"/>
              <w:jc w:val="left"/>
            </w:pPr>
            <w:r>
              <w:t>Indicator/Question</w:t>
            </w:r>
          </w:p>
        </w:tc>
        <w:tc>
          <w:tcPr>
            <w:tcW w:w="1843" w:type="dxa"/>
            <w:shd w:val="clear" w:color="auto" w:fill="6F6652" w:themeFill="accent5"/>
          </w:tcPr>
          <w:p w:rsidR="006932E3" w:rsidRPr="005726EB" w:rsidRDefault="006932E3" w:rsidP="005F17BE">
            <w:pPr>
              <w:pStyle w:val="TableDataColumnHeading"/>
              <w:jc w:val="left"/>
            </w:pPr>
            <w:r>
              <w:t>Item/Answer</w:t>
            </w:r>
          </w:p>
        </w:tc>
        <w:tc>
          <w:tcPr>
            <w:tcW w:w="1276" w:type="dxa"/>
            <w:shd w:val="clear" w:color="auto" w:fill="6F6652" w:themeFill="accent5"/>
            <w:noWrap/>
            <w:hideMark/>
          </w:tcPr>
          <w:p w:rsidR="006932E3" w:rsidRDefault="006932E3" w:rsidP="00C36DA4">
            <w:pPr>
              <w:pStyle w:val="TableDataColumnHeading"/>
            </w:pPr>
            <w:r w:rsidRPr="005726EB">
              <w:t xml:space="preserve">Sample </w:t>
            </w:r>
            <w:r>
              <w:t>No.</w:t>
            </w:r>
          </w:p>
          <w:p w:rsidR="006932E3" w:rsidRPr="005726EB" w:rsidRDefault="006932E3" w:rsidP="005F17BE">
            <w:pPr>
              <w:pStyle w:val="TableDataColumnHeading"/>
              <w:spacing w:before="240"/>
            </w:pPr>
            <w:r>
              <w:t>(No.)</w:t>
            </w:r>
          </w:p>
        </w:tc>
        <w:tc>
          <w:tcPr>
            <w:tcW w:w="1124" w:type="dxa"/>
            <w:shd w:val="clear" w:color="auto" w:fill="6F6652" w:themeFill="accent5"/>
            <w:noWrap/>
            <w:hideMark/>
          </w:tcPr>
          <w:p w:rsidR="006932E3" w:rsidRDefault="006932E3" w:rsidP="00C36DA4">
            <w:pPr>
              <w:pStyle w:val="TableDataColumnHeading"/>
            </w:pPr>
            <w:r w:rsidRPr="005726EB">
              <w:t>Sample</w:t>
            </w:r>
            <w:r>
              <w:t xml:space="preserve">                                    </w:t>
            </w:r>
          </w:p>
          <w:p w:rsidR="006932E3" w:rsidRPr="005726EB" w:rsidRDefault="006932E3" w:rsidP="005F17BE">
            <w:pPr>
              <w:pStyle w:val="TableDataColumnHeading"/>
              <w:spacing w:before="240"/>
            </w:pPr>
            <w:r>
              <w:t>(per cent)</w:t>
            </w:r>
          </w:p>
        </w:tc>
        <w:tc>
          <w:tcPr>
            <w:tcW w:w="1107" w:type="dxa"/>
            <w:shd w:val="clear" w:color="auto" w:fill="6F6652" w:themeFill="accent5"/>
            <w:noWrap/>
            <w:hideMark/>
          </w:tcPr>
          <w:p w:rsidR="006932E3" w:rsidRDefault="006932E3" w:rsidP="00C36DA4">
            <w:pPr>
              <w:pStyle w:val="TableDataColumnHeading"/>
            </w:pPr>
            <w:r w:rsidRPr="005726EB">
              <w:t>Reweighted sample</w:t>
            </w:r>
          </w:p>
          <w:p w:rsidR="006932E3" w:rsidRPr="005726EB" w:rsidRDefault="006932E3" w:rsidP="00C36DA4">
            <w:pPr>
              <w:pStyle w:val="TableDataColumnHeading"/>
            </w:pPr>
            <w:r>
              <w:t>(per cent)</w:t>
            </w:r>
          </w:p>
        </w:tc>
        <w:tc>
          <w:tcPr>
            <w:tcW w:w="963" w:type="dxa"/>
            <w:shd w:val="clear" w:color="auto" w:fill="6F6652" w:themeFill="accent5"/>
            <w:noWrap/>
            <w:hideMark/>
          </w:tcPr>
          <w:p w:rsidR="006932E3" w:rsidRDefault="006932E3" w:rsidP="00C36DA4">
            <w:pPr>
              <w:pStyle w:val="TableDataColumnHeading"/>
            </w:pPr>
            <w:r>
              <w:t>Target p</w:t>
            </w:r>
            <w:r w:rsidRPr="005726EB">
              <w:t>opulation</w:t>
            </w:r>
          </w:p>
          <w:p w:rsidR="006932E3" w:rsidRPr="005726EB" w:rsidRDefault="006932E3" w:rsidP="00C36DA4">
            <w:pPr>
              <w:pStyle w:val="TableDataColumnHeading"/>
            </w:pPr>
            <w:r>
              <w:t>(per cent)</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C36DA4">
            <w:pPr>
              <w:pStyle w:val="TableDataEntries"/>
              <w:jc w:val="left"/>
            </w:pPr>
            <w:r>
              <w:t>Survey duration</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C36DA4">
            <w:pPr>
              <w:pStyle w:val="TableDataEntries"/>
              <w:jc w:val="left"/>
            </w:pPr>
            <w:r w:rsidRPr="00B92BED">
              <w:t>Median (minutes)</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C36DA4">
            <w:pPr>
              <w:pStyle w:val="TableDataEntries"/>
            </w:pPr>
            <w:r w:rsidRPr="00B92BED">
              <w:t>10.77</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C36DA4">
            <w:pPr>
              <w:pStyle w:val="TableDataEntries"/>
            </w:pP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C36DA4">
            <w:pPr>
              <w:pStyle w:val="TableDataEntries"/>
              <w:rPr>
                <w:rFonts w:ascii="Times New Roman" w:hAnsi="Times New Roman"/>
                <w:sz w:val="20"/>
                <w:szCs w:val="20"/>
              </w:rPr>
            </w:pP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C36DA4">
            <w:pPr>
              <w:pStyle w:val="TableDataEntries"/>
              <w:rPr>
                <w:rFonts w:ascii="Times New Roman" w:hAnsi="Times New Roman"/>
                <w:sz w:val="20"/>
                <w:szCs w:val="20"/>
              </w:rPr>
            </w:pP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B92BED">
              <w:t xml:space="preserve">Wave </w:t>
            </w:r>
            <w:r>
              <w:t>of fieldwork</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Wave 1</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163</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rPr>
                <w:rFonts w:ascii="Times New Roman" w:hAnsi="Times New Roman"/>
                <w:sz w:val="20"/>
                <w:szCs w:val="20"/>
              </w:rPr>
            </w:pP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rPr>
                <w:rFonts w:ascii="Times New Roman" w:hAnsi="Times New Roman"/>
                <w:sz w:val="20"/>
                <w:szCs w:val="20"/>
              </w:rPr>
            </w:pP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B92BED">
              <w:t xml:space="preserve">Wave </w:t>
            </w:r>
            <w:r>
              <w:t>of fieldwork</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Wave 2</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w:t>
            </w:r>
            <w:r>
              <w:t> </w:t>
            </w:r>
            <w:r w:rsidRPr="00B92BED">
              <w:t>899</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rPr>
                <w:rFonts w:ascii="Times New Roman" w:hAnsi="Times New Roman"/>
                <w:sz w:val="20"/>
                <w:szCs w:val="20"/>
              </w:rPr>
            </w:pP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rPr>
                <w:rFonts w:ascii="Times New Roman" w:hAnsi="Times New Roman"/>
                <w:sz w:val="20"/>
                <w:szCs w:val="20"/>
              </w:rPr>
            </w:pP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t>Age</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18-19 years</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64</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3.1%</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3.2%</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3.2%</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C34B63">
              <w:t>Age</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20-29 years</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373</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18.1%</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18.6%</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18.6%</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C34B63">
              <w:t>Age</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30-39 years</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397</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19.3%</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18.5%</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18.5%</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C34B63">
              <w:t>Age</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40-49 years</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320</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15.5%</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16.8%</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16.8%</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C34B63">
              <w:t>Age</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50-59 years</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326</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15.8%</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15.8%</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15.7%</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C34B63">
              <w:t>Age</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60-69 years</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282</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13.7%</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13.2%</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13.2%</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C34B63">
              <w:t>Age</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70-79 years</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199</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9.7%</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8.8%</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8.8%</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C34B63">
              <w:t>Age</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80 years or over</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101</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4.9%</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5.1%</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5.1%</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t>Gender</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Male</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w:t>
            </w:r>
            <w:r>
              <w:t> </w:t>
            </w:r>
            <w:r w:rsidRPr="00B92BED">
              <w:t>043</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50.6%</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50.6%</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49.6%</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D94A6C">
              <w:t>Gender</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Female</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w:t>
            </w:r>
            <w:r>
              <w:t> </w:t>
            </w:r>
            <w:r w:rsidRPr="00B92BED">
              <w:t>009</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48.9%</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49.0%</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50.4%</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D94A6C">
              <w:lastRenderedPageBreak/>
              <w:t>Gender</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Non-binary</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6</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0.3%</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0.2%</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0.0%</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D94A6C">
              <w:t>Gender</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Prefer not to say</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4</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0.2%</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0.2%</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0.0%</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NSW</w:t>
            </w:r>
            <w:r>
              <w:t xml:space="preserve"> Metro</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425</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20.6%</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22.1%</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20.9%</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CF437F">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VIC</w:t>
            </w:r>
            <w:r>
              <w:t xml:space="preserve"> Metro</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407</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19.7%</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21.3%</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19.9%</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CF437F">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QLD</w:t>
            </w:r>
            <w:r>
              <w:t xml:space="preserve"> Metro</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202</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9.8%</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9.9%</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9.9%</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CF437F">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SA</w:t>
            </w:r>
            <w:r>
              <w:t xml:space="preserve"> Metro</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120</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5.8%</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5.4%</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5.4%</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CF437F">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WA</w:t>
            </w:r>
            <w:r>
              <w:t xml:space="preserve"> Metro</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175</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8.5%</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8.4%</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8.2%</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CF437F">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TAS</w:t>
            </w:r>
            <w:r>
              <w:t xml:space="preserve"> Metro</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24</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1.2%</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0.9%</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0.9%</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CF437F">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ACT</w:t>
            </w:r>
            <w:r>
              <w:t xml:space="preserve"> Metro</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36</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1.7%</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1.8%</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1.7%</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CF437F">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6932E3" w:rsidRDefault="006932E3" w:rsidP="006932E3">
            <w:pPr>
              <w:pStyle w:val="TableDataEntries"/>
              <w:jc w:val="left"/>
            </w:pPr>
            <w:r w:rsidRPr="00B92BED">
              <w:t>NT</w:t>
            </w:r>
            <w:r>
              <w:t xml:space="preserve"> Metro</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6</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0.3%</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0.3%</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0.6%</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15251B">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NSW</w:t>
            </w:r>
            <w:r>
              <w:t xml:space="preserve"> Regional</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233</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11.3%</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10.0%</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11.0%</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15251B">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6932E3" w:rsidRDefault="006932E3" w:rsidP="006932E3">
            <w:pPr>
              <w:pStyle w:val="TableDataEntries"/>
              <w:jc w:val="left"/>
            </w:pPr>
            <w:r w:rsidRPr="00B92BED">
              <w:t>VIC</w:t>
            </w:r>
            <w:r>
              <w:t xml:space="preserve"> Regional</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125</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6.1%</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6.0%</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6.0%</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15251B">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QLD</w:t>
            </w:r>
            <w:r>
              <w:t xml:space="preserve"> Regional</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214</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10.4%</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9.6%</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10.2%</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15251B">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SA</w:t>
            </w:r>
            <w:r>
              <w:t xml:space="preserve"> Regional</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34</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1.6%</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1.6%</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1.6%</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15251B">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WA</w:t>
            </w:r>
            <w:r>
              <w:t xml:space="preserve"> Regional</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32</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1.6%</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1.4%</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2.1%</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15251B">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TAS</w:t>
            </w:r>
            <w:r>
              <w:t xml:space="preserve"> Regional</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26</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1.3%</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1.2%</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1.2%</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15251B">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ACT</w:t>
            </w:r>
            <w:r>
              <w:t xml:space="preserve"> Regional</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0.0%</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0.0%</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0.0%</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15251B">
              <w:t>Location</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NT</w:t>
            </w:r>
            <w:r>
              <w:t xml:space="preserve"> Regional</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0.1%</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0.1%</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0.4%</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t>Language other than English spoken at home?</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No, English only</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w:t>
            </w:r>
            <w:r>
              <w:t> </w:t>
            </w:r>
            <w:r w:rsidRPr="00B92BED">
              <w:t>763</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85.5%</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72.7%</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72.7%</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t>Language other than English spoken at home?</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Yes</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299</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14.5%</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27.3%</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27.3%</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t>Tenure type</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Owned outright or with a mortgage</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w:t>
            </w:r>
            <w:r>
              <w:t> </w:t>
            </w:r>
            <w:r w:rsidRPr="00B92BED">
              <w:t>355</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65.7%</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66.2%</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67.3%</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FB78B7">
              <w:t>Tenure type</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Being rented or occupied rent-free</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678</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32.9%</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32.4%</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31.8%</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FB78B7">
              <w:t>Tenure type</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Other (please specify)</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29</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1.4%</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1.4%</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1.0%</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t>Household composition</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Couple/family without children at home</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667</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32.3%</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31.5%</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27.0%</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754007">
              <w:t>Household composition</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Couple/family with children at home</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612</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29.7%</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30.8%</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31.9%</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754007">
              <w:t>Household composition</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One parent family</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124</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6.0%</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5.7%</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11.3%</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754007">
              <w:t>Household composition</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Group household</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167</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8.1%</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8.0%</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4.3%</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754007">
              <w:t>Household composition</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Single person household</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426</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20.7%</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20.4%</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24.4%</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754007">
              <w:t>Household composition</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Cared accommodation (e.g. nursing home, aged care hostel)</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5</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0.2%</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0.2%</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754007">
              <w:t>Household composition</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Other</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61</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3.0%</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3.4%</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1.2%</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t>Income</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Less than $41,600 per year (less than $800 per week)</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528</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25.6%</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27.3%</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27.3%</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4047D1">
              <w:lastRenderedPageBreak/>
              <w:t>Income</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$41,600 - $78,000 per year ($800 - $1,500 per week)</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499</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24.2%</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22.1%</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22.1%</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4047D1">
              <w:t>Income</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$78,000 - $104,000 per year ($1,500 - $2,000 per week)</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353</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17.1%</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11.3%</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11.3%</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4047D1">
              <w:t>Income</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$104,000 - $156,000 per year ($2,000 - $3,000 per week)</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304</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14.7%</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16.0%</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16.0%</w:t>
            </w:r>
          </w:p>
        </w:tc>
      </w:tr>
      <w:tr w:rsidR="006932E3" w:rsidRPr="00B92BED" w:rsidTr="00BC2453">
        <w:trPr>
          <w:trHeight w:val="250"/>
        </w:trPr>
        <w:tc>
          <w:tcPr>
            <w:tcW w:w="184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jc w:val="left"/>
            </w:pPr>
            <w:r w:rsidRPr="004047D1">
              <w:t>Income</w:t>
            </w:r>
          </w:p>
        </w:tc>
        <w:tc>
          <w:tcPr>
            <w:tcW w:w="1843" w:type="dxa"/>
            <w:tcBorders>
              <w:top w:val="single" w:sz="8" w:space="0" w:color="FFFFFF" w:themeColor="background1"/>
              <w:bottom w:val="single" w:sz="8" w:space="0" w:color="FFFFFF" w:themeColor="background1"/>
            </w:tcBorders>
            <w:shd w:val="clear" w:color="auto" w:fill="E9E8E5" w:themeFill="background2"/>
          </w:tcPr>
          <w:p w:rsidR="006932E3" w:rsidRPr="00B92BED" w:rsidRDefault="006932E3" w:rsidP="006932E3">
            <w:pPr>
              <w:pStyle w:val="TableDataEntries"/>
              <w:jc w:val="left"/>
            </w:pPr>
            <w:r w:rsidRPr="00B92BED">
              <w:t>More than $156,000 per year (more than $3,000 per week)</w:t>
            </w:r>
          </w:p>
        </w:tc>
        <w:tc>
          <w:tcPr>
            <w:tcW w:w="1276"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186</w:t>
            </w:r>
          </w:p>
        </w:tc>
        <w:tc>
          <w:tcPr>
            <w:tcW w:w="1124"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9.0%</w:t>
            </w:r>
          </w:p>
        </w:tc>
        <w:tc>
          <w:tcPr>
            <w:tcW w:w="1107"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13.9%</w:t>
            </w:r>
          </w:p>
        </w:tc>
        <w:tc>
          <w:tcPr>
            <w:tcW w:w="963" w:type="dxa"/>
            <w:tcBorders>
              <w:top w:val="single" w:sz="8" w:space="0" w:color="FFFFFF" w:themeColor="background1"/>
              <w:bottom w:val="single" w:sz="8" w:space="0" w:color="FFFFFF" w:themeColor="background1"/>
            </w:tcBorders>
            <w:shd w:val="clear" w:color="auto" w:fill="E9E8E5" w:themeFill="background2"/>
            <w:noWrap/>
            <w:hideMark/>
          </w:tcPr>
          <w:p w:rsidR="006932E3" w:rsidRPr="00B92BED" w:rsidRDefault="006932E3" w:rsidP="006932E3">
            <w:pPr>
              <w:pStyle w:val="TableDataEntries"/>
            </w:pPr>
            <w:r w:rsidRPr="00B92BED">
              <w:t>13.9%</w:t>
            </w:r>
          </w:p>
        </w:tc>
      </w:tr>
      <w:tr w:rsidR="006932E3" w:rsidRPr="00B92BED" w:rsidTr="00BC2453">
        <w:trPr>
          <w:trHeight w:val="250"/>
        </w:trPr>
        <w:tc>
          <w:tcPr>
            <w:tcW w:w="1843" w:type="dxa"/>
            <w:tcBorders>
              <w:top w:val="single" w:sz="8" w:space="0" w:color="FFFFFF" w:themeColor="background1"/>
              <w:bottom w:val="single" w:sz="4" w:space="0" w:color="6F6652" w:themeColor="accent5"/>
            </w:tcBorders>
            <w:shd w:val="clear" w:color="auto" w:fill="E9E8E5" w:themeFill="background2"/>
            <w:noWrap/>
            <w:hideMark/>
          </w:tcPr>
          <w:p w:rsidR="006932E3" w:rsidRPr="00B92BED" w:rsidRDefault="006932E3" w:rsidP="006932E3">
            <w:pPr>
              <w:pStyle w:val="TableDataEntries"/>
              <w:jc w:val="left"/>
            </w:pPr>
            <w:r w:rsidRPr="004047D1">
              <w:t>Income</w:t>
            </w:r>
          </w:p>
        </w:tc>
        <w:tc>
          <w:tcPr>
            <w:tcW w:w="1843" w:type="dxa"/>
            <w:tcBorders>
              <w:top w:val="single" w:sz="8" w:space="0" w:color="FFFFFF" w:themeColor="background1"/>
              <w:bottom w:val="single" w:sz="4" w:space="0" w:color="6F6652" w:themeColor="accent5"/>
            </w:tcBorders>
            <w:shd w:val="clear" w:color="auto" w:fill="E9E8E5" w:themeFill="background2"/>
          </w:tcPr>
          <w:p w:rsidR="006932E3" w:rsidRPr="00B92BED" w:rsidRDefault="006932E3" w:rsidP="006932E3">
            <w:pPr>
              <w:pStyle w:val="TableDataEntries"/>
              <w:jc w:val="left"/>
            </w:pPr>
            <w:r w:rsidRPr="00B92BED">
              <w:t>Do not wish to answer</w:t>
            </w:r>
          </w:p>
        </w:tc>
        <w:tc>
          <w:tcPr>
            <w:tcW w:w="1276" w:type="dxa"/>
            <w:tcBorders>
              <w:top w:val="single" w:sz="8" w:space="0" w:color="FFFFFF" w:themeColor="background1"/>
              <w:bottom w:val="single" w:sz="4" w:space="0" w:color="6F6652" w:themeColor="accent5"/>
            </w:tcBorders>
            <w:shd w:val="clear" w:color="auto" w:fill="E9E8E5" w:themeFill="background2"/>
            <w:noWrap/>
            <w:hideMark/>
          </w:tcPr>
          <w:p w:rsidR="006932E3" w:rsidRPr="00B92BED" w:rsidRDefault="006932E3" w:rsidP="006932E3">
            <w:pPr>
              <w:pStyle w:val="TableDataEntries"/>
            </w:pPr>
            <w:r w:rsidRPr="00B92BED">
              <w:t>192</w:t>
            </w:r>
          </w:p>
        </w:tc>
        <w:tc>
          <w:tcPr>
            <w:tcW w:w="1124" w:type="dxa"/>
            <w:tcBorders>
              <w:top w:val="single" w:sz="8" w:space="0" w:color="FFFFFF" w:themeColor="background1"/>
              <w:bottom w:val="single" w:sz="4" w:space="0" w:color="6F6652" w:themeColor="accent5"/>
            </w:tcBorders>
            <w:shd w:val="clear" w:color="auto" w:fill="E9E8E5" w:themeFill="background2"/>
            <w:noWrap/>
            <w:hideMark/>
          </w:tcPr>
          <w:p w:rsidR="006932E3" w:rsidRPr="00B92BED" w:rsidRDefault="006932E3" w:rsidP="006932E3">
            <w:pPr>
              <w:pStyle w:val="TableDataEntries"/>
            </w:pPr>
            <w:r w:rsidRPr="00B92BED">
              <w:t>9.3%</w:t>
            </w:r>
          </w:p>
        </w:tc>
        <w:tc>
          <w:tcPr>
            <w:tcW w:w="1107" w:type="dxa"/>
            <w:tcBorders>
              <w:top w:val="single" w:sz="8" w:space="0" w:color="FFFFFF" w:themeColor="background1"/>
              <w:bottom w:val="single" w:sz="4" w:space="0" w:color="6F6652" w:themeColor="accent5"/>
            </w:tcBorders>
            <w:shd w:val="clear" w:color="auto" w:fill="E9E8E5" w:themeFill="background2"/>
            <w:noWrap/>
            <w:hideMark/>
          </w:tcPr>
          <w:p w:rsidR="006932E3" w:rsidRPr="00B92BED" w:rsidRDefault="006932E3" w:rsidP="006932E3">
            <w:pPr>
              <w:pStyle w:val="TableDataEntries"/>
            </w:pPr>
            <w:r w:rsidRPr="00B92BED">
              <w:t>9.3%</w:t>
            </w:r>
          </w:p>
        </w:tc>
        <w:tc>
          <w:tcPr>
            <w:tcW w:w="963" w:type="dxa"/>
            <w:tcBorders>
              <w:top w:val="single" w:sz="8" w:space="0" w:color="FFFFFF" w:themeColor="background1"/>
              <w:bottom w:val="single" w:sz="4" w:space="0" w:color="6F6652" w:themeColor="accent5"/>
            </w:tcBorders>
            <w:shd w:val="clear" w:color="auto" w:fill="E9E8E5" w:themeFill="background2"/>
            <w:noWrap/>
            <w:hideMark/>
          </w:tcPr>
          <w:p w:rsidR="006932E3" w:rsidRPr="00B92BED" w:rsidRDefault="006932E3" w:rsidP="006932E3">
            <w:pPr>
              <w:pStyle w:val="TableDataEntries"/>
            </w:pPr>
          </w:p>
        </w:tc>
      </w:tr>
    </w:tbl>
    <w:p w:rsidR="007C6A5F" w:rsidRPr="00E4232C" w:rsidRDefault="007C6A5F" w:rsidP="007C6A5F">
      <w:pPr>
        <w:pStyle w:val="Note"/>
      </w:pPr>
      <w:r w:rsidRPr="00A96B1A">
        <w:rPr>
          <w:rStyle w:val="NoteLabel"/>
          <w:color w:val="000000" w:themeColor="text1"/>
        </w:rPr>
        <w:t>a</w:t>
      </w:r>
      <w:r>
        <w:t xml:space="preserve"> Sample characteristic is gender, whereas population characteristic is sex</w:t>
      </w:r>
    </w:p>
    <w:p w:rsidR="007C6A5F" w:rsidRPr="00E4232C" w:rsidRDefault="007C6A5F" w:rsidP="007C6A5F">
      <w:pPr>
        <w:pStyle w:val="Note"/>
      </w:pPr>
      <w:r w:rsidRPr="00A96B1A">
        <w:rPr>
          <w:rStyle w:val="NoteLabel"/>
          <w:color w:val="000000" w:themeColor="text1"/>
        </w:rPr>
        <w:t>b</w:t>
      </w:r>
      <w:r>
        <w:t xml:space="preserve"> Income is household income, except for respondents in group households or cared accommodation. In those cases, income is personal income. Population targets are adjusted to account for this distinction and proportion of respondents not reporting income.</w:t>
      </w:r>
    </w:p>
    <w:p w:rsidR="007C6A5F" w:rsidRDefault="007C6A5F" w:rsidP="007C6A5F">
      <w:pPr>
        <w:pStyle w:val="Source"/>
        <w:rPr>
          <w:lang w:bidi="fa-IR"/>
        </w:rPr>
      </w:pPr>
      <w:r w:rsidRPr="00B92BED">
        <w:rPr>
          <w:i/>
          <w:lang w:bidi="fa-IR"/>
        </w:rPr>
        <w:t>Source:</w:t>
      </w:r>
      <w:r>
        <w:rPr>
          <w:lang w:bidi="fa-IR"/>
        </w:rPr>
        <w:t xml:space="preserve"> CIE</w:t>
      </w:r>
      <w:r w:rsidR="00DE71A3">
        <w:rPr>
          <w:lang w:bidi="fa-IR"/>
        </w:rPr>
        <w:t>.</w:t>
      </w:r>
    </w:p>
    <w:p w:rsidR="007C6A5F" w:rsidRDefault="007C6A5F" w:rsidP="007C6A5F">
      <w:pPr>
        <w:pStyle w:val="BodyText"/>
        <w:rPr>
          <w:lang w:bidi="fa-IR"/>
        </w:rPr>
      </w:pPr>
      <w:r>
        <w:rPr>
          <w:lang w:bidi="fa-IR"/>
        </w:rPr>
        <w:t>Roughly 30 per cent of respondents’ households included at least one person with a temporary or permanent mobility limitation.</w:t>
      </w:r>
    </w:p>
    <w:p w:rsidR="007C6A5F" w:rsidRDefault="007C6A5F" w:rsidP="007C6A5F">
      <w:pPr>
        <w:pStyle w:val="Caption"/>
      </w:pPr>
      <w:r w:rsidRPr="00BC2453">
        <w:fldChar w:fldCharType="begin"/>
      </w:r>
      <w:r w:rsidRPr="00BC2453">
        <w:instrText xml:space="preserve"> IF 1 = 1 "</w:instrText>
      </w:r>
      <w:r w:rsidRPr="00BC2453">
        <w:fldChar w:fldCharType="begin"/>
      </w:r>
      <w:r w:rsidRPr="00BC2453">
        <w:instrText xml:space="preserve"> IF </w:instrText>
      </w:r>
      <w:r w:rsidRPr="00BC2453">
        <w:rPr>
          <w:noProof/>
        </w:rPr>
        <w:fldChar w:fldCharType="begin"/>
      </w:r>
      <w:r w:rsidRPr="00BC2453">
        <w:rPr>
          <w:noProof/>
        </w:rPr>
        <w:instrText xml:space="preserve"> STYLEREF "Heading 6" \l \n </w:instrText>
      </w:r>
      <w:r w:rsidRPr="00BC2453">
        <w:rPr>
          <w:noProof/>
        </w:rPr>
        <w:fldChar w:fldCharType="separate"/>
      </w:r>
      <w:r w:rsidRPr="00BC2453">
        <w:rPr>
          <w:noProof/>
        </w:rPr>
        <w:instrText>K</w:instrText>
      </w:r>
      <w:r w:rsidRPr="00BC2453">
        <w:rPr>
          <w:noProof/>
        </w:rPr>
        <w:fldChar w:fldCharType="end"/>
      </w:r>
      <w:r w:rsidRPr="00BC2453">
        <w:instrText xml:space="preserve"> = 0 "</w:instrText>
      </w:r>
      <w:r w:rsidRPr="00BC2453">
        <w:fldChar w:fldCharType="begin"/>
      </w:r>
      <w:r w:rsidRPr="00BC2453">
        <w:instrText xml:space="preserve"> IF </w:instrText>
      </w:r>
      <w:r w:rsidRPr="00BC2453">
        <w:rPr>
          <w:noProof/>
        </w:rPr>
        <w:fldChar w:fldCharType="begin"/>
      </w:r>
      <w:r w:rsidRPr="00BC2453">
        <w:rPr>
          <w:noProof/>
        </w:rPr>
        <w:instrText xml:space="preserve"> STYLEREF "Heading 1" \l \n </w:instrText>
      </w:r>
      <w:r w:rsidRPr="00BC2453">
        <w:rPr>
          <w:noProof/>
        </w:rPr>
        <w:fldChar w:fldCharType="separate"/>
      </w:r>
      <w:r w:rsidRPr="00BC2453">
        <w:rPr>
          <w:noProof/>
        </w:rPr>
        <w:instrText>0</w:instrText>
      </w:r>
      <w:r w:rsidRPr="00BC2453">
        <w:rPr>
          <w:noProof/>
        </w:rPr>
        <w:fldChar w:fldCharType="end"/>
      </w:r>
      <w:r w:rsidRPr="00BC2453">
        <w:instrText xml:space="preserve"> = 0 "" "</w:instrText>
      </w:r>
      <w:r w:rsidRPr="00BC2453">
        <w:rPr>
          <w:noProof/>
        </w:rPr>
        <w:fldChar w:fldCharType="begin"/>
      </w:r>
      <w:r w:rsidRPr="00BC2453">
        <w:rPr>
          <w:noProof/>
        </w:rPr>
        <w:instrText xml:space="preserve"> STYLEREF "Heading 1" \l \n </w:instrText>
      </w:r>
      <w:r w:rsidRPr="00BC2453">
        <w:rPr>
          <w:noProof/>
        </w:rPr>
        <w:fldChar w:fldCharType="separate"/>
      </w:r>
      <w:r w:rsidRPr="00BC2453">
        <w:rPr>
          <w:noProof/>
        </w:rPr>
        <w:instrText>2</w:instrText>
      </w:r>
      <w:r w:rsidRPr="00BC2453">
        <w:rPr>
          <w:noProof/>
        </w:rPr>
        <w:fldChar w:fldCharType="end"/>
      </w:r>
      <w:r w:rsidRPr="00BC2453">
        <w:instrText xml:space="preserve">." </w:instrText>
      </w:r>
      <w:r w:rsidRPr="00BC2453">
        <w:fldChar w:fldCharType="end"/>
      </w:r>
      <w:r w:rsidRPr="00BC2453">
        <w:instrText>" "</w:instrText>
      </w:r>
      <w:r w:rsidRPr="00BC2453">
        <w:rPr>
          <w:noProof/>
        </w:rPr>
        <w:fldChar w:fldCharType="begin"/>
      </w:r>
      <w:r w:rsidRPr="00BC2453">
        <w:rPr>
          <w:noProof/>
        </w:rPr>
        <w:instrText xml:space="preserve"> STYLEREF "Heading 6" \l \n </w:instrText>
      </w:r>
      <w:r w:rsidRPr="00BC2453">
        <w:rPr>
          <w:noProof/>
        </w:rPr>
        <w:fldChar w:fldCharType="separate"/>
      </w:r>
      <w:r w:rsidRPr="00BC2453">
        <w:rPr>
          <w:noProof/>
        </w:rPr>
        <w:instrText>K</w:instrText>
      </w:r>
      <w:r w:rsidRPr="00BC2453">
        <w:rPr>
          <w:noProof/>
        </w:rPr>
        <w:fldChar w:fldCharType="end"/>
      </w:r>
      <w:r w:rsidRPr="00BC2453">
        <w:instrText xml:space="preserve">." </w:instrText>
      </w:r>
      <w:r w:rsidRPr="00BC2453">
        <w:fldChar w:fldCharType="separate"/>
      </w:r>
      <w:r w:rsidRPr="00BC2453">
        <w:rPr>
          <w:noProof/>
        </w:rPr>
        <w:instrText>K.</w:instrText>
      </w:r>
      <w:r w:rsidRPr="00BC2453">
        <w:fldChar w:fldCharType="end"/>
      </w:r>
      <w:r w:rsidRPr="00BC2453">
        <w:fldChar w:fldCharType="begin"/>
      </w:r>
      <w:r w:rsidRPr="00BC2453">
        <w:instrText xml:space="preserve"> SEQ Item \* ARABIC \s </w:instrText>
      </w:r>
      <w:r w:rsidRPr="00BC2453">
        <w:fldChar w:fldCharType="begin"/>
      </w:r>
      <w:r w:rsidRPr="00BC2453">
        <w:instrText xml:space="preserve"> IF </w:instrText>
      </w:r>
      <w:r w:rsidRPr="00BC2453">
        <w:rPr>
          <w:noProof/>
        </w:rPr>
        <w:fldChar w:fldCharType="begin"/>
      </w:r>
      <w:r w:rsidRPr="00BC2453">
        <w:rPr>
          <w:noProof/>
        </w:rPr>
        <w:instrText xml:space="preserve"> STYLEREF "Heading 6" \l \n </w:instrText>
      </w:r>
      <w:r w:rsidRPr="00BC2453">
        <w:rPr>
          <w:noProof/>
        </w:rPr>
        <w:fldChar w:fldCharType="separate"/>
      </w:r>
      <w:r w:rsidRPr="00BC2453">
        <w:rPr>
          <w:noProof/>
        </w:rPr>
        <w:instrText>K</w:instrText>
      </w:r>
      <w:r w:rsidRPr="00BC2453">
        <w:rPr>
          <w:noProof/>
        </w:rPr>
        <w:fldChar w:fldCharType="end"/>
      </w:r>
      <w:r w:rsidRPr="00BC2453">
        <w:instrText xml:space="preserve"> = 0 "</w:instrText>
      </w:r>
      <w:r w:rsidRPr="00BC2453">
        <w:fldChar w:fldCharType="begin"/>
      </w:r>
      <w:r w:rsidRPr="00BC2453">
        <w:instrText xml:space="preserve"> IF </w:instrText>
      </w:r>
      <w:r w:rsidRPr="00BC2453">
        <w:rPr>
          <w:noProof/>
        </w:rPr>
        <w:fldChar w:fldCharType="begin"/>
      </w:r>
      <w:r w:rsidRPr="00BC2453">
        <w:rPr>
          <w:noProof/>
        </w:rPr>
        <w:instrText xml:space="preserve"> STYLEREF "Heading 1" \l \n </w:instrText>
      </w:r>
      <w:r w:rsidRPr="00BC2453">
        <w:rPr>
          <w:noProof/>
        </w:rPr>
        <w:fldChar w:fldCharType="separate"/>
      </w:r>
      <w:r w:rsidRPr="00BC2453">
        <w:rPr>
          <w:noProof/>
        </w:rPr>
        <w:instrText>0</w:instrText>
      </w:r>
      <w:r w:rsidRPr="00BC2453">
        <w:rPr>
          <w:noProof/>
        </w:rPr>
        <w:fldChar w:fldCharType="end"/>
      </w:r>
      <w:r w:rsidRPr="00BC2453">
        <w:instrText xml:space="preserve"> = 0 "" "1" </w:instrText>
      </w:r>
      <w:r w:rsidRPr="00BC2453">
        <w:fldChar w:fldCharType="end"/>
      </w:r>
      <w:r w:rsidRPr="00BC2453">
        <w:instrText xml:space="preserve">" "6" </w:instrText>
      </w:r>
      <w:r w:rsidRPr="00BC2453">
        <w:fldChar w:fldCharType="separate"/>
      </w:r>
      <w:r w:rsidRPr="00BC2453">
        <w:rPr>
          <w:noProof/>
        </w:rPr>
        <w:instrText>6</w:instrText>
      </w:r>
      <w:r w:rsidRPr="00BC2453">
        <w:fldChar w:fldCharType="end"/>
      </w:r>
      <w:r w:rsidRPr="00BC2453">
        <w:instrText xml:space="preserve"> </w:instrText>
      </w:r>
      <w:r w:rsidRPr="00BC2453">
        <w:fldChar w:fldCharType="separate"/>
      </w:r>
      <w:r w:rsidRPr="00BC2453">
        <w:rPr>
          <w:noProof/>
        </w:rPr>
        <w:instrText>5</w:instrText>
      </w:r>
      <w:r w:rsidRPr="00BC2453">
        <w:fldChar w:fldCharType="end"/>
      </w:r>
      <w:r w:rsidRPr="00BC2453">
        <w:instrText xml:space="preserve">" "" </w:instrText>
      </w:r>
      <w:r w:rsidRPr="00BC2453">
        <w:fldChar w:fldCharType="separate"/>
      </w:r>
      <w:bookmarkStart w:id="9046" w:name="_Caption5556"/>
      <w:bookmarkStart w:id="9047" w:name="_Caption7633"/>
      <w:bookmarkStart w:id="9048" w:name="_Caption5185"/>
      <w:bookmarkStart w:id="9049" w:name="_Caption2395"/>
      <w:bookmarkStart w:id="9050" w:name="_Caption3562"/>
      <w:bookmarkStart w:id="9051" w:name="_Caption5945"/>
      <w:bookmarkStart w:id="9052" w:name="_Caption7390"/>
      <w:bookmarkStart w:id="9053" w:name="_Caption5328"/>
      <w:bookmarkStart w:id="9054" w:name="_Caption5435"/>
      <w:bookmarkStart w:id="9055" w:name="_Caption2717"/>
      <w:bookmarkStart w:id="9056" w:name="_Caption7244"/>
      <w:bookmarkStart w:id="9057" w:name="_Caption3330"/>
      <w:bookmarkStart w:id="9058" w:name="_Caption5568"/>
      <w:bookmarkStart w:id="9059" w:name="_Caption2640"/>
      <w:bookmarkStart w:id="9060" w:name="_Caption0244"/>
      <w:bookmarkStart w:id="9061" w:name="_Caption9198"/>
      <w:bookmarkStart w:id="9062" w:name="_Caption1948"/>
      <w:bookmarkStart w:id="9063" w:name="_Caption7160"/>
      <w:bookmarkStart w:id="9064" w:name="_Caption4325"/>
      <w:bookmarkStart w:id="9065" w:name="_Caption6791"/>
      <w:bookmarkStart w:id="9066" w:name="_Caption0367"/>
      <w:bookmarkStart w:id="9067" w:name="_Caption8911"/>
      <w:bookmarkStart w:id="9068" w:name="_Caption1193"/>
      <w:bookmarkStart w:id="9069" w:name="_Caption2513"/>
      <w:bookmarkStart w:id="9070" w:name="_Caption3793"/>
      <w:bookmarkStart w:id="9071" w:name="_Caption7247"/>
      <w:bookmarkStart w:id="9072" w:name="_Caption1509"/>
      <w:bookmarkStart w:id="9073" w:name="_Caption9732"/>
      <w:bookmarkStart w:id="9074" w:name="_Caption7785"/>
      <w:bookmarkStart w:id="9075" w:name="_Caption8521"/>
      <w:bookmarkStart w:id="9076" w:name="_Caption3162"/>
      <w:bookmarkStart w:id="9077" w:name="_Caption4963"/>
      <w:bookmarkStart w:id="9078" w:name="_Caption6456"/>
      <w:bookmarkStart w:id="9079" w:name="_Caption1761"/>
      <w:bookmarkStart w:id="9080" w:name="_Caption7684"/>
      <w:bookmarkStart w:id="9081" w:name="_Caption8610"/>
      <w:bookmarkStart w:id="9082" w:name="_Caption5845"/>
      <w:bookmarkStart w:id="9083" w:name="_Caption9872"/>
      <w:bookmarkStart w:id="9084" w:name="_Caption3971"/>
      <w:bookmarkStart w:id="9085" w:name="_Caption8096"/>
      <w:bookmarkStart w:id="9086" w:name="_Caption2614"/>
      <w:bookmarkStart w:id="9087" w:name="_Caption6202"/>
      <w:bookmarkStart w:id="9088" w:name="_Caption8513"/>
      <w:bookmarkStart w:id="9089" w:name="_Caption6085"/>
      <w:bookmarkStart w:id="9090" w:name="_Caption8718"/>
      <w:bookmarkStart w:id="9091" w:name="_Caption9078"/>
      <w:bookmarkStart w:id="9092" w:name="_Caption1787"/>
      <w:bookmarkStart w:id="9093" w:name="_Caption6860"/>
      <w:bookmarkStart w:id="9094" w:name="_Caption3327"/>
      <w:bookmarkStart w:id="9095" w:name="_Caption1875"/>
      <w:bookmarkStart w:id="9096" w:name="_Caption1820"/>
      <w:bookmarkStart w:id="9097" w:name="_Caption6886"/>
      <w:bookmarkStart w:id="9098" w:name="_Caption5854"/>
      <w:bookmarkStart w:id="9099" w:name="_Caption0470"/>
      <w:bookmarkStart w:id="9100" w:name="_Caption1797"/>
      <w:bookmarkStart w:id="9101" w:name="_Caption8250"/>
      <w:bookmarkStart w:id="9102" w:name="_Caption0079"/>
      <w:bookmarkStart w:id="9103" w:name="_Caption6489"/>
      <w:bookmarkStart w:id="9104" w:name="_Caption3300"/>
      <w:bookmarkStart w:id="9105" w:name="_Caption1096"/>
      <w:bookmarkStart w:id="9106" w:name="_Caption1019"/>
      <w:bookmarkStart w:id="9107" w:name="_Caption5431"/>
      <w:bookmarkStart w:id="9108" w:name="_Caption6026"/>
      <w:bookmarkStart w:id="9109" w:name="_Caption7876"/>
      <w:bookmarkStart w:id="9110" w:name="_Caption1157"/>
      <w:bookmarkStart w:id="9111" w:name="_Caption9072"/>
      <w:bookmarkStart w:id="9112" w:name="_Caption3635"/>
      <w:bookmarkStart w:id="9113" w:name="_Caption5888"/>
      <w:bookmarkStart w:id="9114" w:name="_Caption6071"/>
      <w:bookmarkStart w:id="9115" w:name="_Caption6170"/>
      <w:bookmarkStart w:id="9116" w:name="_Caption8571"/>
      <w:bookmarkStart w:id="9117" w:name="_Caption2430"/>
      <w:bookmarkStart w:id="9118" w:name="_Caption7222"/>
      <w:bookmarkStart w:id="9119" w:name="_Caption2407"/>
      <w:bookmarkStart w:id="9120" w:name="_Caption4719"/>
      <w:bookmarkStart w:id="9121" w:name="_Caption8102"/>
      <w:bookmarkStart w:id="9122" w:name="_Caption4831"/>
      <w:bookmarkStart w:id="9123" w:name="_Caption4894"/>
      <w:bookmarkStart w:id="9124" w:name="_Caption6561"/>
      <w:bookmarkStart w:id="9125" w:name="_Caption8577"/>
      <w:bookmarkStart w:id="9126" w:name="_Caption1795"/>
      <w:bookmarkStart w:id="9127" w:name="_Caption4801"/>
      <w:bookmarkStart w:id="9128" w:name="_Caption9110"/>
      <w:bookmarkStart w:id="9129" w:name="_Caption0353"/>
      <w:bookmarkStart w:id="9130" w:name="_Caption6003"/>
      <w:bookmarkStart w:id="9131" w:name="_Caption4828"/>
      <w:bookmarkStart w:id="9132" w:name="_Caption7892"/>
      <w:bookmarkStart w:id="9133" w:name="_Caption8256"/>
      <w:bookmarkStart w:id="9134" w:name="_Caption7343"/>
      <w:bookmarkStart w:id="9135" w:name="_Caption3938"/>
      <w:bookmarkStart w:id="9136" w:name="_Caption2992"/>
      <w:bookmarkStart w:id="9137" w:name="_Caption0701"/>
      <w:bookmarkStart w:id="9138" w:name="_Caption1562"/>
      <w:bookmarkStart w:id="9139" w:name="_Toc32321929"/>
      <w:bookmarkStart w:id="9140" w:name="_Toc44598635"/>
      <w:bookmarkStart w:id="9141" w:name="_Toc45654266"/>
      <w:r w:rsidR="00272AF3" w:rsidRPr="00BC2453">
        <w:rPr>
          <w:noProof/>
        </w:rPr>
        <w:t>K.5</w:t>
      </w:r>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r w:rsidRPr="00BC2453">
        <w:fldChar w:fldCharType="end"/>
      </w:r>
      <w:r w:rsidRPr="00BC2453">
        <w:tab/>
        <w:t>Mobility limitation characteristics</w:t>
      </w:r>
      <w:bookmarkEnd w:id="9139"/>
      <w:bookmarkEnd w:id="9140"/>
      <w:bookmarkEnd w:id="9141"/>
    </w:p>
    <w:tbl>
      <w:tblPr>
        <w:tblStyle w:val="TableGridLight"/>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5"/>
        <w:tblDescription w:val="Mobility limitation characteristics"/>
      </w:tblPr>
      <w:tblGrid>
        <w:gridCol w:w="851"/>
        <w:gridCol w:w="5606"/>
        <w:gridCol w:w="1623"/>
      </w:tblGrid>
      <w:tr w:rsidR="00BC2453" w:rsidRPr="003F6908" w:rsidTr="003E0249">
        <w:trPr>
          <w:trHeight w:val="68"/>
          <w:tblHeader/>
        </w:trPr>
        <w:tc>
          <w:tcPr>
            <w:tcW w:w="851" w:type="dxa"/>
            <w:shd w:val="clear" w:color="auto" w:fill="6F6652" w:themeFill="accent5"/>
            <w:hideMark/>
          </w:tcPr>
          <w:p w:rsidR="00BC2453" w:rsidRPr="003F6908" w:rsidRDefault="003E0249" w:rsidP="00C36DA4">
            <w:pPr>
              <w:pStyle w:val="TableDataColumnHeading"/>
              <w:jc w:val="left"/>
            </w:pPr>
            <w:r>
              <w:t>Question</w:t>
            </w:r>
          </w:p>
        </w:tc>
        <w:tc>
          <w:tcPr>
            <w:tcW w:w="5606" w:type="dxa"/>
            <w:shd w:val="clear" w:color="auto" w:fill="6F6652" w:themeFill="accent5"/>
          </w:tcPr>
          <w:p w:rsidR="00BC2453" w:rsidRPr="003F6908" w:rsidRDefault="003E0249" w:rsidP="00C36DA4">
            <w:pPr>
              <w:pStyle w:val="TableDataColumnHeading"/>
              <w:jc w:val="left"/>
            </w:pPr>
            <w:r>
              <w:t>Answer</w:t>
            </w:r>
          </w:p>
        </w:tc>
        <w:tc>
          <w:tcPr>
            <w:tcW w:w="1623" w:type="dxa"/>
            <w:shd w:val="clear" w:color="auto" w:fill="6F6652" w:themeFill="accent5"/>
            <w:hideMark/>
          </w:tcPr>
          <w:p w:rsidR="00BC2453" w:rsidRDefault="00BC2453" w:rsidP="00C36DA4">
            <w:pPr>
              <w:pStyle w:val="TableDataColumnHeading"/>
            </w:pPr>
            <w:r w:rsidRPr="003F6908">
              <w:t>Reweighted sample</w:t>
            </w:r>
          </w:p>
          <w:p w:rsidR="00BC2453" w:rsidRPr="003F6908" w:rsidRDefault="00BC2453" w:rsidP="00C36DA4">
            <w:pPr>
              <w:pStyle w:val="TableDataColumnHeading"/>
            </w:pPr>
            <w:r>
              <w:t>(per cent)</w:t>
            </w:r>
          </w:p>
        </w:tc>
      </w:tr>
      <w:tr w:rsidR="003E0249" w:rsidRPr="003F6908" w:rsidTr="003E0249">
        <w:trPr>
          <w:trHeight w:val="48"/>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t>Q1</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Yes, I have a temporary (fewer than 6 months) mobility limitation</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4.6%</w:t>
            </w:r>
          </w:p>
        </w:tc>
      </w:tr>
      <w:tr w:rsidR="003E0249" w:rsidRPr="003F6908" w:rsidTr="003E0249">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DD2826">
              <w:t>Q1</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Yes, I have an ongoing mobility limitation</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11.9%</w:t>
            </w:r>
          </w:p>
        </w:tc>
      </w:tr>
      <w:tr w:rsidR="003E0249" w:rsidRPr="003F6908" w:rsidTr="003E0249">
        <w:trPr>
          <w:trHeight w:val="48"/>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DD2826">
              <w:t>Q1</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Yes, another person in my household has a temporary (fewer than 6 months) mobility limitation</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6.5%</w:t>
            </w:r>
          </w:p>
        </w:tc>
      </w:tr>
      <w:tr w:rsidR="003E0249" w:rsidRPr="003F6908" w:rsidTr="003E0249">
        <w:trPr>
          <w:trHeight w:val="48"/>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DD2826">
              <w:t>Q1</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Yes, another person in my household has an ongoing mobility limitation</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11.8%</w:t>
            </w:r>
          </w:p>
        </w:tc>
      </w:tr>
      <w:tr w:rsidR="003E0249" w:rsidRPr="003F6908" w:rsidTr="003E0249">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DD2826">
              <w:t>Q1</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No</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69.5%</w:t>
            </w:r>
          </w:p>
        </w:tc>
      </w:tr>
      <w:tr w:rsidR="003E0249" w:rsidRPr="003F6908" w:rsidTr="003E0249">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DD2826">
              <w:t>Q1</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Prefer not to say</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0.9%</w:t>
            </w:r>
          </w:p>
        </w:tc>
      </w:tr>
      <w:tr w:rsidR="003E0249" w:rsidRPr="003F6908" w:rsidTr="003E0249">
        <w:trPr>
          <w:trHeight w:val="48"/>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t>Q2</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Yes, I have a temporary (fewer than 6 months) personal care limitation</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3.5%</w:t>
            </w:r>
          </w:p>
        </w:tc>
      </w:tr>
      <w:tr w:rsidR="003E0249" w:rsidRPr="003F6908" w:rsidTr="003E0249">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E34F76">
              <w:t>Q2</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Yes, I have an ongoing personal care limitation</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8.7%</w:t>
            </w:r>
          </w:p>
        </w:tc>
      </w:tr>
      <w:tr w:rsidR="003E0249" w:rsidRPr="003F6908" w:rsidTr="003E0249">
        <w:trPr>
          <w:trHeight w:val="353"/>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E34F76">
              <w:t>Q2</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Yes, another person in my household has a temporary (fewer than 6 months) pe</w:t>
            </w:r>
            <w:r>
              <w:t>rsonal care limitation</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5.5%</w:t>
            </w:r>
          </w:p>
        </w:tc>
      </w:tr>
      <w:tr w:rsidR="003E0249" w:rsidRPr="003F6908" w:rsidTr="003E0249">
        <w:trPr>
          <w:trHeight w:val="48"/>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E34F76">
              <w:t>Q2</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Yes, another person in my household has an ongoing personal care limitation</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9.2%</w:t>
            </w:r>
          </w:p>
        </w:tc>
      </w:tr>
      <w:tr w:rsidR="003E0249" w:rsidRPr="003F6908" w:rsidTr="003E0249">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0F1D1C">
              <w:t>Q2</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No</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76.3%</w:t>
            </w:r>
          </w:p>
        </w:tc>
      </w:tr>
      <w:tr w:rsidR="003E0249" w:rsidRPr="003F6908" w:rsidTr="003E0249">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0F1D1C">
              <w:t>Q2</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Prefer not to say</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1.2%</w:t>
            </w:r>
          </w:p>
        </w:tc>
      </w:tr>
      <w:tr w:rsidR="003E0249" w:rsidRPr="003F6908" w:rsidTr="003E0249">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t>Q3</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Cane</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6.0%</w:t>
            </w:r>
          </w:p>
        </w:tc>
      </w:tr>
      <w:tr w:rsidR="003E0249" w:rsidRPr="003F6908" w:rsidTr="003E0249">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DB1AE2">
              <w:t>Q3</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Crutches</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6.3%</w:t>
            </w:r>
          </w:p>
        </w:tc>
      </w:tr>
      <w:tr w:rsidR="003E0249" w:rsidRPr="003F6908" w:rsidTr="003E0249">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DB1AE2">
              <w:t>Q3</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Walking frame</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9.1%</w:t>
            </w:r>
          </w:p>
        </w:tc>
      </w:tr>
      <w:tr w:rsidR="003E0249" w:rsidRPr="003F6908" w:rsidTr="003E0249">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DB1AE2">
              <w:t>Q3</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Walking stick</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10.6%</w:t>
            </w:r>
          </w:p>
        </w:tc>
      </w:tr>
      <w:tr w:rsidR="003E0249" w:rsidRPr="003F6908" w:rsidTr="003E0249">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DB1AE2">
              <w:t>Q3</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Wheelchair (manual)</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4.7%</w:t>
            </w:r>
          </w:p>
        </w:tc>
      </w:tr>
      <w:tr w:rsidR="003E0249" w:rsidRPr="003F6908" w:rsidTr="003E0249">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DB1AE2">
              <w:t>Q3</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Wheelchair (electric)</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3.1%</w:t>
            </w:r>
          </w:p>
        </w:tc>
      </w:tr>
      <w:tr w:rsidR="003E0249" w:rsidRPr="003F6908" w:rsidTr="003E0249">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DB1AE2">
              <w:lastRenderedPageBreak/>
              <w:t>Q3</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Scooter/gopher</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2.9%</w:t>
            </w:r>
          </w:p>
        </w:tc>
      </w:tr>
      <w:tr w:rsidR="003E0249" w:rsidRPr="003F6908" w:rsidTr="003E0249">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DB1AE2">
              <w:t>Q3</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Modified car or car aid</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2.5%</w:t>
            </w:r>
          </w:p>
        </w:tc>
      </w:tr>
      <w:tr w:rsidR="003E0249" w:rsidRPr="003F6908" w:rsidTr="003E0249">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DB1AE2">
              <w:t>Q3</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Other</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3.1%</w:t>
            </w:r>
          </w:p>
        </w:tc>
      </w:tr>
      <w:tr w:rsidR="003E0249" w:rsidRPr="003F6908" w:rsidTr="003E0249">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DB1AE2">
              <w:t>Q3</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None</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3.3%</w:t>
            </w:r>
          </w:p>
        </w:tc>
      </w:tr>
      <w:tr w:rsidR="003E0249" w:rsidRPr="003F6908" w:rsidTr="003E0249">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DB1AE2">
              <w:t>Q3</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Prefer not to say</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0.2%</w:t>
            </w:r>
          </w:p>
        </w:tc>
      </w:tr>
      <w:tr w:rsidR="003E0249" w:rsidRPr="003F6908" w:rsidTr="003E0249">
        <w:trPr>
          <w:trHeight w:val="48"/>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t>Q4</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Has no difficulty moving around with the use of a mobility aid, but cannot easily walk 200 metres, cannot use stairs wit</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12.4%</w:t>
            </w:r>
          </w:p>
        </w:tc>
      </w:tr>
      <w:tr w:rsidR="003E0249" w:rsidRPr="003F6908" w:rsidTr="003E0249">
        <w:trPr>
          <w:trHeight w:val="51"/>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4F0CA2">
              <w:t>Q4</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Has difficulty moving around, even with the use of a mobility aid, but doesn't need assistance from a carer</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8.1%</w:t>
            </w:r>
          </w:p>
        </w:tc>
      </w:tr>
      <w:tr w:rsidR="003E0249" w:rsidRPr="003F6908" w:rsidTr="003E0249">
        <w:trPr>
          <w:trHeight w:val="48"/>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4F0CA2">
              <w:t>Q4</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Sometimes needs assistance from a carer to move around, even with the use of a mobility aid</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6.3%</w:t>
            </w:r>
          </w:p>
        </w:tc>
      </w:tr>
      <w:tr w:rsidR="003E0249" w:rsidRPr="003F6908" w:rsidTr="003E0249">
        <w:trPr>
          <w:trHeight w:val="48"/>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4F0CA2">
              <w:t>Q4</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Always needs assistance from a carer to move around, even with the use of a mobility aid</w:t>
            </w:r>
          </w:p>
        </w:tc>
        <w:tc>
          <w:tcPr>
            <w:tcW w:w="1623"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2.3%</w:t>
            </w:r>
          </w:p>
        </w:tc>
      </w:tr>
      <w:tr w:rsidR="003E0249" w:rsidRPr="003F6908" w:rsidTr="003E0249">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4F0CA2">
              <w:t>Q4</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Prefer not to say</w:t>
            </w:r>
          </w:p>
        </w:tc>
        <w:tc>
          <w:tcPr>
            <w:tcW w:w="1623"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pPr>
            <w:r w:rsidRPr="003F6908">
              <w:t>0.4%</w:t>
            </w:r>
          </w:p>
        </w:tc>
      </w:tr>
      <w:tr w:rsidR="003E0249" w:rsidRPr="003F6908" w:rsidTr="003E0249">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A33EE9" w:rsidRDefault="003E0249" w:rsidP="003E0249">
            <w:pPr>
              <w:pStyle w:val="TableDataEntries"/>
              <w:jc w:val="left"/>
            </w:pPr>
            <w:r>
              <w:t>Q5</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A33EE9" w:rsidRDefault="003E0249" w:rsidP="003E0249">
            <w:pPr>
              <w:pStyle w:val="TableDataEntries"/>
              <w:jc w:val="left"/>
            </w:pPr>
            <w:r w:rsidRPr="00A33EE9">
              <w:t>Yes</w:t>
            </w:r>
          </w:p>
        </w:tc>
        <w:tc>
          <w:tcPr>
            <w:tcW w:w="1623" w:type="dxa"/>
            <w:tcBorders>
              <w:top w:val="single" w:sz="8" w:space="0" w:color="FFFFFF" w:themeColor="background1"/>
              <w:bottom w:val="single" w:sz="8" w:space="0" w:color="FFFFFF" w:themeColor="background1"/>
            </w:tcBorders>
            <w:shd w:val="clear" w:color="auto" w:fill="E9E8E5" w:themeFill="background2"/>
          </w:tcPr>
          <w:p w:rsidR="003E0249" w:rsidRPr="00A33EE9" w:rsidRDefault="003E0249" w:rsidP="003E0249">
            <w:pPr>
              <w:pStyle w:val="TableDataEntries"/>
            </w:pPr>
            <w:r w:rsidRPr="00A33EE9">
              <w:t>29.6%</w:t>
            </w:r>
          </w:p>
        </w:tc>
      </w:tr>
      <w:tr w:rsidR="003E0249" w:rsidRPr="003F6908" w:rsidTr="003E0249">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A33EE9" w:rsidRDefault="003E0249" w:rsidP="003E0249">
            <w:pPr>
              <w:pStyle w:val="TableDataEntries"/>
              <w:jc w:val="left"/>
            </w:pPr>
            <w:r w:rsidRPr="002243AC">
              <w:t>Q5</w:t>
            </w:r>
          </w:p>
        </w:tc>
        <w:tc>
          <w:tcPr>
            <w:tcW w:w="5606" w:type="dxa"/>
            <w:tcBorders>
              <w:top w:val="single" w:sz="8" w:space="0" w:color="FFFFFF" w:themeColor="background1"/>
              <w:bottom w:val="single" w:sz="8" w:space="0" w:color="FFFFFF" w:themeColor="background1"/>
            </w:tcBorders>
            <w:shd w:val="clear" w:color="auto" w:fill="E9E8E5" w:themeFill="background2"/>
          </w:tcPr>
          <w:p w:rsidR="003E0249" w:rsidRPr="00A33EE9" w:rsidRDefault="003E0249" w:rsidP="003E0249">
            <w:pPr>
              <w:pStyle w:val="TableDataEntries"/>
              <w:jc w:val="left"/>
            </w:pPr>
            <w:r w:rsidRPr="00A33EE9">
              <w:t>No</w:t>
            </w:r>
          </w:p>
        </w:tc>
        <w:tc>
          <w:tcPr>
            <w:tcW w:w="1623" w:type="dxa"/>
            <w:tcBorders>
              <w:top w:val="single" w:sz="8" w:space="0" w:color="FFFFFF" w:themeColor="background1"/>
              <w:bottom w:val="single" w:sz="8" w:space="0" w:color="FFFFFF" w:themeColor="background1"/>
            </w:tcBorders>
            <w:shd w:val="clear" w:color="auto" w:fill="E9E8E5" w:themeFill="background2"/>
          </w:tcPr>
          <w:p w:rsidR="003E0249" w:rsidRPr="00A33EE9" w:rsidRDefault="003E0249" w:rsidP="003E0249">
            <w:pPr>
              <w:pStyle w:val="TableDataEntries"/>
            </w:pPr>
            <w:r w:rsidRPr="00A33EE9">
              <w:t>63.8%</w:t>
            </w:r>
          </w:p>
        </w:tc>
      </w:tr>
      <w:tr w:rsidR="003E0249" w:rsidRPr="003F6908" w:rsidTr="003E0249">
        <w:trPr>
          <w:trHeight w:val="300"/>
        </w:trPr>
        <w:tc>
          <w:tcPr>
            <w:tcW w:w="851" w:type="dxa"/>
            <w:tcBorders>
              <w:top w:val="single" w:sz="8" w:space="0" w:color="FFFFFF" w:themeColor="background1"/>
              <w:bottom w:val="single" w:sz="4" w:space="0" w:color="6F6652" w:themeColor="accent5"/>
            </w:tcBorders>
            <w:shd w:val="clear" w:color="auto" w:fill="E9E8E5" w:themeFill="background2"/>
          </w:tcPr>
          <w:p w:rsidR="003E0249" w:rsidRPr="00A33EE9" w:rsidRDefault="003E0249" w:rsidP="003E0249">
            <w:pPr>
              <w:pStyle w:val="TableDataEntries"/>
              <w:jc w:val="left"/>
            </w:pPr>
            <w:r w:rsidRPr="002243AC">
              <w:t>Q5</w:t>
            </w:r>
          </w:p>
        </w:tc>
        <w:tc>
          <w:tcPr>
            <w:tcW w:w="5606" w:type="dxa"/>
            <w:tcBorders>
              <w:top w:val="single" w:sz="8" w:space="0" w:color="FFFFFF" w:themeColor="background1"/>
              <w:bottom w:val="single" w:sz="4" w:space="0" w:color="6F6652" w:themeColor="accent5"/>
            </w:tcBorders>
            <w:shd w:val="clear" w:color="auto" w:fill="E9E8E5" w:themeFill="background2"/>
          </w:tcPr>
          <w:p w:rsidR="003E0249" w:rsidRPr="00A33EE9" w:rsidRDefault="003E0249" w:rsidP="003E0249">
            <w:pPr>
              <w:pStyle w:val="TableDataEntries"/>
              <w:jc w:val="left"/>
            </w:pPr>
            <w:r w:rsidRPr="00A33EE9">
              <w:t>Unsure</w:t>
            </w:r>
          </w:p>
        </w:tc>
        <w:tc>
          <w:tcPr>
            <w:tcW w:w="1623" w:type="dxa"/>
            <w:tcBorders>
              <w:top w:val="single" w:sz="8" w:space="0" w:color="FFFFFF" w:themeColor="background1"/>
              <w:bottom w:val="single" w:sz="4" w:space="0" w:color="6F6652" w:themeColor="accent5"/>
            </w:tcBorders>
            <w:shd w:val="clear" w:color="auto" w:fill="E9E8E5" w:themeFill="background2"/>
            <w:hideMark/>
          </w:tcPr>
          <w:p w:rsidR="003E0249" w:rsidRDefault="003E0249" w:rsidP="003E0249">
            <w:pPr>
              <w:pStyle w:val="TableDataEntries"/>
            </w:pPr>
            <w:r w:rsidRPr="00A33EE9">
              <w:t>6.6%</w:t>
            </w:r>
          </w:p>
        </w:tc>
      </w:tr>
    </w:tbl>
    <w:p w:rsidR="003E0249" w:rsidRDefault="003E0249" w:rsidP="003E0249">
      <w:pPr>
        <w:pStyle w:val="Note"/>
      </w:pPr>
      <w:r w:rsidRPr="007D1B4F">
        <w:rPr>
          <w:i/>
        </w:rPr>
        <w:t>Note:</w:t>
      </w:r>
      <w:r w:rsidRPr="00E879B8">
        <w:t xml:space="preserve"> </w:t>
      </w:r>
    </w:p>
    <w:p w:rsidR="003E0249" w:rsidRPr="00D56F17" w:rsidRDefault="003E0249" w:rsidP="003E0249">
      <w:pPr>
        <w:pStyle w:val="TableListBullet"/>
      </w:pPr>
      <w:r>
        <w:t xml:space="preserve">Q1: </w:t>
      </w:r>
      <w:r w:rsidRPr="0007143C">
        <w:t>Does anybody in your household have difficulty, use aids or require assistance with moving around the home, moving away from home, or getting into or out of a bed or chair?</w:t>
      </w:r>
    </w:p>
    <w:p w:rsidR="003E0249" w:rsidRPr="00D56F17" w:rsidRDefault="003E0249" w:rsidP="003E0249">
      <w:pPr>
        <w:pStyle w:val="TableListBullet"/>
      </w:pPr>
      <w:r>
        <w:t xml:space="preserve">Q2: </w:t>
      </w:r>
      <w:r w:rsidRPr="00D56F17">
        <w:t>Does anybody in your household have difficulty, use mobility aids or require assistance with personal care, including tasks such as showering, bathing, dressing or eating?</w:t>
      </w:r>
    </w:p>
    <w:p w:rsidR="003E0249" w:rsidRPr="00D56F17" w:rsidRDefault="003E0249" w:rsidP="003E0249">
      <w:pPr>
        <w:pStyle w:val="TableListBullet"/>
      </w:pPr>
      <w:r>
        <w:t>Q3:</w:t>
      </w:r>
      <w:r w:rsidRPr="003E0249">
        <w:t xml:space="preserve"> </w:t>
      </w:r>
      <w:r w:rsidRPr="00D56F17">
        <w:t>Which aids, if any, are used by people in your household?</w:t>
      </w:r>
    </w:p>
    <w:p w:rsidR="003E0249" w:rsidRPr="00D56F17" w:rsidRDefault="003E0249" w:rsidP="003E0249">
      <w:pPr>
        <w:pStyle w:val="TableListBullet"/>
      </w:pPr>
      <w:r>
        <w:t xml:space="preserve">Q4: </w:t>
      </w:r>
      <w:r w:rsidRPr="00D56F17">
        <w:t>Thinking about the person in your household whose mobility is most limited, what is the extent of their mobility limitation?</w:t>
      </w:r>
    </w:p>
    <w:p w:rsidR="003E0249" w:rsidRPr="003E0249" w:rsidRDefault="003E0249" w:rsidP="003E0249">
      <w:pPr>
        <w:pStyle w:val="TableListBullet"/>
      </w:pPr>
      <w:r>
        <w:t xml:space="preserve">Q5: </w:t>
      </w:r>
      <w:r w:rsidRPr="00D56F17">
        <w:t>Do you have a family member or friend with limited mobility who visits you or would visit you if your home was accessible?</w:t>
      </w:r>
    </w:p>
    <w:p w:rsidR="007C6A5F" w:rsidRDefault="007C6A5F" w:rsidP="007C6A5F">
      <w:pPr>
        <w:pStyle w:val="Source"/>
        <w:rPr>
          <w:lang w:bidi="fa-IR"/>
        </w:rPr>
      </w:pPr>
      <w:r w:rsidRPr="003F6908">
        <w:rPr>
          <w:i/>
          <w:lang w:bidi="fa-IR"/>
        </w:rPr>
        <w:t>Source:</w:t>
      </w:r>
      <w:r>
        <w:rPr>
          <w:lang w:bidi="fa-IR"/>
        </w:rPr>
        <w:t xml:space="preserve"> CIE</w:t>
      </w:r>
      <w:r w:rsidR="00DE71A3">
        <w:rPr>
          <w:lang w:bidi="fa-IR"/>
        </w:rPr>
        <w:t>.</w:t>
      </w:r>
    </w:p>
    <w:p w:rsidR="007C6A5F" w:rsidRDefault="007C6A5F" w:rsidP="007C6A5F">
      <w:pPr>
        <w:pStyle w:val="Heading7"/>
        <w:numPr>
          <w:ilvl w:val="6"/>
          <w:numId w:val="5"/>
        </w:numPr>
        <w:spacing w:before="480"/>
        <w:rPr>
          <w:lang w:bidi="fa-IR"/>
        </w:rPr>
      </w:pPr>
      <w:r>
        <w:rPr>
          <w:lang w:bidi="fa-IR"/>
        </w:rPr>
        <w:t>Attitudes towards accessible housing</w:t>
      </w:r>
    </w:p>
    <w:p w:rsidR="007C6A5F" w:rsidRDefault="007C6A5F" w:rsidP="007C6A5F">
      <w:pPr>
        <w:pStyle w:val="BodyText"/>
        <w:rPr>
          <w:lang w:bidi="fa-IR"/>
        </w:rPr>
      </w:pPr>
      <w:r>
        <w:rPr>
          <w:lang w:bidi="fa-IR"/>
        </w:rPr>
        <w:t>Around half of respondents indicated they considered accessibility to some extent when choosing their current home and 70 per cent indicated they would prefer their next home to have at least some accessibility features.</w:t>
      </w:r>
    </w:p>
    <w:bookmarkStart w:id="9142" w:name="_Toc32321930"/>
    <w:p w:rsidR="007C6A5F" w:rsidRDefault="007C6A5F" w:rsidP="007C6A5F">
      <w:pPr>
        <w:pStyle w:val="Caption"/>
      </w:pPr>
      <w:r w:rsidRPr="003E0249">
        <w:fldChar w:fldCharType="begin"/>
      </w:r>
      <w:r w:rsidRPr="003E0249">
        <w:instrText xml:space="preserve"> IF 1 = 1 "</w:instrText>
      </w:r>
      <w:r w:rsidRPr="003E0249">
        <w:fldChar w:fldCharType="begin"/>
      </w:r>
      <w:r w:rsidRPr="003E0249">
        <w:instrText xml:space="preserve"> IF </w:instrText>
      </w:r>
      <w:r w:rsidRPr="003E0249">
        <w:rPr>
          <w:noProof/>
        </w:rPr>
        <w:fldChar w:fldCharType="begin"/>
      </w:r>
      <w:r w:rsidRPr="003E0249">
        <w:rPr>
          <w:noProof/>
        </w:rPr>
        <w:instrText xml:space="preserve"> STYLEREF "Heading 6" \l \n </w:instrText>
      </w:r>
      <w:r w:rsidRPr="003E0249">
        <w:rPr>
          <w:noProof/>
        </w:rPr>
        <w:fldChar w:fldCharType="separate"/>
      </w:r>
      <w:r w:rsidRPr="003E0249">
        <w:rPr>
          <w:noProof/>
        </w:rPr>
        <w:instrText>K</w:instrText>
      </w:r>
      <w:r w:rsidRPr="003E0249">
        <w:rPr>
          <w:noProof/>
        </w:rPr>
        <w:fldChar w:fldCharType="end"/>
      </w:r>
      <w:r w:rsidRPr="003E0249">
        <w:instrText xml:space="preserve"> = 0 "</w:instrText>
      </w:r>
      <w:r w:rsidRPr="003E0249">
        <w:fldChar w:fldCharType="begin"/>
      </w:r>
      <w:r w:rsidRPr="003E0249">
        <w:instrText xml:space="preserve"> IF </w:instrText>
      </w:r>
      <w:r w:rsidRPr="003E0249">
        <w:rPr>
          <w:noProof/>
        </w:rPr>
        <w:fldChar w:fldCharType="begin"/>
      </w:r>
      <w:r w:rsidRPr="003E0249">
        <w:rPr>
          <w:noProof/>
        </w:rPr>
        <w:instrText xml:space="preserve"> STYLEREF "Heading 1" \l \n </w:instrText>
      </w:r>
      <w:r w:rsidRPr="003E0249">
        <w:rPr>
          <w:noProof/>
        </w:rPr>
        <w:fldChar w:fldCharType="separate"/>
      </w:r>
      <w:r w:rsidRPr="003E0249">
        <w:rPr>
          <w:noProof/>
        </w:rPr>
        <w:instrText>0</w:instrText>
      </w:r>
      <w:r w:rsidRPr="003E0249">
        <w:rPr>
          <w:noProof/>
        </w:rPr>
        <w:fldChar w:fldCharType="end"/>
      </w:r>
      <w:r w:rsidRPr="003E0249">
        <w:instrText xml:space="preserve"> = 0 "" "</w:instrText>
      </w:r>
      <w:r w:rsidRPr="003E0249">
        <w:rPr>
          <w:noProof/>
        </w:rPr>
        <w:fldChar w:fldCharType="begin"/>
      </w:r>
      <w:r w:rsidRPr="003E0249">
        <w:rPr>
          <w:noProof/>
        </w:rPr>
        <w:instrText xml:space="preserve"> STYLEREF "Heading 1" \l \n </w:instrText>
      </w:r>
      <w:r w:rsidRPr="003E0249">
        <w:rPr>
          <w:noProof/>
        </w:rPr>
        <w:fldChar w:fldCharType="separate"/>
      </w:r>
      <w:r w:rsidRPr="003E0249">
        <w:rPr>
          <w:noProof/>
        </w:rPr>
        <w:instrText>2</w:instrText>
      </w:r>
      <w:r w:rsidRPr="003E0249">
        <w:rPr>
          <w:noProof/>
        </w:rPr>
        <w:fldChar w:fldCharType="end"/>
      </w:r>
      <w:r w:rsidRPr="003E0249">
        <w:instrText xml:space="preserve">." </w:instrText>
      </w:r>
      <w:r w:rsidRPr="003E0249">
        <w:fldChar w:fldCharType="end"/>
      </w:r>
      <w:r w:rsidRPr="003E0249">
        <w:instrText>" "</w:instrText>
      </w:r>
      <w:r w:rsidRPr="003E0249">
        <w:rPr>
          <w:noProof/>
        </w:rPr>
        <w:fldChar w:fldCharType="begin"/>
      </w:r>
      <w:r w:rsidRPr="003E0249">
        <w:rPr>
          <w:noProof/>
        </w:rPr>
        <w:instrText xml:space="preserve"> STYLEREF "Heading 6" \l \n </w:instrText>
      </w:r>
      <w:r w:rsidRPr="003E0249">
        <w:rPr>
          <w:noProof/>
        </w:rPr>
        <w:fldChar w:fldCharType="separate"/>
      </w:r>
      <w:r w:rsidRPr="003E0249">
        <w:rPr>
          <w:noProof/>
        </w:rPr>
        <w:instrText>K</w:instrText>
      </w:r>
      <w:r w:rsidRPr="003E0249">
        <w:rPr>
          <w:noProof/>
        </w:rPr>
        <w:fldChar w:fldCharType="end"/>
      </w:r>
      <w:r w:rsidRPr="003E0249">
        <w:instrText xml:space="preserve">." </w:instrText>
      </w:r>
      <w:r w:rsidRPr="003E0249">
        <w:fldChar w:fldCharType="separate"/>
      </w:r>
      <w:r w:rsidRPr="003E0249">
        <w:rPr>
          <w:noProof/>
        </w:rPr>
        <w:instrText>K.</w:instrText>
      </w:r>
      <w:r w:rsidRPr="003E0249">
        <w:fldChar w:fldCharType="end"/>
      </w:r>
      <w:r w:rsidRPr="003E0249">
        <w:fldChar w:fldCharType="begin"/>
      </w:r>
      <w:r w:rsidRPr="003E0249">
        <w:instrText xml:space="preserve"> SEQ Item \* ARABIC \s </w:instrText>
      </w:r>
      <w:r w:rsidRPr="003E0249">
        <w:fldChar w:fldCharType="begin"/>
      </w:r>
      <w:r w:rsidRPr="003E0249">
        <w:instrText xml:space="preserve"> IF </w:instrText>
      </w:r>
      <w:r w:rsidRPr="003E0249">
        <w:rPr>
          <w:noProof/>
        </w:rPr>
        <w:fldChar w:fldCharType="begin"/>
      </w:r>
      <w:r w:rsidRPr="003E0249">
        <w:rPr>
          <w:noProof/>
        </w:rPr>
        <w:instrText xml:space="preserve"> STYLEREF "Heading 6" \l \n </w:instrText>
      </w:r>
      <w:r w:rsidRPr="003E0249">
        <w:rPr>
          <w:noProof/>
        </w:rPr>
        <w:fldChar w:fldCharType="separate"/>
      </w:r>
      <w:r w:rsidRPr="003E0249">
        <w:rPr>
          <w:noProof/>
        </w:rPr>
        <w:instrText>K</w:instrText>
      </w:r>
      <w:r w:rsidRPr="003E0249">
        <w:rPr>
          <w:noProof/>
        </w:rPr>
        <w:fldChar w:fldCharType="end"/>
      </w:r>
      <w:r w:rsidRPr="003E0249">
        <w:instrText xml:space="preserve"> = 0 "</w:instrText>
      </w:r>
      <w:r w:rsidRPr="003E0249">
        <w:fldChar w:fldCharType="begin"/>
      </w:r>
      <w:r w:rsidRPr="003E0249">
        <w:instrText xml:space="preserve"> IF </w:instrText>
      </w:r>
      <w:r w:rsidRPr="003E0249">
        <w:rPr>
          <w:noProof/>
        </w:rPr>
        <w:fldChar w:fldCharType="begin"/>
      </w:r>
      <w:r w:rsidRPr="003E0249">
        <w:rPr>
          <w:noProof/>
        </w:rPr>
        <w:instrText xml:space="preserve"> STYLEREF "Heading 1" \l \n </w:instrText>
      </w:r>
      <w:r w:rsidRPr="003E0249">
        <w:rPr>
          <w:noProof/>
        </w:rPr>
        <w:fldChar w:fldCharType="separate"/>
      </w:r>
      <w:r w:rsidRPr="003E0249">
        <w:rPr>
          <w:noProof/>
        </w:rPr>
        <w:instrText>0</w:instrText>
      </w:r>
      <w:r w:rsidRPr="003E0249">
        <w:rPr>
          <w:noProof/>
        </w:rPr>
        <w:fldChar w:fldCharType="end"/>
      </w:r>
      <w:r w:rsidRPr="003E0249">
        <w:instrText xml:space="preserve"> = 0 "" "1" </w:instrText>
      </w:r>
      <w:r w:rsidRPr="003E0249">
        <w:fldChar w:fldCharType="end"/>
      </w:r>
      <w:r w:rsidRPr="003E0249">
        <w:instrText xml:space="preserve">" "6" </w:instrText>
      </w:r>
      <w:r w:rsidRPr="003E0249">
        <w:fldChar w:fldCharType="separate"/>
      </w:r>
      <w:r w:rsidRPr="003E0249">
        <w:rPr>
          <w:noProof/>
        </w:rPr>
        <w:instrText>6</w:instrText>
      </w:r>
      <w:r w:rsidRPr="003E0249">
        <w:fldChar w:fldCharType="end"/>
      </w:r>
      <w:r w:rsidRPr="003E0249">
        <w:instrText xml:space="preserve"> </w:instrText>
      </w:r>
      <w:r w:rsidRPr="003E0249">
        <w:fldChar w:fldCharType="separate"/>
      </w:r>
      <w:r w:rsidRPr="003E0249">
        <w:rPr>
          <w:noProof/>
        </w:rPr>
        <w:instrText>6</w:instrText>
      </w:r>
      <w:r w:rsidRPr="003E0249">
        <w:fldChar w:fldCharType="end"/>
      </w:r>
      <w:r w:rsidRPr="003E0249">
        <w:instrText xml:space="preserve">" "" </w:instrText>
      </w:r>
      <w:r w:rsidRPr="003E0249">
        <w:fldChar w:fldCharType="separate"/>
      </w:r>
      <w:bookmarkStart w:id="9143" w:name="_Caption5371"/>
      <w:bookmarkStart w:id="9144" w:name="_Caption0038"/>
      <w:bookmarkStart w:id="9145" w:name="_Caption6745"/>
      <w:bookmarkStart w:id="9146" w:name="_Caption8715"/>
      <w:bookmarkStart w:id="9147" w:name="_Toc44598636"/>
      <w:bookmarkStart w:id="9148" w:name="_Toc45654267"/>
      <w:r w:rsidR="00272AF3" w:rsidRPr="003E0249">
        <w:rPr>
          <w:noProof/>
        </w:rPr>
        <w:t>K.6</w:t>
      </w:r>
      <w:bookmarkEnd w:id="9143"/>
      <w:bookmarkEnd w:id="9144"/>
      <w:bookmarkEnd w:id="9145"/>
      <w:bookmarkEnd w:id="9146"/>
      <w:r w:rsidRPr="003E0249">
        <w:fldChar w:fldCharType="end"/>
      </w:r>
      <w:r w:rsidRPr="003E0249">
        <w:tab/>
      </w:r>
      <w:bookmarkEnd w:id="9142"/>
      <w:r w:rsidRPr="003E0249">
        <w:t>Attitudes towards accessible housing</w:t>
      </w:r>
      <w:bookmarkEnd w:id="9147"/>
      <w:bookmarkEnd w:id="9148"/>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6"/>
        <w:tblDescription w:val="Attitudes towards accessible housing"/>
      </w:tblPr>
      <w:tblGrid>
        <w:gridCol w:w="851"/>
        <w:gridCol w:w="5386"/>
        <w:gridCol w:w="1700"/>
      </w:tblGrid>
      <w:tr w:rsidR="003E0249" w:rsidRPr="00424938" w:rsidTr="00DF3F38">
        <w:trPr>
          <w:trHeight w:val="600"/>
          <w:tblHeader/>
        </w:trPr>
        <w:tc>
          <w:tcPr>
            <w:tcW w:w="851" w:type="dxa"/>
            <w:tcBorders>
              <w:bottom w:val="single" w:sz="8" w:space="0" w:color="FFFFFF" w:themeColor="background1"/>
            </w:tcBorders>
            <w:shd w:val="clear" w:color="auto" w:fill="6F6652" w:themeFill="accent5"/>
            <w:hideMark/>
          </w:tcPr>
          <w:p w:rsidR="003E0249" w:rsidRPr="00424938" w:rsidRDefault="003E0249" w:rsidP="0031383F">
            <w:pPr>
              <w:pStyle w:val="TableDataColumnHeading"/>
              <w:jc w:val="left"/>
            </w:pPr>
            <w:r>
              <w:t>Question</w:t>
            </w:r>
          </w:p>
        </w:tc>
        <w:tc>
          <w:tcPr>
            <w:tcW w:w="5386" w:type="dxa"/>
            <w:tcBorders>
              <w:bottom w:val="single" w:sz="8" w:space="0" w:color="FFFFFF" w:themeColor="background1"/>
            </w:tcBorders>
            <w:shd w:val="clear" w:color="auto" w:fill="6F6652" w:themeFill="accent5"/>
          </w:tcPr>
          <w:p w:rsidR="003E0249" w:rsidRPr="00424938" w:rsidRDefault="003E0249" w:rsidP="00351C89">
            <w:pPr>
              <w:pStyle w:val="TableDataColumnHeading"/>
              <w:jc w:val="both"/>
            </w:pPr>
            <w:r>
              <w:t>Answer</w:t>
            </w:r>
          </w:p>
        </w:tc>
        <w:tc>
          <w:tcPr>
            <w:tcW w:w="1700" w:type="dxa"/>
            <w:tcBorders>
              <w:bottom w:val="single" w:sz="8" w:space="0" w:color="FFFFFF" w:themeColor="background1"/>
            </w:tcBorders>
            <w:shd w:val="clear" w:color="auto" w:fill="6F6652" w:themeFill="accent5"/>
            <w:hideMark/>
          </w:tcPr>
          <w:p w:rsidR="003E0249" w:rsidRPr="00424938" w:rsidRDefault="003E0249" w:rsidP="00DF3F38">
            <w:pPr>
              <w:pStyle w:val="TableDataColumnHeading"/>
            </w:pPr>
            <w:r w:rsidRPr="00424938">
              <w:t>Reweighted sample</w:t>
            </w:r>
            <w:r w:rsidR="00DF3F38">
              <w:br/>
            </w:r>
            <w:r>
              <w:t>(per cent)</w:t>
            </w:r>
          </w:p>
        </w:tc>
      </w:tr>
      <w:tr w:rsidR="003E0249" w:rsidRPr="003F6908" w:rsidTr="00DF3F38">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t>Q1</w:t>
            </w:r>
          </w:p>
        </w:tc>
        <w:tc>
          <w:tcPr>
            <w:tcW w:w="538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It was an important consideration</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20.2%</w:t>
            </w:r>
          </w:p>
        </w:tc>
      </w:tr>
      <w:tr w:rsidR="003E0249" w:rsidRPr="003F6908" w:rsidTr="00DF3F38">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t>Q1</w:t>
            </w:r>
          </w:p>
        </w:tc>
        <w:tc>
          <w:tcPr>
            <w:tcW w:w="538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It was a minor consideration</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28.5%</w:t>
            </w:r>
          </w:p>
        </w:tc>
      </w:tr>
      <w:tr w:rsidR="003E0249" w:rsidRPr="003F6908" w:rsidTr="00DF3F38">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t>Q1</w:t>
            </w:r>
          </w:p>
        </w:tc>
        <w:tc>
          <w:tcPr>
            <w:tcW w:w="538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I did not consider it at all</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51.3%</w:t>
            </w:r>
          </w:p>
        </w:tc>
      </w:tr>
      <w:tr w:rsidR="003E0249" w:rsidRPr="003F6908" w:rsidTr="00DF3F38">
        <w:trPr>
          <w:trHeight w:val="48"/>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893564" w:rsidP="003E0249">
            <w:pPr>
              <w:pStyle w:val="TableDataEntries"/>
              <w:jc w:val="left"/>
            </w:pPr>
            <w:r>
              <w:t>Q2</w:t>
            </w:r>
          </w:p>
        </w:tc>
        <w:tc>
          <w:tcPr>
            <w:tcW w:w="538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Prefer homes with all accessibility features described in this survey</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29.7%</w:t>
            </w:r>
          </w:p>
        </w:tc>
      </w:tr>
      <w:tr w:rsidR="003E0249" w:rsidRPr="003F6908" w:rsidTr="00DF3F38">
        <w:trPr>
          <w:trHeight w:val="48"/>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893564" w:rsidP="003E0249">
            <w:pPr>
              <w:pStyle w:val="TableDataEntries"/>
              <w:jc w:val="left"/>
            </w:pPr>
            <w:r>
              <w:t>Q2</w:t>
            </w:r>
          </w:p>
        </w:tc>
        <w:tc>
          <w:tcPr>
            <w:tcW w:w="538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Prefer homes with some accessibility features described in this survey</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40.3%</w:t>
            </w:r>
          </w:p>
        </w:tc>
      </w:tr>
      <w:tr w:rsidR="003E0249" w:rsidRPr="003F6908" w:rsidTr="00DF3F38">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893564" w:rsidP="003E0249">
            <w:pPr>
              <w:pStyle w:val="TableDataEntries"/>
              <w:jc w:val="left"/>
            </w:pPr>
            <w:r>
              <w:lastRenderedPageBreak/>
              <w:t>Q2</w:t>
            </w:r>
          </w:p>
        </w:tc>
        <w:tc>
          <w:tcPr>
            <w:tcW w:w="538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Prefer homes without accessibility features</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5.3%</w:t>
            </w:r>
          </w:p>
        </w:tc>
      </w:tr>
      <w:tr w:rsidR="003E0249" w:rsidRPr="003F6908" w:rsidTr="00DF3F38">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893564" w:rsidP="003E0249">
            <w:pPr>
              <w:pStyle w:val="TableDataEntries"/>
              <w:jc w:val="left"/>
            </w:pPr>
            <w:r>
              <w:t>Q2</w:t>
            </w:r>
          </w:p>
        </w:tc>
        <w:tc>
          <w:tcPr>
            <w:tcW w:w="538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Have no preference</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24.8%</w:t>
            </w:r>
          </w:p>
        </w:tc>
      </w:tr>
      <w:tr w:rsidR="003E0249" w:rsidRPr="003F6908" w:rsidTr="00DF3F38">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893564" w:rsidP="003E0249">
            <w:pPr>
              <w:pStyle w:val="TableDataEntries"/>
              <w:jc w:val="left"/>
            </w:pPr>
            <w:r>
              <w:t>Q3</w:t>
            </w:r>
          </w:p>
        </w:tc>
        <w:tc>
          <w:tcPr>
            <w:tcW w:w="538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The ease of access and use now</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36.7%</w:t>
            </w:r>
          </w:p>
        </w:tc>
      </w:tr>
      <w:tr w:rsidR="003E0249" w:rsidRPr="003F6908" w:rsidTr="00DF3F38">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893564" w:rsidP="003E0249">
            <w:pPr>
              <w:pStyle w:val="TableDataEntries"/>
              <w:jc w:val="left"/>
            </w:pPr>
            <w:r>
              <w:t>Q3</w:t>
            </w:r>
          </w:p>
        </w:tc>
        <w:tc>
          <w:tcPr>
            <w:tcW w:w="538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To avoid/delay the need to move later</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33.3%</w:t>
            </w:r>
          </w:p>
        </w:tc>
      </w:tr>
      <w:tr w:rsidR="003E0249" w:rsidRPr="003F6908" w:rsidTr="00DF3F38">
        <w:trPr>
          <w:trHeight w:val="48"/>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893564" w:rsidP="003E0249">
            <w:pPr>
              <w:pStyle w:val="TableDataEntries"/>
              <w:jc w:val="left"/>
            </w:pPr>
            <w:r>
              <w:t>Q3</w:t>
            </w:r>
          </w:p>
        </w:tc>
        <w:tc>
          <w:tcPr>
            <w:tcW w:w="538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To receive visits from family and friends with limited mobility</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23.7%</w:t>
            </w:r>
          </w:p>
        </w:tc>
      </w:tr>
      <w:tr w:rsidR="003E0249" w:rsidRPr="003F6908" w:rsidTr="00DF3F38">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893564" w:rsidP="003E0249">
            <w:pPr>
              <w:pStyle w:val="TableDataEntries"/>
              <w:jc w:val="left"/>
            </w:pPr>
            <w:r>
              <w:t>Q3</w:t>
            </w:r>
          </w:p>
        </w:tc>
        <w:tc>
          <w:tcPr>
            <w:tcW w:w="538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The look and feel of the features</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13.1%</w:t>
            </w:r>
          </w:p>
        </w:tc>
      </w:tr>
      <w:tr w:rsidR="003E0249" w:rsidRPr="003F6908" w:rsidTr="00DF3F38">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893564" w:rsidP="003E0249">
            <w:pPr>
              <w:pStyle w:val="TableDataEntries"/>
              <w:jc w:val="left"/>
            </w:pPr>
            <w:r>
              <w:t>Q3</w:t>
            </w:r>
          </w:p>
        </w:tc>
        <w:tc>
          <w:tcPr>
            <w:tcW w:w="538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Other (please specify)</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2.1%</w:t>
            </w:r>
          </w:p>
        </w:tc>
      </w:tr>
      <w:tr w:rsidR="003E0249" w:rsidRPr="003F6908" w:rsidTr="00DF3F38">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893564" w:rsidP="003E0249">
            <w:pPr>
              <w:pStyle w:val="TableDataEntries"/>
              <w:jc w:val="left"/>
            </w:pPr>
            <w:r>
              <w:t>Q4</w:t>
            </w:r>
          </w:p>
        </w:tc>
        <w:tc>
          <w:tcPr>
            <w:tcW w:w="538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I dislike the look and feel of the features</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2.4%</w:t>
            </w:r>
          </w:p>
        </w:tc>
      </w:tr>
      <w:tr w:rsidR="003E0249" w:rsidRPr="003F6908" w:rsidTr="00DF3F38">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893564" w:rsidP="003E0249">
            <w:pPr>
              <w:pStyle w:val="TableDataEntries"/>
              <w:jc w:val="left"/>
            </w:pPr>
            <w:r>
              <w:t>Q4</w:t>
            </w:r>
          </w:p>
        </w:tc>
        <w:tc>
          <w:tcPr>
            <w:tcW w:w="5386" w:type="dxa"/>
            <w:tcBorders>
              <w:top w:val="single" w:sz="8" w:space="0" w:color="FFFFFF" w:themeColor="background1"/>
              <w:bottom w:val="single" w:sz="8" w:space="0" w:color="FFFFFF" w:themeColor="background1"/>
            </w:tcBorders>
            <w:shd w:val="clear" w:color="auto" w:fill="E9E8E5" w:themeFill="background2"/>
          </w:tcPr>
          <w:p w:rsidR="003E0249" w:rsidRPr="003F6908" w:rsidRDefault="003E0249" w:rsidP="003E0249">
            <w:pPr>
              <w:pStyle w:val="TableDataEntries"/>
              <w:jc w:val="left"/>
            </w:pPr>
            <w:r w:rsidRPr="003F6908">
              <w:t>I prefer larger living areas and bedrooms</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3E0249" w:rsidRPr="003F6908" w:rsidRDefault="003E0249" w:rsidP="003E0249">
            <w:pPr>
              <w:pStyle w:val="TableDataEntries"/>
            </w:pPr>
            <w:r w:rsidRPr="003F6908">
              <w:t>2.1%</w:t>
            </w:r>
          </w:p>
        </w:tc>
      </w:tr>
      <w:tr w:rsidR="00893564" w:rsidRPr="003F6908" w:rsidTr="00DF3F38">
        <w:trPr>
          <w:trHeight w:val="300"/>
        </w:trPr>
        <w:tc>
          <w:tcPr>
            <w:tcW w:w="851" w:type="dxa"/>
            <w:tcBorders>
              <w:top w:val="single" w:sz="8" w:space="0" w:color="FFFFFF" w:themeColor="background1"/>
              <w:bottom w:val="single" w:sz="8" w:space="0" w:color="FFFFFF" w:themeColor="background1"/>
            </w:tcBorders>
            <w:shd w:val="clear" w:color="auto" w:fill="E9E8E5" w:themeFill="background2"/>
          </w:tcPr>
          <w:p w:rsidR="00893564" w:rsidRPr="003F6908" w:rsidRDefault="00893564" w:rsidP="00893564">
            <w:pPr>
              <w:pStyle w:val="TableDataEntries"/>
              <w:jc w:val="left"/>
            </w:pPr>
            <w:r w:rsidRPr="00E96581">
              <w:t>Q4</w:t>
            </w:r>
          </w:p>
        </w:tc>
        <w:tc>
          <w:tcPr>
            <w:tcW w:w="5386" w:type="dxa"/>
            <w:tcBorders>
              <w:top w:val="single" w:sz="8" w:space="0" w:color="FFFFFF" w:themeColor="background1"/>
              <w:bottom w:val="single" w:sz="8" w:space="0" w:color="FFFFFF" w:themeColor="background1"/>
            </w:tcBorders>
            <w:shd w:val="clear" w:color="auto" w:fill="E9E8E5" w:themeFill="background2"/>
          </w:tcPr>
          <w:p w:rsidR="00893564" w:rsidRPr="003F6908" w:rsidRDefault="00893564" w:rsidP="00893564">
            <w:pPr>
              <w:pStyle w:val="TableDataEntries"/>
              <w:jc w:val="left"/>
            </w:pPr>
            <w:r w:rsidRPr="003F6908">
              <w:t>I prefer steeply sloped blocks</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893564" w:rsidRPr="003F6908" w:rsidRDefault="00893564" w:rsidP="00893564">
            <w:pPr>
              <w:pStyle w:val="TableDataEntries"/>
            </w:pPr>
            <w:r w:rsidRPr="003F6908">
              <w:t>0.9%</w:t>
            </w:r>
          </w:p>
        </w:tc>
      </w:tr>
      <w:tr w:rsidR="00893564" w:rsidRPr="003F6908" w:rsidTr="00DF3F38">
        <w:trPr>
          <w:trHeight w:val="300"/>
        </w:trPr>
        <w:tc>
          <w:tcPr>
            <w:tcW w:w="851" w:type="dxa"/>
            <w:tcBorders>
              <w:top w:val="single" w:sz="8" w:space="0" w:color="FFFFFF" w:themeColor="background1"/>
              <w:bottom w:val="single" w:sz="4" w:space="0" w:color="6F6652" w:themeColor="accent5"/>
            </w:tcBorders>
            <w:shd w:val="clear" w:color="auto" w:fill="E9E8E5" w:themeFill="background2"/>
          </w:tcPr>
          <w:p w:rsidR="00893564" w:rsidRPr="003F6908" w:rsidRDefault="00893564" w:rsidP="00893564">
            <w:pPr>
              <w:pStyle w:val="TableDataEntries"/>
              <w:jc w:val="left"/>
            </w:pPr>
            <w:r w:rsidRPr="00E96581">
              <w:t>Q4</w:t>
            </w:r>
          </w:p>
        </w:tc>
        <w:tc>
          <w:tcPr>
            <w:tcW w:w="5386" w:type="dxa"/>
            <w:tcBorders>
              <w:top w:val="single" w:sz="8" w:space="0" w:color="FFFFFF" w:themeColor="background1"/>
              <w:bottom w:val="single" w:sz="4" w:space="0" w:color="6F6652" w:themeColor="accent5"/>
            </w:tcBorders>
            <w:shd w:val="clear" w:color="auto" w:fill="E9E8E5" w:themeFill="background2"/>
          </w:tcPr>
          <w:p w:rsidR="00893564" w:rsidRPr="003F6908" w:rsidRDefault="00893564" w:rsidP="00893564">
            <w:pPr>
              <w:pStyle w:val="TableDataEntries"/>
              <w:jc w:val="left"/>
            </w:pPr>
            <w:r w:rsidRPr="003F6908">
              <w:t>Other (please specify)</w:t>
            </w:r>
          </w:p>
        </w:tc>
        <w:tc>
          <w:tcPr>
            <w:tcW w:w="1700" w:type="dxa"/>
            <w:tcBorders>
              <w:top w:val="single" w:sz="8" w:space="0" w:color="FFFFFF" w:themeColor="background1"/>
              <w:bottom w:val="single" w:sz="4" w:space="0" w:color="6F6652" w:themeColor="accent5"/>
            </w:tcBorders>
            <w:shd w:val="clear" w:color="auto" w:fill="E9E8E5" w:themeFill="background2"/>
            <w:hideMark/>
          </w:tcPr>
          <w:p w:rsidR="00893564" w:rsidRPr="003F6908" w:rsidRDefault="00893564" w:rsidP="00893564">
            <w:pPr>
              <w:pStyle w:val="TableDataEntries"/>
            </w:pPr>
            <w:r w:rsidRPr="003F6908">
              <w:t>0.</w:t>
            </w:r>
            <w:r>
              <w:t>1</w:t>
            </w:r>
            <w:r w:rsidRPr="003F6908">
              <w:t>%</w:t>
            </w:r>
          </w:p>
        </w:tc>
      </w:tr>
    </w:tbl>
    <w:p w:rsidR="003E0249" w:rsidRDefault="003E0249" w:rsidP="003E0249">
      <w:pPr>
        <w:pStyle w:val="Note"/>
      </w:pPr>
      <w:r w:rsidRPr="007D1B4F">
        <w:rPr>
          <w:i/>
        </w:rPr>
        <w:t>Note:</w:t>
      </w:r>
      <w:r w:rsidRPr="00E879B8">
        <w:t xml:space="preserve"> </w:t>
      </w:r>
    </w:p>
    <w:p w:rsidR="003E0249" w:rsidRPr="00D56F17" w:rsidRDefault="003E0249" w:rsidP="003E0249">
      <w:pPr>
        <w:pStyle w:val="TableListBullet"/>
      </w:pPr>
      <w:r>
        <w:t xml:space="preserve">Q1: </w:t>
      </w:r>
      <w:r w:rsidRPr="00D56F17">
        <w:t>To what extent did you consider accessibility when choosing your current home?</w:t>
      </w:r>
    </w:p>
    <w:p w:rsidR="00893564" w:rsidRPr="00B23FB7" w:rsidRDefault="003E0249" w:rsidP="00893564">
      <w:pPr>
        <w:pStyle w:val="TableListBullet"/>
      </w:pPr>
      <w:r>
        <w:t>Q2</w:t>
      </w:r>
      <w:r w:rsidR="00893564">
        <w:t xml:space="preserve">: </w:t>
      </w:r>
      <w:r w:rsidR="00893564" w:rsidRPr="00B23FB7">
        <w:t>If you were buying/renting a new home now, would you...</w:t>
      </w:r>
    </w:p>
    <w:p w:rsidR="00893564" w:rsidRPr="00B23FB7" w:rsidRDefault="00893564" w:rsidP="00893564">
      <w:pPr>
        <w:pStyle w:val="TableListBullet"/>
      </w:pPr>
      <w:r>
        <w:t xml:space="preserve">Q3: </w:t>
      </w:r>
      <w:r w:rsidRPr="00B23FB7">
        <w:t>What is your main reason for preferring accessibility features?</w:t>
      </w:r>
    </w:p>
    <w:p w:rsidR="003E0249" w:rsidRPr="00D56F17" w:rsidRDefault="00893564" w:rsidP="00327EEF">
      <w:pPr>
        <w:pStyle w:val="TableListBullet"/>
      </w:pPr>
      <w:r>
        <w:t xml:space="preserve">Q4: </w:t>
      </w:r>
      <w:r w:rsidRPr="00B23FB7">
        <w:t>What is your main reason for preferring homes without accessibility features?</w:t>
      </w:r>
    </w:p>
    <w:p w:rsidR="007C6A5F" w:rsidRDefault="007C6A5F" w:rsidP="007C6A5F">
      <w:pPr>
        <w:pStyle w:val="Source"/>
        <w:rPr>
          <w:lang w:bidi="fa-IR"/>
        </w:rPr>
      </w:pPr>
      <w:r w:rsidRPr="003F6908">
        <w:rPr>
          <w:i/>
          <w:lang w:bidi="fa-IR"/>
        </w:rPr>
        <w:t>Source:</w:t>
      </w:r>
      <w:r>
        <w:rPr>
          <w:lang w:bidi="fa-IR"/>
        </w:rPr>
        <w:t xml:space="preserve"> CIE</w:t>
      </w:r>
      <w:r w:rsidR="00DE71A3">
        <w:rPr>
          <w:lang w:bidi="fa-IR"/>
        </w:rPr>
        <w:t>.</w:t>
      </w:r>
    </w:p>
    <w:p w:rsidR="007C6A5F" w:rsidRDefault="007C6A5F" w:rsidP="007C6A5F">
      <w:pPr>
        <w:pStyle w:val="BodyText"/>
        <w:rPr>
          <w:lang w:bidi="fa-IR"/>
        </w:rPr>
      </w:pPr>
      <w:r>
        <w:rPr>
          <w:lang w:bidi="fa-IR"/>
        </w:rPr>
        <w:t>Households containing someone with a mobility limitation were more likely than other households to prefer a home with all of the accessibility features described in the survey. However, more than half of households that do not contain a person with mobility limitation indicated they would prefer their next home to include at least some accessibility features.</w:t>
      </w:r>
    </w:p>
    <w:bookmarkStart w:id="9149" w:name="_Toc32321931"/>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w:instrText>
      </w:r>
      <w:r w:rsidRPr="00695C93">
        <w:fldChar w:fldCharType="separate"/>
      </w:r>
      <w:r>
        <w:rPr>
          <w:noProof/>
        </w:rPr>
        <w:instrText>K</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7</w:instrText>
      </w:r>
      <w:r w:rsidRPr="00695C93">
        <w:fldChar w:fldCharType="end"/>
      </w:r>
      <w:r w:rsidRPr="00695C93">
        <w:instrText xml:space="preserve">" "" </w:instrText>
      </w:r>
      <w:r w:rsidRPr="00695C93">
        <w:fldChar w:fldCharType="separate"/>
      </w:r>
      <w:bookmarkStart w:id="9150" w:name="_Caption1754"/>
      <w:bookmarkStart w:id="9151" w:name="_Caption6989"/>
      <w:bookmarkStart w:id="9152" w:name="_Caption0247"/>
      <w:bookmarkStart w:id="9153" w:name="_Caption1960"/>
      <w:bookmarkStart w:id="9154" w:name="_Toc44598637"/>
      <w:bookmarkStart w:id="9155" w:name="_Toc45654268"/>
      <w:r w:rsidR="00272AF3">
        <w:rPr>
          <w:noProof/>
        </w:rPr>
        <w:t>K</w:t>
      </w:r>
      <w:r w:rsidR="00272AF3" w:rsidRPr="00695C93">
        <w:rPr>
          <w:noProof/>
        </w:rPr>
        <w:t>.</w:t>
      </w:r>
      <w:r w:rsidR="00272AF3">
        <w:rPr>
          <w:noProof/>
        </w:rPr>
        <w:t>7</w:t>
      </w:r>
      <w:bookmarkEnd w:id="9150"/>
      <w:bookmarkEnd w:id="9151"/>
      <w:bookmarkEnd w:id="9152"/>
      <w:bookmarkEnd w:id="9153"/>
      <w:r w:rsidRPr="00695C93">
        <w:fldChar w:fldCharType="end"/>
      </w:r>
      <w:r w:rsidRPr="00695C93">
        <w:tab/>
      </w:r>
      <w:r>
        <w:t>Preference for accessibility features by current mobility limitation status</w:t>
      </w:r>
      <w:bookmarkEnd w:id="9149"/>
      <w:bookmarkEnd w:id="9154"/>
      <w:bookmarkEnd w:id="9155"/>
    </w:p>
    <w:p w:rsidR="007C6A5F" w:rsidRDefault="007C6A5F" w:rsidP="007C6A5F">
      <w:pPr>
        <w:pStyle w:val="Subtitlebox"/>
      </w:pPr>
      <w:r w:rsidRPr="00A97882">
        <w:rPr>
          <w:noProof/>
        </w:rPr>
        <w:drawing>
          <wp:inline distT="0" distB="0" distL="0" distR="0" wp14:anchorId="0BF8E796" wp14:editId="54ED0367">
            <wp:extent cx="5040000" cy="2993396"/>
            <wp:effectExtent l="57150" t="57150" r="65405" b="54610"/>
            <wp:docPr id="53" name="Picture 53" descr="Chart K.7 - Preference for accessibility features by current mobility limita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40000" cy="2993396"/>
                    </a:xfrm>
                    <a:prstGeom prst="rect">
                      <a:avLst/>
                    </a:prstGeom>
                    <a:ln w="57150">
                      <a:solidFill>
                        <a:schemeClr val="bg2"/>
                      </a:solidFill>
                    </a:ln>
                  </pic:spPr>
                </pic:pic>
              </a:graphicData>
            </a:graphic>
          </wp:inline>
        </w:drawing>
      </w:r>
    </w:p>
    <w:p w:rsidR="007C6A5F" w:rsidRDefault="007C6A5F" w:rsidP="007C6A5F">
      <w:pPr>
        <w:pStyle w:val="Source"/>
      </w:pPr>
      <w:r>
        <w:rPr>
          <w:i/>
        </w:rPr>
        <w:t>Data source</w:t>
      </w:r>
      <w:r w:rsidRPr="00A67576">
        <w:rPr>
          <w:i/>
        </w:rPr>
        <w:t>:</w:t>
      </w:r>
      <w:r>
        <w:t xml:space="preserve"> CIE.</w:t>
      </w:r>
    </w:p>
    <w:p w:rsidR="007C6A5F" w:rsidRDefault="007C6A5F" w:rsidP="007C6A5F">
      <w:pPr>
        <w:pStyle w:val="Heading7"/>
        <w:numPr>
          <w:ilvl w:val="6"/>
          <w:numId w:val="5"/>
        </w:numPr>
        <w:rPr>
          <w:lang w:eastAsia="en-US"/>
        </w:rPr>
      </w:pPr>
      <w:r>
        <w:rPr>
          <w:lang w:eastAsia="en-US"/>
        </w:rPr>
        <w:lastRenderedPageBreak/>
        <w:t>Characteristics of the existing housing stock</w:t>
      </w:r>
    </w:p>
    <w:p w:rsidR="007C6A5F" w:rsidRDefault="007C6A5F" w:rsidP="007C6A5F">
      <w:pPr>
        <w:pStyle w:val="BodyText"/>
        <w:rPr>
          <w:lang w:eastAsia="en-US"/>
        </w:rPr>
      </w:pPr>
      <w:r>
        <w:rPr>
          <w:lang w:eastAsia="en-US"/>
        </w:rPr>
        <w:t>Most existing homes have a toilet (85 per cent) and a shower (75 per cent) on the same level as an entrance. Around 80 per cent of homes have either no stairs or a straight stairway. Other accessibility features are less common. A step-free entrance and a step-free shower are both reported by around one third of respondents. Roughly one fifth of respondents thought there would be sufficient space for turning a wheelchair in all corridors, bathroom, kitchen and laundry spaces in their home.</w:t>
      </w:r>
      <w:r w:rsidRPr="006A377F">
        <w:rPr>
          <w:lang w:eastAsia="en-US"/>
        </w:rPr>
        <w:t xml:space="preserve"> </w:t>
      </w:r>
      <w:r>
        <w:rPr>
          <w:lang w:eastAsia="en-US"/>
        </w:rPr>
        <w:t>Around 13 per cent thought that their door openings were wider than most other homes.</w:t>
      </w:r>
    </w:p>
    <w:p w:rsidR="007C6A5F" w:rsidRDefault="007C6A5F" w:rsidP="007C6A5F">
      <w:pPr>
        <w:pStyle w:val="Caption"/>
      </w:pPr>
      <w:r w:rsidRPr="00455A3F">
        <w:fldChar w:fldCharType="begin"/>
      </w:r>
      <w:r w:rsidRPr="00455A3F">
        <w:instrText xml:space="preserve"> IF 1 = 1 "</w:instrText>
      </w:r>
      <w:r w:rsidRPr="00455A3F">
        <w:fldChar w:fldCharType="begin"/>
      </w:r>
      <w:r w:rsidRPr="00455A3F">
        <w:instrText xml:space="preserve"> IF </w:instrText>
      </w:r>
      <w:r w:rsidRPr="00455A3F">
        <w:rPr>
          <w:noProof/>
        </w:rPr>
        <w:fldChar w:fldCharType="begin"/>
      </w:r>
      <w:r w:rsidRPr="00455A3F">
        <w:rPr>
          <w:noProof/>
        </w:rPr>
        <w:instrText xml:space="preserve"> STYLEREF "Heading 6" \l \n </w:instrText>
      </w:r>
      <w:r w:rsidRPr="00455A3F">
        <w:rPr>
          <w:noProof/>
        </w:rPr>
        <w:fldChar w:fldCharType="separate"/>
      </w:r>
      <w:r w:rsidRPr="00455A3F">
        <w:rPr>
          <w:noProof/>
        </w:rPr>
        <w:instrText>K</w:instrText>
      </w:r>
      <w:r w:rsidRPr="00455A3F">
        <w:rPr>
          <w:noProof/>
        </w:rPr>
        <w:fldChar w:fldCharType="end"/>
      </w:r>
      <w:r w:rsidRPr="00455A3F">
        <w:instrText xml:space="preserve"> = 0 "</w:instrText>
      </w:r>
      <w:r w:rsidRPr="00455A3F">
        <w:fldChar w:fldCharType="begin"/>
      </w:r>
      <w:r w:rsidRPr="00455A3F">
        <w:instrText xml:space="preserve"> IF </w:instrText>
      </w:r>
      <w:r w:rsidRPr="00455A3F">
        <w:rPr>
          <w:noProof/>
        </w:rPr>
        <w:fldChar w:fldCharType="begin"/>
      </w:r>
      <w:r w:rsidRPr="00455A3F">
        <w:rPr>
          <w:noProof/>
        </w:rPr>
        <w:instrText xml:space="preserve"> STYLEREF "Heading 1" \l \n </w:instrText>
      </w:r>
      <w:r w:rsidRPr="00455A3F">
        <w:rPr>
          <w:noProof/>
        </w:rPr>
        <w:fldChar w:fldCharType="separate"/>
      </w:r>
      <w:r w:rsidRPr="00455A3F">
        <w:rPr>
          <w:noProof/>
        </w:rPr>
        <w:instrText>0</w:instrText>
      </w:r>
      <w:r w:rsidRPr="00455A3F">
        <w:rPr>
          <w:noProof/>
        </w:rPr>
        <w:fldChar w:fldCharType="end"/>
      </w:r>
      <w:r w:rsidRPr="00455A3F">
        <w:instrText xml:space="preserve"> = 0 "" "</w:instrText>
      </w:r>
      <w:r w:rsidRPr="00455A3F">
        <w:rPr>
          <w:noProof/>
        </w:rPr>
        <w:fldChar w:fldCharType="begin"/>
      </w:r>
      <w:r w:rsidRPr="00455A3F">
        <w:rPr>
          <w:noProof/>
        </w:rPr>
        <w:instrText xml:space="preserve"> STYLEREF "Heading 1" \l \n </w:instrText>
      </w:r>
      <w:r w:rsidRPr="00455A3F">
        <w:rPr>
          <w:noProof/>
        </w:rPr>
        <w:fldChar w:fldCharType="separate"/>
      </w:r>
      <w:r w:rsidRPr="00455A3F">
        <w:rPr>
          <w:noProof/>
        </w:rPr>
        <w:instrText>2</w:instrText>
      </w:r>
      <w:r w:rsidRPr="00455A3F">
        <w:rPr>
          <w:noProof/>
        </w:rPr>
        <w:fldChar w:fldCharType="end"/>
      </w:r>
      <w:r w:rsidRPr="00455A3F">
        <w:instrText xml:space="preserve">." </w:instrText>
      </w:r>
      <w:r w:rsidRPr="00455A3F">
        <w:fldChar w:fldCharType="end"/>
      </w:r>
      <w:r w:rsidRPr="00455A3F">
        <w:instrText>" "</w:instrText>
      </w:r>
      <w:r w:rsidRPr="00455A3F">
        <w:rPr>
          <w:noProof/>
        </w:rPr>
        <w:fldChar w:fldCharType="begin"/>
      </w:r>
      <w:r w:rsidRPr="00455A3F">
        <w:rPr>
          <w:noProof/>
        </w:rPr>
        <w:instrText xml:space="preserve"> STYLEREF "Heading 6" \l \n </w:instrText>
      </w:r>
      <w:r w:rsidRPr="00455A3F">
        <w:rPr>
          <w:noProof/>
        </w:rPr>
        <w:fldChar w:fldCharType="separate"/>
      </w:r>
      <w:r w:rsidRPr="00455A3F">
        <w:rPr>
          <w:noProof/>
        </w:rPr>
        <w:instrText>K</w:instrText>
      </w:r>
      <w:r w:rsidRPr="00455A3F">
        <w:rPr>
          <w:noProof/>
        </w:rPr>
        <w:fldChar w:fldCharType="end"/>
      </w:r>
      <w:r w:rsidRPr="00455A3F">
        <w:instrText xml:space="preserve">." </w:instrText>
      </w:r>
      <w:r w:rsidRPr="00455A3F">
        <w:fldChar w:fldCharType="separate"/>
      </w:r>
      <w:r w:rsidRPr="00455A3F">
        <w:rPr>
          <w:noProof/>
        </w:rPr>
        <w:instrText>K.</w:instrText>
      </w:r>
      <w:r w:rsidRPr="00455A3F">
        <w:fldChar w:fldCharType="end"/>
      </w:r>
      <w:r w:rsidRPr="00455A3F">
        <w:fldChar w:fldCharType="begin"/>
      </w:r>
      <w:r w:rsidRPr="00455A3F">
        <w:instrText xml:space="preserve"> SEQ Item \* ARABIC \s </w:instrText>
      </w:r>
      <w:r w:rsidRPr="00455A3F">
        <w:fldChar w:fldCharType="begin"/>
      </w:r>
      <w:r w:rsidRPr="00455A3F">
        <w:instrText xml:space="preserve"> IF </w:instrText>
      </w:r>
      <w:r w:rsidRPr="00455A3F">
        <w:rPr>
          <w:noProof/>
        </w:rPr>
        <w:fldChar w:fldCharType="begin"/>
      </w:r>
      <w:r w:rsidRPr="00455A3F">
        <w:rPr>
          <w:noProof/>
        </w:rPr>
        <w:instrText xml:space="preserve"> STYLEREF "Heading 6" \l \n </w:instrText>
      </w:r>
      <w:r w:rsidRPr="00455A3F">
        <w:rPr>
          <w:noProof/>
        </w:rPr>
        <w:fldChar w:fldCharType="separate"/>
      </w:r>
      <w:r w:rsidRPr="00455A3F">
        <w:rPr>
          <w:noProof/>
        </w:rPr>
        <w:instrText>K</w:instrText>
      </w:r>
      <w:r w:rsidRPr="00455A3F">
        <w:rPr>
          <w:noProof/>
        </w:rPr>
        <w:fldChar w:fldCharType="end"/>
      </w:r>
      <w:r w:rsidRPr="00455A3F">
        <w:instrText xml:space="preserve"> = 0 "</w:instrText>
      </w:r>
      <w:r w:rsidRPr="00455A3F">
        <w:fldChar w:fldCharType="begin"/>
      </w:r>
      <w:r w:rsidRPr="00455A3F">
        <w:instrText xml:space="preserve"> IF </w:instrText>
      </w:r>
      <w:r w:rsidRPr="00455A3F">
        <w:rPr>
          <w:noProof/>
        </w:rPr>
        <w:fldChar w:fldCharType="begin"/>
      </w:r>
      <w:r w:rsidRPr="00455A3F">
        <w:rPr>
          <w:noProof/>
        </w:rPr>
        <w:instrText xml:space="preserve"> STYLEREF "Heading 1" \l \n </w:instrText>
      </w:r>
      <w:r w:rsidRPr="00455A3F">
        <w:rPr>
          <w:noProof/>
        </w:rPr>
        <w:fldChar w:fldCharType="separate"/>
      </w:r>
      <w:r w:rsidRPr="00455A3F">
        <w:rPr>
          <w:noProof/>
        </w:rPr>
        <w:instrText>0</w:instrText>
      </w:r>
      <w:r w:rsidRPr="00455A3F">
        <w:rPr>
          <w:noProof/>
        </w:rPr>
        <w:fldChar w:fldCharType="end"/>
      </w:r>
      <w:r w:rsidRPr="00455A3F">
        <w:instrText xml:space="preserve"> = 0 "" "1" </w:instrText>
      </w:r>
      <w:r w:rsidRPr="00455A3F">
        <w:fldChar w:fldCharType="end"/>
      </w:r>
      <w:r w:rsidRPr="00455A3F">
        <w:instrText xml:space="preserve">" "6" </w:instrText>
      </w:r>
      <w:r w:rsidRPr="00455A3F">
        <w:fldChar w:fldCharType="separate"/>
      </w:r>
      <w:r w:rsidRPr="00455A3F">
        <w:rPr>
          <w:noProof/>
        </w:rPr>
        <w:instrText>6</w:instrText>
      </w:r>
      <w:r w:rsidRPr="00455A3F">
        <w:fldChar w:fldCharType="end"/>
      </w:r>
      <w:r w:rsidRPr="00455A3F">
        <w:instrText xml:space="preserve"> </w:instrText>
      </w:r>
      <w:r w:rsidRPr="00455A3F">
        <w:fldChar w:fldCharType="separate"/>
      </w:r>
      <w:r w:rsidRPr="00455A3F">
        <w:rPr>
          <w:noProof/>
        </w:rPr>
        <w:instrText>8</w:instrText>
      </w:r>
      <w:r w:rsidRPr="00455A3F">
        <w:fldChar w:fldCharType="end"/>
      </w:r>
      <w:r w:rsidRPr="00455A3F">
        <w:instrText xml:space="preserve">" "" </w:instrText>
      </w:r>
      <w:r w:rsidRPr="00455A3F">
        <w:fldChar w:fldCharType="separate"/>
      </w:r>
      <w:bookmarkStart w:id="9156" w:name="_Caption5706"/>
      <w:bookmarkStart w:id="9157" w:name="_Caption9792"/>
      <w:bookmarkStart w:id="9158" w:name="_Caption3056"/>
      <w:bookmarkStart w:id="9159" w:name="_Caption7064"/>
      <w:bookmarkStart w:id="9160" w:name="_Caption5268"/>
      <w:bookmarkStart w:id="9161" w:name="_Caption2263"/>
      <w:bookmarkStart w:id="9162" w:name="_Caption9104"/>
      <w:bookmarkStart w:id="9163" w:name="_Caption4097"/>
      <w:bookmarkStart w:id="9164" w:name="_Caption9558"/>
      <w:bookmarkStart w:id="9165" w:name="_Caption9186"/>
      <w:bookmarkStart w:id="9166" w:name="_Caption4556"/>
      <w:bookmarkStart w:id="9167" w:name="_Caption5928"/>
      <w:bookmarkStart w:id="9168" w:name="_Caption9248"/>
      <w:bookmarkStart w:id="9169" w:name="_Caption9163"/>
      <w:bookmarkStart w:id="9170" w:name="_Caption5776"/>
      <w:bookmarkStart w:id="9171" w:name="_Caption6906"/>
      <w:bookmarkStart w:id="9172" w:name="_Caption5206"/>
      <w:bookmarkStart w:id="9173" w:name="_Caption3907"/>
      <w:bookmarkStart w:id="9174" w:name="_Caption3412"/>
      <w:bookmarkStart w:id="9175" w:name="_Caption5771"/>
      <w:bookmarkStart w:id="9176" w:name="_Caption5685"/>
      <w:bookmarkStart w:id="9177" w:name="_Caption2679"/>
      <w:bookmarkStart w:id="9178" w:name="_Caption8364"/>
      <w:bookmarkStart w:id="9179" w:name="_Caption0446"/>
      <w:bookmarkStart w:id="9180" w:name="_Caption6775"/>
      <w:bookmarkStart w:id="9181" w:name="_Caption5582"/>
      <w:bookmarkStart w:id="9182" w:name="_Caption3419"/>
      <w:bookmarkStart w:id="9183" w:name="_Caption5141"/>
      <w:bookmarkStart w:id="9184" w:name="_Caption4887"/>
      <w:bookmarkStart w:id="9185" w:name="_Caption7751"/>
      <w:bookmarkStart w:id="9186" w:name="_Caption9620"/>
      <w:bookmarkStart w:id="9187" w:name="_Caption6339"/>
      <w:bookmarkStart w:id="9188" w:name="_Caption4225"/>
      <w:bookmarkStart w:id="9189" w:name="_Caption1240"/>
      <w:bookmarkStart w:id="9190" w:name="_Caption4253"/>
      <w:bookmarkStart w:id="9191" w:name="_Caption8761"/>
      <w:bookmarkStart w:id="9192" w:name="_Caption8569"/>
      <w:bookmarkStart w:id="9193" w:name="_Caption0771"/>
      <w:bookmarkStart w:id="9194" w:name="_Caption2259"/>
      <w:bookmarkStart w:id="9195" w:name="_Caption4460"/>
      <w:bookmarkStart w:id="9196" w:name="_Caption2865"/>
      <w:bookmarkStart w:id="9197" w:name="_Caption7435"/>
      <w:bookmarkStart w:id="9198" w:name="_Caption2020"/>
      <w:bookmarkStart w:id="9199" w:name="_Caption2963"/>
      <w:bookmarkStart w:id="9200" w:name="_Caption6939"/>
      <w:bookmarkStart w:id="9201" w:name="_Caption7918"/>
      <w:bookmarkStart w:id="9202" w:name="_Caption7219"/>
      <w:bookmarkStart w:id="9203" w:name="_Caption8527"/>
      <w:bookmarkStart w:id="9204" w:name="_Caption5057"/>
      <w:bookmarkStart w:id="9205" w:name="_Caption8786"/>
      <w:bookmarkStart w:id="9206" w:name="_Caption1604"/>
      <w:bookmarkStart w:id="9207" w:name="_Caption1490"/>
      <w:bookmarkStart w:id="9208" w:name="_Caption7603"/>
      <w:bookmarkStart w:id="9209" w:name="_Caption7903"/>
      <w:bookmarkStart w:id="9210" w:name="_Caption4464"/>
      <w:bookmarkStart w:id="9211" w:name="_Caption2571"/>
      <w:bookmarkStart w:id="9212" w:name="_Caption0294"/>
      <w:bookmarkStart w:id="9213" w:name="_Caption8501"/>
      <w:bookmarkStart w:id="9214" w:name="_Caption2448"/>
      <w:bookmarkStart w:id="9215" w:name="_Caption5414"/>
      <w:bookmarkStart w:id="9216" w:name="_Caption6432"/>
      <w:bookmarkStart w:id="9217" w:name="_Caption0235"/>
      <w:bookmarkStart w:id="9218" w:name="_Caption9146"/>
      <w:bookmarkStart w:id="9219" w:name="_Caption6595"/>
      <w:bookmarkStart w:id="9220" w:name="_Caption0406"/>
      <w:bookmarkStart w:id="9221" w:name="_Caption6439"/>
      <w:bookmarkStart w:id="9222" w:name="_Caption4559"/>
      <w:bookmarkStart w:id="9223" w:name="_Caption9710"/>
      <w:bookmarkStart w:id="9224" w:name="_Caption5930"/>
      <w:bookmarkStart w:id="9225" w:name="_Caption4224"/>
      <w:bookmarkStart w:id="9226" w:name="_Caption5504"/>
      <w:bookmarkStart w:id="9227" w:name="_Caption1558"/>
      <w:bookmarkStart w:id="9228" w:name="_Caption7499"/>
      <w:bookmarkStart w:id="9229" w:name="_Caption1780"/>
      <w:bookmarkStart w:id="9230" w:name="_Caption2637"/>
      <w:bookmarkStart w:id="9231" w:name="_Caption9693"/>
      <w:bookmarkStart w:id="9232" w:name="_Caption3104"/>
      <w:bookmarkStart w:id="9233" w:name="_Caption5513"/>
      <w:bookmarkStart w:id="9234" w:name="_Caption2164"/>
      <w:bookmarkStart w:id="9235" w:name="_Caption3040"/>
      <w:bookmarkStart w:id="9236" w:name="_Caption3628"/>
      <w:bookmarkStart w:id="9237" w:name="_Caption3288"/>
      <w:bookmarkStart w:id="9238" w:name="_Caption0440"/>
      <w:bookmarkStart w:id="9239" w:name="_Caption1658"/>
      <w:bookmarkStart w:id="9240" w:name="_Caption2343"/>
      <w:bookmarkStart w:id="9241" w:name="_Caption0899"/>
      <w:bookmarkStart w:id="9242" w:name="_Caption9559"/>
      <w:bookmarkStart w:id="9243" w:name="_Caption4980"/>
      <w:bookmarkStart w:id="9244" w:name="_Caption2747"/>
      <w:bookmarkStart w:id="9245" w:name="_Caption5523"/>
      <w:bookmarkStart w:id="9246" w:name="_Caption2522"/>
      <w:bookmarkStart w:id="9247" w:name="_Caption6619"/>
      <w:bookmarkStart w:id="9248" w:name="_Caption5337"/>
      <w:bookmarkStart w:id="9249" w:name="_Toc32321932"/>
      <w:bookmarkStart w:id="9250" w:name="_Toc44598638"/>
      <w:bookmarkStart w:id="9251" w:name="_Toc45654269"/>
      <w:r w:rsidR="00272AF3" w:rsidRPr="00455A3F">
        <w:rPr>
          <w:noProof/>
        </w:rPr>
        <w:t>K.8</w:t>
      </w:r>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r w:rsidRPr="00455A3F">
        <w:fldChar w:fldCharType="end"/>
      </w:r>
      <w:r w:rsidRPr="00455A3F">
        <w:tab/>
        <w:t>Accessibility features in the existing housing stock</w:t>
      </w:r>
      <w:bookmarkEnd w:id="9249"/>
      <w:bookmarkEnd w:id="9250"/>
      <w:bookmarkEnd w:id="9251"/>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8"/>
        <w:tblDescription w:val="Accessibility features in the existing housing stock"/>
      </w:tblPr>
      <w:tblGrid>
        <w:gridCol w:w="993"/>
        <w:gridCol w:w="5244"/>
        <w:gridCol w:w="1700"/>
      </w:tblGrid>
      <w:tr w:rsidR="00455A3F" w:rsidRPr="00424938" w:rsidTr="00B013C5">
        <w:trPr>
          <w:trHeight w:val="600"/>
          <w:tblHeader/>
        </w:trPr>
        <w:tc>
          <w:tcPr>
            <w:tcW w:w="993" w:type="dxa"/>
            <w:tcBorders>
              <w:bottom w:val="single" w:sz="8" w:space="0" w:color="FFFFFF" w:themeColor="background1"/>
            </w:tcBorders>
            <w:shd w:val="clear" w:color="auto" w:fill="6F6652" w:themeFill="accent5"/>
            <w:hideMark/>
          </w:tcPr>
          <w:p w:rsidR="00455A3F" w:rsidRPr="00424938" w:rsidRDefault="00455A3F" w:rsidP="0007143C">
            <w:pPr>
              <w:pStyle w:val="TableDataColumnHeading"/>
              <w:jc w:val="left"/>
            </w:pPr>
            <w:r>
              <w:t>Feature question</w:t>
            </w:r>
          </w:p>
        </w:tc>
        <w:tc>
          <w:tcPr>
            <w:tcW w:w="5244" w:type="dxa"/>
            <w:tcBorders>
              <w:bottom w:val="single" w:sz="8" w:space="0" w:color="FFFFFF" w:themeColor="background1"/>
            </w:tcBorders>
            <w:shd w:val="clear" w:color="auto" w:fill="6F6652" w:themeFill="accent5"/>
          </w:tcPr>
          <w:p w:rsidR="00455A3F" w:rsidRPr="00424938" w:rsidRDefault="00455A3F" w:rsidP="0007143C">
            <w:pPr>
              <w:pStyle w:val="TableDataColumnHeading"/>
              <w:jc w:val="left"/>
            </w:pPr>
            <w:r>
              <w:t>Specification/Answer</w:t>
            </w:r>
          </w:p>
        </w:tc>
        <w:tc>
          <w:tcPr>
            <w:tcW w:w="1700" w:type="dxa"/>
            <w:tcBorders>
              <w:bottom w:val="single" w:sz="8" w:space="0" w:color="FFFFFF" w:themeColor="background1"/>
            </w:tcBorders>
            <w:shd w:val="clear" w:color="auto" w:fill="6F6652" w:themeFill="accent5"/>
            <w:hideMark/>
          </w:tcPr>
          <w:p w:rsidR="00455A3F" w:rsidRPr="00424938" w:rsidRDefault="00455A3F" w:rsidP="00B013C5">
            <w:pPr>
              <w:pStyle w:val="TableDataColumnHeading"/>
            </w:pPr>
            <w:r w:rsidRPr="00424938">
              <w:t>Reweighted sample</w:t>
            </w:r>
            <w:r w:rsidR="00B013C5">
              <w:br/>
            </w:r>
            <w:r>
              <w:t>(per cent)</w:t>
            </w:r>
          </w:p>
        </w:tc>
      </w:tr>
      <w:tr w:rsidR="00455A3F" w:rsidRPr="00424938" w:rsidTr="00B013C5">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t>Q1</w:t>
            </w:r>
          </w:p>
        </w:tc>
        <w:tc>
          <w:tcPr>
            <w:tcW w:w="5244"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24938">
              <w:t>no steps between street/parking and the entrance</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455A3F" w:rsidRPr="00424938" w:rsidRDefault="00455A3F" w:rsidP="00455A3F">
            <w:pPr>
              <w:pStyle w:val="TableDataEntries"/>
            </w:pPr>
            <w:r w:rsidRPr="00424938">
              <w:t>31.6%</w:t>
            </w:r>
          </w:p>
        </w:tc>
      </w:tr>
      <w:tr w:rsidR="00455A3F" w:rsidRPr="00424938" w:rsidTr="00B013C5">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5F7A2A">
              <w:t>Q1</w:t>
            </w:r>
          </w:p>
        </w:tc>
        <w:tc>
          <w:tcPr>
            <w:tcW w:w="5244"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24938">
              <w:t>a single step between street/parking and the entrance</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455A3F" w:rsidRPr="00424938" w:rsidRDefault="00455A3F" w:rsidP="00455A3F">
            <w:pPr>
              <w:pStyle w:val="TableDataEntries"/>
            </w:pPr>
            <w:r w:rsidRPr="00424938">
              <w:t>34.1%</w:t>
            </w:r>
          </w:p>
        </w:tc>
      </w:tr>
      <w:tr w:rsidR="00455A3F" w:rsidRPr="00424938" w:rsidTr="00B013C5">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5F7A2A">
              <w:t>Q1</w:t>
            </w:r>
          </w:p>
        </w:tc>
        <w:tc>
          <w:tcPr>
            <w:tcW w:w="5244"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24938">
              <w:t>several steps between street/parking and the entrance</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455A3F" w:rsidRPr="00424938" w:rsidRDefault="00455A3F" w:rsidP="00455A3F">
            <w:pPr>
              <w:pStyle w:val="TableDataEntries"/>
            </w:pPr>
            <w:r w:rsidRPr="00424938">
              <w:t>34.2%</w:t>
            </w:r>
          </w:p>
        </w:tc>
      </w:tr>
      <w:tr w:rsidR="00455A3F" w:rsidRPr="00424938" w:rsidTr="00B013C5">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t>Q2</w:t>
            </w:r>
          </w:p>
        </w:tc>
        <w:tc>
          <w:tcPr>
            <w:tcW w:w="5244"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24938">
              <w:t>door openings similar to other homes</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455A3F" w:rsidRPr="00424938" w:rsidRDefault="00455A3F" w:rsidP="00455A3F">
            <w:pPr>
              <w:pStyle w:val="TableDataEntries"/>
            </w:pPr>
            <w:r w:rsidRPr="00424938">
              <w:t>82.1%</w:t>
            </w:r>
          </w:p>
        </w:tc>
      </w:tr>
      <w:tr w:rsidR="00455A3F" w:rsidRPr="00424938" w:rsidTr="00B013C5">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85EA0">
              <w:t>Q2</w:t>
            </w:r>
          </w:p>
        </w:tc>
        <w:tc>
          <w:tcPr>
            <w:tcW w:w="5244"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24938">
              <w:t>door openings wider than most other homes</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455A3F" w:rsidRPr="00424938" w:rsidRDefault="00455A3F" w:rsidP="00455A3F">
            <w:pPr>
              <w:pStyle w:val="TableDataEntries"/>
            </w:pPr>
            <w:r w:rsidRPr="00424938">
              <w:t>12.6%</w:t>
            </w:r>
          </w:p>
        </w:tc>
      </w:tr>
      <w:tr w:rsidR="00455A3F" w:rsidRPr="00424938" w:rsidTr="00B013C5">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85EA0">
              <w:t>Q2</w:t>
            </w:r>
          </w:p>
        </w:tc>
        <w:tc>
          <w:tcPr>
            <w:tcW w:w="5244"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24938">
              <w:t>Don’t know</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455A3F" w:rsidRPr="00424938" w:rsidRDefault="00455A3F" w:rsidP="00455A3F">
            <w:pPr>
              <w:pStyle w:val="TableDataEntries"/>
            </w:pPr>
            <w:r w:rsidRPr="00424938">
              <w:t>5.3%</w:t>
            </w:r>
          </w:p>
        </w:tc>
      </w:tr>
      <w:tr w:rsidR="00455A3F" w:rsidRPr="00424938" w:rsidTr="00B013C5">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t>Q3</w:t>
            </w:r>
          </w:p>
        </w:tc>
        <w:tc>
          <w:tcPr>
            <w:tcW w:w="5244"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24938">
              <w:t>All of these spaces are large enough</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455A3F" w:rsidRPr="00424938" w:rsidRDefault="00455A3F" w:rsidP="00455A3F">
            <w:pPr>
              <w:pStyle w:val="TableDataEntries"/>
            </w:pPr>
            <w:r w:rsidRPr="00424938">
              <w:t>20.7%</w:t>
            </w:r>
          </w:p>
        </w:tc>
      </w:tr>
      <w:tr w:rsidR="00455A3F" w:rsidRPr="00424938" w:rsidTr="00B013C5">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972216">
              <w:t>Q3</w:t>
            </w:r>
          </w:p>
        </w:tc>
        <w:tc>
          <w:tcPr>
            <w:tcW w:w="5244"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24938">
              <w:t>Some of these spaces are large enough</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455A3F" w:rsidRPr="00424938" w:rsidRDefault="00455A3F" w:rsidP="00455A3F">
            <w:pPr>
              <w:pStyle w:val="TableDataEntries"/>
            </w:pPr>
            <w:r w:rsidRPr="00424938">
              <w:t>54.3%</w:t>
            </w:r>
          </w:p>
        </w:tc>
      </w:tr>
      <w:tr w:rsidR="00455A3F" w:rsidRPr="00424938" w:rsidTr="00B013C5">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972216">
              <w:t>Q3</w:t>
            </w:r>
          </w:p>
        </w:tc>
        <w:tc>
          <w:tcPr>
            <w:tcW w:w="5244"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24938">
              <w:t>None of these spaces are large enough</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455A3F" w:rsidRPr="00424938" w:rsidRDefault="00455A3F" w:rsidP="00455A3F">
            <w:pPr>
              <w:pStyle w:val="TableDataEntries"/>
            </w:pPr>
            <w:r w:rsidRPr="00424938">
              <w:t>20.4%</w:t>
            </w:r>
          </w:p>
        </w:tc>
      </w:tr>
      <w:tr w:rsidR="00455A3F" w:rsidRPr="00424938" w:rsidTr="00B013C5">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972216">
              <w:t>Q3</w:t>
            </w:r>
          </w:p>
        </w:tc>
        <w:tc>
          <w:tcPr>
            <w:tcW w:w="5244"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24938">
              <w:t>I can't make an educated guess</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455A3F" w:rsidRPr="00424938" w:rsidRDefault="00455A3F" w:rsidP="00455A3F">
            <w:pPr>
              <w:pStyle w:val="TableDataEntries"/>
            </w:pPr>
            <w:r w:rsidRPr="00424938">
              <w:t>4.7%</w:t>
            </w:r>
          </w:p>
        </w:tc>
      </w:tr>
      <w:tr w:rsidR="00455A3F" w:rsidRPr="00424938" w:rsidTr="00B013C5">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13D5D">
              <w:t>Q4</w:t>
            </w:r>
          </w:p>
        </w:tc>
        <w:tc>
          <w:tcPr>
            <w:tcW w:w="5244"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24938">
              <w:t>Step-free shower entry</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455A3F" w:rsidRPr="00424938" w:rsidRDefault="00455A3F" w:rsidP="00455A3F">
            <w:pPr>
              <w:pStyle w:val="TableDataEntries"/>
            </w:pPr>
            <w:r w:rsidRPr="00424938">
              <w:t>28.9%</w:t>
            </w:r>
          </w:p>
        </w:tc>
      </w:tr>
      <w:tr w:rsidR="00455A3F" w:rsidRPr="00424938" w:rsidTr="00B013C5">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13D5D">
              <w:t>Q4</w:t>
            </w:r>
          </w:p>
        </w:tc>
        <w:tc>
          <w:tcPr>
            <w:tcW w:w="5244"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24938">
              <w:t>Hob/kerb shower entry</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455A3F" w:rsidRPr="00424938" w:rsidRDefault="00455A3F" w:rsidP="00455A3F">
            <w:pPr>
              <w:pStyle w:val="TableDataEntries"/>
            </w:pPr>
            <w:r w:rsidRPr="00424938">
              <w:t>36.1%</w:t>
            </w:r>
          </w:p>
        </w:tc>
      </w:tr>
      <w:tr w:rsidR="00455A3F" w:rsidRPr="00424938" w:rsidTr="00B013C5">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13D5D">
              <w:t>Q4</w:t>
            </w:r>
          </w:p>
        </w:tc>
        <w:tc>
          <w:tcPr>
            <w:tcW w:w="5244"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24938">
              <w:t>Stepped shower entry</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455A3F" w:rsidRPr="00424938" w:rsidRDefault="00455A3F" w:rsidP="00455A3F">
            <w:pPr>
              <w:pStyle w:val="TableDataEntries"/>
            </w:pPr>
            <w:r w:rsidRPr="00424938">
              <w:t>24.8%</w:t>
            </w:r>
          </w:p>
        </w:tc>
      </w:tr>
      <w:tr w:rsidR="00455A3F" w:rsidRPr="00424938" w:rsidTr="00B013C5">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13D5D">
              <w:t>Q4</w:t>
            </w:r>
          </w:p>
        </w:tc>
        <w:tc>
          <w:tcPr>
            <w:tcW w:w="5244"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24938">
              <w:t>Shower over bath</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455A3F" w:rsidRPr="00424938" w:rsidRDefault="00455A3F" w:rsidP="00455A3F">
            <w:pPr>
              <w:pStyle w:val="TableDataEntries"/>
            </w:pPr>
            <w:r w:rsidRPr="00424938">
              <w:t>13.9%</w:t>
            </w:r>
          </w:p>
        </w:tc>
      </w:tr>
      <w:tr w:rsidR="00455A3F" w:rsidRPr="00424938" w:rsidTr="00B013C5">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13D5D">
              <w:t>Q4</w:t>
            </w:r>
          </w:p>
        </w:tc>
        <w:tc>
          <w:tcPr>
            <w:tcW w:w="5244"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24938">
              <w:t>Don’t know</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455A3F" w:rsidRPr="00424938" w:rsidRDefault="00455A3F" w:rsidP="00455A3F">
            <w:pPr>
              <w:pStyle w:val="TableDataEntries"/>
            </w:pPr>
            <w:r w:rsidRPr="00424938">
              <w:t>1.5%</w:t>
            </w:r>
          </w:p>
        </w:tc>
      </w:tr>
      <w:tr w:rsidR="00455A3F" w:rsidRPr="00424938" w:rsidTr="00B013C5">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t>Q5</w:t>
            </w:r>
          </w:p>
        </w:tc>
        <w:tc>
          <w:tcPr>
            <w:tcW w:w="5244"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24938">
              <w:t>Yes</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455A3F" w:rsidRPr="00424938" w:rsidRDefault="00455A3F" w:rsidP="00455A3F">
            <w:pPr>
              <w:pStyle w:val="TableDataEntries"/>
            </w:pPr>
            <w:r w:rsidRPr="00424938">
              <w:t>84.8%</w:t>
            </w:r>
          </w:p>
        </w:tc>
      </w:tr>
      <w:tr w:rsidR="00455A3F" w:rsidRPr="00424938" w:rsidTr="00B013C5">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0D59CC">
              <w:t>Q5</w:t>
            </w:r>
          </w:p>
        </w:tc>
        <w:tc>
          <w:tcPr>
            <w:tcW w:w="5244"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24938">
              <w:t>No</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455A3F" w:rsidRPr="00424938" w:rsidRDefault="00455A3F" w:rsidP="00455A3F">
            <w:pPr>
              <w:pStyle w:val="TableDataEntries"/>
            </w:pPr>
            <w:r w:rsidRPr="00424938">
              <w:t>13.4%</w:t>
            </w:r>
          </w:p>
        </w:tc>
      </w:tr>
      <w:tr w:rsidR="00455A3F" w:rsidRPr="00424938" w:rsidTr="00B013C5">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0D59CC">
              <w:t>Q5</w:t>
            </w:r>
          </w:p>
        </w:tc>
        <w:tc>
          <w:tcPr>
            <w:tcW w:w="5244"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24938">
              <w:t>Don’t know</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455A3F" w:rsidRPr="00424938" w:rsidRDefault="00455A3F" w:rsidP="00455A3F">
            <w:pPr>
              <w:pStyle w:val="TableDataEntries"/>
            </w:pPr>
            <w:r w:rsidRPr="00424938">
              <w:t>1.7%</w:t>
            </w:r>
          </w:p>
        </w:tc>
      </w:tr>
      <w:tr w:rsidR="00455A3F" w:rsidRPr="00424938" w:rsidTr="00B013C5">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694100">
              <w:t>Q6</w:t>
            </w:r>
          </w:p>
        </w:tc>
        <w:tc>
          <w:tcPr>
            <w:tcW w:w="5244"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24938">
              <w:t>Yes</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455A3F" w:rsidRPr="00424938" w:rsidRDefault="00455A3F" w:rsidP="00455A3F">
            <w:pPr>
              <w:pStyle w:val="TableDataEntries"/>
            </w:pPr>
            <w:r w:rsidRPr="00424938">
              <w:t>74.6%</w:t>
            </w:r>
          </w:p>
        </w:tc>
      </w:tr>
      <w:tr w:rsidR="00455A3F" w:rsidRPr="00424938" w:rsidTr="00B013C5">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694100">
              <w:t>Q6</w:t>
            </w:r>
          </w:p>
        </w:tc>
        <w:tc>
          <w:tcPr>
            <w:tcW w:w="5244"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24938">
              <w:t>No</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455A3F" w:rsidRPr="00424938" w:rsidRDefault="00455A3F" w:rsidP="00455A3F">
            <w:pPr>
              <w:pStyle w:val="TableDataEntries"/>
            </w:pPr>
            <w:r w:rsidRPr="00424938">
              <w:t>23.2%</w:t>
            </w:r>
          </w:p>
        </w:tc>
      </w:tr>
      <w:tr w:rsidR="00455A3F" w:rsidRPr="00424938" w:rsidTr="00B013C5">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694100">
              <w:t>Q6</w:t>
            </w:r>
          </w:p>
        </w:tc>
        <w:tc>
          <w:tcPr>
            <w:tcW w:w="5244" w:type="dxa"/>
            <w:tcBorders>
              <w:top w:val="single" w:sz="8" w:space="0" w:color="FFFFFF" w:themeColor="background1"/>
              <w:bottom w:val="single" w:sz="8" w:space="0" w:color="FFFFFF" w:themeColor="background1"/>
            </w:tcBorders>
            <w:shd w:val="clear" w:color="auto" w:fill="E9E8E5" w:themeFill="background2"/>
          </w:tcPr>
          <w:p w:rsidR="00455A3F" w:rsidRPr="00424938" w:rsidRDefault="00455A3F" w:rsidP="00455A3F">
            <w:pPr>
              <w:pStyle w:val="TableDataEntries"/>
              <w:jc w:val="left"/>
            </w:pPr>
            <w:r w:rsidRPr="00424938">
              <w:t>Don’t know</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455A3F" w:rsidRPr="00424938" w:rsidRDefault="00455A3F" w:rsidP="00455A3F">
            <w:pPr>
              <w:pStyle w:val="TableDataEntries"/>
            </w:pPr>
            <w:r w:rsidRPr="00424938">
              <w:t>2.2%</w:t>
            </w:r>
          </w:p>
        </w:tc>
      </w:tr>
      <w:tr w:rsidR="00B013C5" w:rsidRPr="00424938" w:rsidTr="00B013C5">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rsidR="00B013C5" w:rsidRPr="00424938" w:rsidRDefault="00B013C5" w:rsidP="00B013C5">
            <w:pPr>
              <w:pStyle w:val="TableDataEntries"/>
              <w:jc w:val="left"/>
            </w:pPr>
            <w:r w:rsidRPr="00221F83">
              <w:t>Q7</w:t>
            </w:r>
          </w:p>
        </w:tc>
        <w:tc>
          <w:tcPr>
            <w:tcW w:w="5244" w:type="dxa"/>
            <w:tcBorders>
              <w:top w:val="single" w:sz="8" w:space="0" w:color="FFFFFF" w:themeColor="background1"/>
              <w:bottom w:val="single" w:sz="8" w:space="0" w:color="FFFFFF" w:themeColor="background1"/>
            </w:tcBorders>
            <w:shd w:val="clear" w:color="auto" w:fill="E9E8E5" w:themeFill="background2"/>
          </w:tcPr>
          <w:p w:rsidR="00B013C5" w:rsidRPr="00424938" w:rsidRDefault="00B013C5" w:rsidP="00B013C5">
            <w:pPr>
              <w:pStyle w:val="TableDataEntries"/>
              <w:jc w:val="left"/>
            </w:pPr>
            <w:r w:rsidRPr="00424938">
              <w:t>Straight stairs</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B013C5" w:rsidRPr="00424938" w:rsidRDefault="00B013C5" w:rsidP="00B013C5">
            <w:pPr>
              <w:pStyle w:val="TableDataEntries"/>
            </w:pPr>
            <w:r w:rsidRPr="00424938">
              <w:t>12.4%</w:t>
            </w:r>
          </w:p>
        </w:tc>
      </w:tr>
      <w:tr w:rsidR="00B013C5" w:rsidRPr="00424938" w:rsidTr="00B013C5">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rsidR="00B013C5" w:rsidRPr="00424938" w:rsidRDefault="00B013C5" w:rsidP="00B013C5">
            <w:pPr>
              <w:pStyle w:val="TableDataEntries"/>
              <w:jc w:val="left"/>
            </w:pPr>
            <w:r w:rsidRPr="00221F83">
              <w:t>Q7</w:t>
            </w:r>
          </w:p>
        </w:tc>
        <w:tc>
          <w:tcPr>
            <w:tcW w:w="5244" w:type="dxa"/>
            <w:tcBorders>
              <w:top w:val="single" w:sz="8" w:space="0" w:color="FFFFFF" w:themeColor="background1"/>
              <w:bottom w:val="single" w:sz="8" w:space="0" w:color="FFFFFF" w:themeColor="background1"/>
            </w:tcBorders>
            <w:shd w:val="clear" w:color="auto" w:fill="E9E8E5" w:themeFill="background2"/>
          </w:tcPr>
          <w:p w:rsidR="00B013C5" w:rsidRPr="00424938" w:rsidRDefault="00B013C5" w:rsidP="00B013C5">
            <w:pPr>
              <w:pStyle w:val="TableDataEntries"/>
              <w:jc w:val="left"/>
            </w:pPr>
            <w:r w:rsidRPr="00424938">
              <w:t>Stairs with a half/quarter turn</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B013C5" w:rsidRPr="00424938" w:rsidRDefault="00B013C5" w:rsidP="00B013C5">
            <w:pPr>
              <w:pStyle w:val="TableDataEntries"/>
            </w:pPr>
            <w:r w:rsidRPr="00424938">
              <w:t>17.7%</w:t>
            </w:r>
          </w:p>
        </w:tc>
      </w:tr>
      <w:tr w:rsidR="00B013C5" w:rsidRPr="00424938" w:rsidTr="00B013C5">
        <w:trPr>
          <w:trHeight w:val="300"/>
        </w:trPr>
        <w:tc>
          <w:tcPr>
            <w:tcW w:w="993" w:type="dxa"/>
            <w:tcBorders>
              <w:top w:val="single" w:sz="8" w:space="0" w:color="FFFFFF" w:themeColor="background1"/>
              <w:bottom w:val="single" w:sz="8" w:space="0" w:color="FFFFFF" w:themeColor="background1"/>
            </w:tcBorders>
            <w:shd w:val="clear" w:color="auto" w:fill="E9E8E5" w:themeFill="background2"/>
          </w:tcPr>
          <w:p w:rsidR="00B013C5" w:rsidRPr="00424938" w:rsidRDefault="00B013C5" w:rsidP="00B013C5">
            <w:pPr>
              <w:pStyle w:val="TableDataEntries"/>
              <w:jc w:val="left"/>
            </w:pPr>
            <w:r w:rsidRPr="00221F83">
              <w:t>Q7</w:t>
            </w:r>
          </w:p>
        </w:tc>
        <w:tc>
          <w:tcPr>
            <w:tcW w:w="5244" w:type="dxa"/>
            <w:tcBorders>
              <w:top w:val="single" w:sz="8" w:space="0" w:color="FFFFFF" w:themeColor="background1"/>
              <w:bottom w:val="single" w:sz="8" w:space="0" w:color="FFFFFF" w:themeColor="background1"/>
            </w:tcBorders>
            <w:shd w:val="clear" w:color="auto" w:fill="E9E8E5" w:themeFill="background2"/>
          </w:tcPr>
          <w:p w:rsidR="00B013C5" w:rsidRPr="00424938" w:rsidRDefault="00B013C5" w:rsidP="00B013C5">
            <w:pPr>
              <w:pStyle w:val="TableDataEntries"/>
              <w:jc w:val="left"/>
            </w:pPr>
            <w:r w:rsidRPr="00424938">
              <w:t>Curved/spiral stairs</w:t>
            </w:r>
          </w:p>
        </w:tc>
        <w:tc>
          <w:tcPr>
            <w:tcW w:w="1700" w:type="dxa"/>
            <w:tcBorders>
              <w:top w:val="single" w:sz="8" w:space="0" w:color="FFFFFF" w:themeColor="background1"/>
              <w:bottom w:val="single" w:sz="8" w:space="0" w:color="FFFFFF" w:themeColor="background1"/>
            </w:tcBorders>
            <w:shd w:val="clear" w:color="auto" w:fill="E9E8E5" w:themeFill="background2"/>
            <w:hideMark/>
          </w:tcPr>
          <w:p w:rsidR="00B013C5" w:rsidRPr="00424938" w:rsidRDefault="00B013C5" w:rsidP="00B013C5">
            <w:pPr>
              <w:pStyle w:val="TableDataEntries"/>
            </w:pPr>
            <w:r w:rsidRPr="00424938">
              <w:t>4.4%</w:t>
            </w:r>
          </w:p>
        </w:tc>
      </w:tr>
      <w:tr w:rsidR="00B013C5" w:rsidRPr="00424938" w:rsidTr="00B013C5">
        <w:trPr>
          <w:trHeight w:val="300"/>
        </w:trPr>
        <w:tc>
          <w:tcPr>
            <w:tcW w:w="993" w:type="dxa"/>
            <w:tcBorders>
              <w:top w:val="single" w:sz="8" w:space="0" w:color="FFFFFF" w:themeColor="background1"/>
              <w:bottom w:val="single" w:sz="4" w:space="0" w:color="6F6652" w:themeColor="accent5"/>
            </w:tcBorders>
            <w:shd w:val="clear" w:color="auto" w:fill="E9E8E5" w:themeFill="background2"/>
          </w:tcPr>
          <w:p w:rsidR="00B013C5" w:rsidRPr="00424938" w:rsidRDefault="00B013C5" w:rsidP="00B013C5">
            <w:pPr>
              <w:pStyle w:val="TableDataEntries"/>
              <w:jc w:val="left"/>
            </w:pPr>
            <w:r w:rsidRPr="00221F83">
              <w:t>Q7</w:t>
            </w:r>
          </w:p>
        </w:tc>
        <w:tc>
          <w:tcPr>
            <w:tcW w:w="5244" w:type="dxa"/>
            <w:tcBorders>
              <w:top w:val="single" w:sz="8" w:space="0" w:color="FFFFFF" w:themeColor="background1"/>
              <w:bottom w:val="single" w:sz="4" w:space="0" w:color="6F6652" w:themeColor="accent5"/>
            </w:tcBorders>
            <w:shd w:val="clear" w:color="auto" w:fill="E9E8E5" w:themeFill="background2"/>
          </w:tcPr>
          <w:p w:rsidR="00B013C5" w:rsidRPr="00424938" w:rsidRDefault="00B013C5" w:rsidP="00B013C5">
            <w:pPr>
              <w:pStyle w:val="TableDataEntries"/>
              <w:jc w:val="left"/>
            </w:pPr>
            <w:r w:rsidRPr="00424938">
              <w:t>No stairs</w:t>
            </w:r>
          </w:p>
        </w:tc>
        <w:tc>
          <w:tcPr>
            <w:tcW w:w="1700" w:type="dxa"/>
            <w:tcBorders>
              <w:top w:val="single" w:sz="8" w:space="0" w:color="FFFFFF" w:themeColor="background1"/>
              <w:bottom w:val="single" w:sz="4" w:space="0" w:color="6F6652" w:themeColor="accent5"/>
            </w:tcBorders>
            <w:shd w:val="clear" w:color="auto" w:fill="E9E8E5" w:themeFill="background2"/>
            <w:hideMark/>
          </w:tcPr>
          <w:p w:rsidR="00B013C5" w:rsidRPr="00424938" w:rsidRDefault="00B013C5" w:rsidP="00B013C5">
            <w:pPr>
              <w:pStyle w:val="TableDataEntries"/>
            </w:pPr>
            <w:r w:rsidRPr="00424938">
              <w:t>67.6%</w:t>
            </w:r>
          </w:p>
        </w:tc>
      </w:tr>
    </w:tbl>
    <w:p w:rsidR="00B013C5" w:rsidRDefault="00B013C5" w:rsidP="00B013C5">
      <w:pPr>
        <w:pStyle w:val="Note"/>
      </w:pPr>
      <w:r w:rsidRPr="007D1B4F">
        <w:rPr>
          <w:i/>
        </w:rPr>
        <w:t>Note:</w:t>
      </w:r>
      <w:r w:rsidRPr="00E879B8">
        <w:t xml:space="preserve"> </w:t>
      </w:r>
    </w:p>
    <w:p w:rsidR="00B013C5" w:rsidRPr="00B23FB7" w:rsidRDefault="00B013C5" w:rsidP="00B013C5">
      <w:pPr>
        <w:pStyle w:val="TableListBullet"/>
      </w:pPr>
      <w:r w:rsidRPr="00743BC0">
        <w:t>Q1: Path to entrance</w:t>
      </w:r>
    </w:p>
    <w:p w:rsidR="00B013C5" w:rsidRPr="00B23FB7" w:rsidRDefault="00B013C5" w:rsidP="00B013C5">
      <w:pPr>
        <w:pStyle w:val="TableListBullet"/>
      </w:pPr>
      <w:r w:rsidRPr="00743BC0">
        <w:t>Q2: Door opening width</w:t>
      </w:r>
    </w:p>
    <w:p w:rsidR="00B013C5" w:rsidRPr="00B23FB7" w:rsidRDefault="00B013C5" w:rsidP="00B013C5">
      <w:pPr>
        <w:pStyle w:val="TableListBullet"/>
      </w:pPr>
      <w:r>
        <w:t xml:space="preserve">Q3: </w:t>
      </w:r>
      <w:r w:rsidRPr="00743BC0">
        <w:t>Would you say your current home has enough space for turning a wheelchair in corridors, bathrooms, kitchen and laundry? (If unsure, please make an educated guess)</w:t>
      </w:r>
    </w:p>
    <w:p w:rsidR="00B013C5" w:rsidRPr="00B23FB7" w:rsidRDefault="00B013C5" w:rsidP="00B013C5">
      <w:pPr>
        <w:pStyle w:val="TableListBullet"/>
      </w:pPr>
      <w:r>
        <w:lastRenderedPageBreak/>
        <w:t xml:space="preserve">Q4: </w:t>
      </w:r>
      <w:r w:rsidRPr="00743BC0">
        <w:t>Shower entry</w:t>
      </w:r>
    </w:p>
    <w:p w:rsidR="00B013C5" w:rsidRPr="00B23FB7" w:rsidRDefault="00B013C5" w:rsidP="00B013C5">
      <w:pPr>
        <w:pStyle w:val="TableListBullet"/>
      </w:pPr>
      <w:r>
        <w:t xml:space="preserve">Q5: </w:t>
      </w:r>
      <w:r w:rsidRPr="00743BC0">
        <w:t>Does your current home have a toilet on the same level as an entrance?</w:t>
      </w:r>
    </w:p>
    <w:p w:rsidR="00B013C5" w:rsidRPr="00B23FB7" w:rsidRDefault="00B013C5" w:rsidP="00B013C5">
      <w:pPr>
        <w:pStyle w:val="TableListBullet"/>
      </w:pPr>
      <w:r>
        <w:t xml:space="preserve">Q6: </w:t>
      </w:r>
      <w:r w:rsidRPr="00743BC0">
        <w:t>Does your current home have a shower on the same level as an entrance?</w:t>
      </w:r>
    </w:p>
    <w:p w:rsidR="00B013C5" w:rsidRPr="00D56F17" w:rsidRDefault="00B013C5" w:rsidP="00B013C5">
      <w:pPr>
        <w:pStyle w:val="TableListBullet"/>
      </w:pPr>
      <w:r>
        <w:t xml:space="preserve">Q7: </w:t>
      </w:r>
      <w:r w:rsidRPr="00743BC0">
        <w:t>Which type of indoor stairs, if any, does your current home have?</w:t>
      </w:r>
    </w:p>
    <w:p w:rsidR="007C6A5F" w:rsidRDefault="007C6A5F" w:rsidP="007C6A5F">
      <w:pPr>
        <w:pStyle w:val="Source"/>
      </w:pPr>
      <w:r>
        <w:rPr>
          <w:i/>
        </w:rPr>
        <w:t>Source</w:t>
      </w:r>
      <w:r w:rsidRPr="00E4232C">
        <w:rPr>
          <w:i/>
        </w:rPr>
        <w:t>:</w:t>
      </w:r>
      <w:r>
        <w:t xml:space="preserve"> CIE</w:t>
      </w:r>
      <w:r w:rsidR="00DE71A3">
        <w:t>.</w:t>
      </w:r>
    </w:p>
    <w:p w:rsidR="007C6A5F" w:rsidRDefault="007C6A5F" w:rsidP="007C6A5F">
      <w:pPr>
        <w:pStyle w:val="Heading7"/>
        <w:numPr>
          <w:ilvl w:val="6"/>
          <w:numId w:val="5"/>
        </w:numPr>
        <w:rPr>
          <w:lang w:eastAsia="en-US"/>
        </w:rPr>
      </w:pPr>
      <w:r>
        <w:rPr>
          <w:lang w:eastAsia="en-US"/>
        </w:rPr>
        <w:t>Willingness to pay for accessibility features in own home</w:t>
      </w:r>
    </w:p>
    <w:p w:rsidR="007C6A5F" w:rsidRDefault="007C6A5F" w:rsidP="007C6A5F">
      <w:pPr>
        <w:pStyle w:val="BodyText"/>
        <w:rPr>
          <w:lang w:eastAsia="en-US"/>
        </w:rPr>
      </w:pPr>
      <w:r>
        <w:rPr>
          <w:lang w:eastAsia="en-US"/>
        </w:rPr>
        <w:t>In consultation with our peer review, Professor Riccardo Scarpa, we tested a range of models for different techniques and specifications, which were not ultimately used in our final model, including:</w:t>
      </w:r>
    </w:p>
    <w:p w:rsidR="007C6A5F" w:rsidRDefault="007C6A5F" w:rsidP="005A6F87">
      <w:pPr>
        <w:pStyle w:val="ListBullet"/>
        <w:numPr>
          <w:ilvl w:val="0"/>
          <w:numId w:val="17"/>
        </w:numPr>
        <w:rPr>
          <w:lang w:eastAsia="en-US"/>
        </w:rPr>
      </w:pPr>
      <w:r>
        <w:rPr>
          <w:lang w:eastAsia="en-US"/>
        </w:rPr>
        <w:t>Models estimated in WTP-space, which would not achieve convergence due to flat log-likelihood functions</w:t>
      </w:r>
    </w:p>
    <w:p w:rsidR="007C6A5F" w:rsidRDefault="007C6A5F" w:rsidP="005A6F87">
      <w:pPr>
        <w:pStyle w:val="ListBullet"/>
        <w:numPr>
          <w:ilvl w:val="0"/>
          <w:numId w:val="17"/>
        </w:numPr>
        <w:rPr>
          <w:lang w:eastAsia="en-US"/>
        </w:rPr>
      </w:pPr>
      <w:r>
        <w:rPr>
          <w:lang w:eastAsia="en-US"/>
        </w:rPr>
        <w:t>Mixed logit models, which did not appear to capture the bi-modal nature of the distribution of preferences, despite the inclusion of interactions with respondent characteristics to shift the means of random parameters</w:t>
      </w:r>
    </w:p>
    <w:p w:rsidR="007C6A5F" w:rsidRDefault="007C6A5F" w:rsidP="005A6F87">
      <w:pPr>
        <w:pStyle w:val="ListBullet"/>
        <w:numPr>
          <w:ilvl w:val="0"/>
          <w:numId w:val="17"/>
        </w:numPr>
        <w:rPr>
          <w:lang w:eastAsia="en-US"/>
        </w:rPr>
      </w:pPr>
      <w:r>
        <w:rPr>
          <w:lang w:eastAsia="en-US"/>
        </w:rPr>
        <w:t>Interactions between the price variable and various thresholds related to the respondent reference price and to price itself (a quadratic term), some of which were significant but caused sign reversals and outliers when calculating WTP at an individual respondent level</w:t>
      </w:r>
    </w:p>
    <w:p w:rsidR="007C6A5F" w:rsidRDefault="007C6A5F" w:rsidP="005A6F87">
      <w:pPr>
        <w:pStyle w:val="ListBullet"/>
        <w:numPr>
          <w:ilvl w:val="0"/>
          <w:numId w:val="17"/>
        </w:numPr>
        <w:rPr>
          <w:lang w:eastAsia="en-US"/>
        </w:rPr>
      </w:pPr>
      <w:r>
        <w:rPr>
          <w:lang w:eastAsia="en-US"/>
        </w:rPr>
        <w:t>Pooling buyers and renters in the same model, with appropriate interaction terms, which was abandoned given the likelihood of differences in scale between the two groups</w:t>
      </w:r>
    </w:p>
    <w:p w:rsidR="007C6A5F" w:rsidRDefault="007C6A5F" w:rsidP="005A6F87">
      <w:pPr>
        <w:pStyle w:val="ListBullet"/>
        <w:numPr>
          <w:ilvl w:val="0"/>
          <w:numId w:val="17"/>
        </w:numPr>
        <w:rPr>
          <w:lang w:eastAsia="en-US"/>
        </w:rPr>
      </w:pPr>
      <w:r>
        <w:rPr>
          <w:lang w:eastAsia="en-US"/>
        </w:rPr>
        <w:t>Interactions between the accessibility features, which tended to be insignificant, noting that the ‘modifications’ feature is effectively an interaction indicating the provision of all three of the other accessibility features in the model.</w:t>
      </w:r>
    </w:p>
    <w:p w:rsidR="007C6A5F" w:rsidRDefault="007C6A5F" w:rsidP="007C6A5F">
      <w:pPr>
        <w:pStyle w:val="BodyText"/>
        <w:rPr>
          <w:lang w:eastAsia="en-US"/>
        </w:rPr>
      </w:pPr>
      <w:r>
        <w:rPr>
          <w:lang w:eastAsia="en-US"/>
        </w:rPr>
        <w:t xml:space="preserve">The choice questions included prices calculated as a function of the midpoint of the price range in which the respondent indicated they would be shopping for a new home. To overcome concerns about endogeneity, we used an instrumental variable. The price variable included in the final model measures the prices shown in the choice options as a proportion of the reference price midpoint predicted for each respondent using the ordinary-least squares regressions shown in </w:t>
      </w:r>
      <w:r w:rsidRPr="0050052A">
        <w:rPr>
          <w:lang w:eastAsia="en-US"/>
        </w:rPr>
        <w:t>table</w:t>
      </w:r>
      <w:r>
        <w:rPr>
          <w:lang w:eastAsia="en-US"/>
        </w:rPr>
        <w:t xml:space="preserve"> </w:t>
      </w:r>
      <w:r w:rsidR="00AF685F">
        <w:rPr>
          <w:lang w:eastAsia="en-US"/>
        </w:rPr>
        <w:t>K</w:t>
      </w:r>
      <w:r>
        <w:rPr>
          <w:lang w:eastAsia="en-US"/>
        </w:rPr>
        <w:t>.9. The upper and lower bounds of the 95 per cent confidence intervals of the predictions were used to test sensitivity. We use the upper bound in our central model as a conservative approach given the potential for hypothetical bias to inflate WTP estimates.</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w:instrText>
      </w:r>
      <w:r w:rsidRPr="00695C93">
        <w:fldChar w:fldCharType="separate"/>
      </w:r>
      <w:r>
        <w:rPr>
          <w:noProof/>
        </w:rPr>
        <w:instrText>K</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9</w:instrText>
      </w:r>
      <w:r w:rsidRPr="00695C93">
        <w:fldChar w:fldCharType="end"/>
      </w:r>
      <w:r w:rsidRPr="00695C93">
        <w:instrText xml:space="preserve">" "" </w:instrText>
      </w:r>
      <w:r w:rsidRPr="00695C93">
        <w:fldChar w:fldCharType="separate"/>
      </w:r>
      <w:bookmarkStart w:id="9252" w:name="_Caption6763"/>
      <w:bookmarkStart w:id="9253" w:name="_Caption6937"/>
      <w:bookmarkStart w:id="9254" w:name="_Caption4636"/>
      <w:bookmarkStart w:id="9255" w:name="_Caption0838"/>
      <w:bookmarkStart w:id="9256" w:name="_Caption9944"/>
      <w:bookmarkStart w:id="9257" w:name="_Caption4641"/>
      <w:bookmarkStart w:id="9258" w:name="_Caption7318"/>
      <w:bookmarkStart w:id="9259" w:name="_Toc44598639"/>
      <w:bookmarkStart w:id="9260" w:name="_Toc45654270"/>
      <w:r w:rsidR="00272AF3">
        <w:rPr>
          <w:noProof/>
        </w:rPr>
        <w:t>K</w:t>
      </w:r>
      <w:r w:rsidR="00272AF3" w:rsidRPr="00695C93">
        <w:rPr>
          <w:noProof/>
        </w:rPr>
        <w:t>.</w:t>
      </w:r>
      <w:r w:rsidR="00272AF3">
        <w:rPr>
          <w:noProof/>
        </w:rPr>
        <w:t>9</w:t>
      </w:r>
      <w:bookmarkEnd w:id="9252"/>
      <w:bookmarkEnd w:id="9253"/>
      <w:bookmarkEnd w:id="9254"/>
      <w:bookmarkEnd w:id="9255"/>
      <w:bookmarkEnd w:id="9256"/>
      <w:bookmarkEnd w:id="9257"/>
      <w:bookmarkEnd w:id="9258"/>
      <w:r w:rsidRPr="00695C93">
        <w:fldChar w:fldCharType="end"/>
      </w:r>
      <w:r w:rsidRPr="00695C93">
        <w:tab/>
      </w:r>
      <w:r>
        <w:t>Models for predicting respondent reference prices</w:t>
      </w:r>
      <w:bookmarkEnd w:id="9259"/>
      <w:bookmarkEnd w:id="9260"/>
    </w:p>
    <w:tbl>
      <w:tblPr>
        <w:tblStyle w:val="TableGridLight"/>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9"/>
        <w:tblDescription w:val="Models for predicting respondent reference prices"/>
      </w:tblPr>
      <w:tblGrid>
        <w:gridCol w:w="3828"/>
        <w:gridCol w:w="992"/>
        <w:gridCol w:w="1134"/>
        <w:gridCol w:w="1166"/>
        <w:gridCol w:w="960"/>
      </w:tblGrid>
      <w:tr w:rsidR="007C6A5F" w:rsidRPr="006B40C0" w:rsidTr="0007143C">
        <w:trPr>
          <w:trHeight w:val="250"/>
          <w:tblHeader/>
        </w:trPr>
        <w:tc>
          <w:tcPr>
            <w:tcW w:w="3828" w:type="dxa"/>
            <w:shd w:val="clear" w:color="auto" w:fill="6F6652" w:themeFill="accent5"/>
            <w:noWrap/>
            <w:hideMark/>
          </w:tcPr>
          <w:p w:rsidR="007C6A5F" w:rsidRPr="006B40C0" w:rsidRDefault="007C6A5F" w:rsidP="00C36DA4">
            <w:pPr>
              <w:pStyle w:val="TableDataColumnHeading"/>
              <w:jc w:val="left"/>
            </w:pPr>
            <w:r w:rsidRPr="006B40C0">
              <w:t>Variable</w:t>
            </w:r>
          </w:p>
        </w:tc>
        <w:tc>
          <w:tcPr>
            <w:tcW w:w="992" w:type="dxa"/>
            <w:shd w:val="clear" w:color="auto" w:fill="6F6652" w:themeFill="accent5"/>
            <w:noWrap/>
            <w:hideMark/>
          </w:tcPr>
          <w:p w:rsidR="007C6A5F" w:rsidRDefault="007C6A5F" w:rsidP="00C36DA4">
            <w:pPr>
              <w:pStyle w:val="TableDataColumnHeading"/>
            </w:pPr>
            <w:r w:rsidRPr="006B40C0">
              <w:t>Renters</w:t>
            </w:r>
          </w:p>
          <w:p w:rsidR="0007143C" w:rsidRPr="006B40C0" w:rsidRDefault="0007143C" w:rsidP="00C36DA4">
            <w:pPr>
              <w:pStyle w:val="TableDataColumnHeading"/>
            </w:pPr>
            <w:r>
              <w:t>(Coef.)</w:t>
            </w:r>
          </w:p>
        </w:tc>
        <w:tc>
          <w:tcPr>
            <w:tcW w:w="1134" w:type="dxa"/>
            <w:shd w:val="clear" w:color="auto" w:fill="6F6652" w:themeFill="accent5"/>
            <w:noWrap/>
            <w:hideMark/>
          </w:tcPr>
          <w:p w:rsidR="007C6A5F" w:rsidRDefault="0007143C" w:rsidP="00C36DA4">
            <w:pPr>
              <w:pStyle w:val="TableDataColumnHeading"/>
            </w:pPr>
            <w:r>
              <w:t>Renter</w:t>
            </w:r>
          </w:p>
          <w:p w:rsidR="0007143C" w:rsidRPr="006B40C0" w:rsidRDefault="0007143C" w:rsidP="00C36DA4">
            <w:pPr>
              <w:pStyle w:val="TableDataColumnHeading"/>
            </w:pPr>
            <w:r>
              <w:t>(Z value)</w:t>
            </w:r>
          </w:p>
        </w:tc>
        <w:tc>
          <w:tcPr>
            <w:tcW w:w="1166" w:type="dxa"/>
            <w:shd w:val="clear" w:color="auto" w:fill="6F6652" w:themeFill="accent5"/>
            <w:noWrap/>
            <w:hideMark/>
          </w:tcPr>
          <w:p w:rsidR="007C6A5F" w:rsidRDefault="007C6A5F" w:rsidP="00C36DA4">
            <w:pPr>
              <w:pStyle w:val="TableDataColumnHeading"/>
            </w:pPr>
            <w:r w:rsidRPr="006B40C0">
              <w:t>Buyers</w:t>
            </w:r>
          </w:p>
          <w:p w:rsidR="0007143C" w:rsidRPr="006B40C0" w:rsidRDefault="0007143C" w:rsidP="00C36DA4">
            <w:pPr>
              <w:pStyle w:val="TableDataColumnHeading"/>
            </w:pPr>
            <w:r>
              <w:t>(Coef.)</w:t>
            </w:r>
          </w:p>
        </w:tc>
        <w:tc>
          <w:tcPr>
            <w:tcW w:w="960" w:type="dxa"/>
            <w:shd w:val="clear" w:color="auto" w:fill="6F6652" w:themeFill="accent5"/>
            <w:noWrap/>
            <w:hideMark/>
          </w:tcPr>
          <w:p w:rsidR="007C6A5F" w:rsidRDefault="0007143C" w:rsidP="00C36DA4">
            <w:pPr>
              <w:pStyle w:val="TableDataColumnHeading"/>
            </w:pPr>
            <w:r>
              <w:t>Buyers</w:t>
            </w:r>
          </w:p>
          <w:p w:rsidR="0007143C" w:rsidRPr="006B40C0" w:rsidRDefault="0007143C" w:rsidP="00C36DA4">
            <w:pPr>
              <w:pStyle w:val="TableDataColumnHeading"/>
            </w:pPr>
            <w:r>
              <w:t>(Z value)</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Age</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2.09</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4.17</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-1 056</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-1.31</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Age squared</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-0.02</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-4.46</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22</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2.75</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NSW regional</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-47.58</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-8.07</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-273 329</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-29.73</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Victoria metropolitan</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-30.24</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-5.75</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-149 886</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-20.27</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lastRenderedPageBreak/>
              <w:t>Victoria regional</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-101.03</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-13.69</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-354 320</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-30.83</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Queensland metropolitan</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-57.34</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-9.29</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-272 443</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-28.31</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Queensland regional</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-51.56</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-8.29</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-321 848</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-34.95</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South Australia metropolitan</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-78.48</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-9.56</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-264 691</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-24.43</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South Australia regional</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-93.89</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-7.47</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-404 450</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-20.16</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Western Australia metropolitan</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-108.55</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-15.28</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-295 817</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-31.45</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Western Australia regional</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-95.10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-7.31</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-397 572</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-19.52</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Tasmania metropolitan</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1.67</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0.10</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-337 678</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-15.59</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Tasmania regional</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-119.77</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-7.98</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-490 538</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-22.47</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Australian Capital Territory</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-30.29</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-2.33</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-292 504</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-15.84</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Northern Territory</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-128.59</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-6.46</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-310 902</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-6.57</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Owner-occupier</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-59.38</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-16.74</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118 978</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17.08</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Detached dwelling</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17.71</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5.14</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56 183</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9.56</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Couple with children</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42.69</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8.25</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-10 756</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-1.77</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Single parent</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3.80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0.57</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-67 950</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-5.28</w:t>
            </w:r>
          </w:p>
        </w:tc>
      </w:tr>
      <w:tr w:rsidR="007C6A5F" w:rsidRPr="006B40C0" w:rsidTr="0007143C">
        <w:trPr>
          <w:trHeight w:val="250"/>
        </w:trPr>
        <w:tc>
          <w:tcPr>
            <w:tcW w:w="3828" w:type="dxa"/>
            <w:tcBorders>
              <w:top w:val="single" w:sz="8" w:space="0" w:color="FFFFFF" w:themeColor="background1"/>
              <w:bottom w:val="single" w:sz="4" w:space="0" w:color="6F6652" w:themeColor="accent5"/>
            </w:tcBorders>
            <w:shd w:val="clear" w:color="auto" w:fill="E9E8E5" w:themeFill="background2"/>
            <w:noWrap/>
            <w:hideMark/>
          </w:tcPr>
          <w:p w:rsidR="007C6A5F" w:rsidRPr="006B40C0" w:rsidRDefault="007C6A5F" w:rsidP="00C36DA4">
            <w:pPr>
              <w:pStyle w:val="TableDataEntries"/>
              <w:jc w:val="left"/>
            </w:pPr>
            <w:r w:rsidRPr="004160ED">
              <w:t>Group household</w:t>
            </w:r>
          </w:p>
        </w:tc>
        <w:tc>
          <w:tcPr>
            <w:tcW w:w="992" w:type="dxa"/>
            <w:tcBorders>
              <w:top w:val="single" w:sz="8" w:space="0" w:color="FFFFFF" w:themeColor="background1"/>
              <w:bottom w:val="single" w:sz="4" w:space="0" w:color="6F6652" w:themeColor="accent5"/>
            </w:tcBorders>
            <w:shd w:val="clear" w:color="auto" w:fill="E9E8E5" w:themeFill="background2"/>
            <w:noWrap/>
            <w:hideMark/>
          </w:tcPr>
          <w:p w:rsidR="007C6A5F" w:rsidRPr="006B40C0" w:rsidRDefault="007C6A5F" w:rsidP="00C36DA4">
            <w:pPr>
              <w:pStyle w:val="TableDataEntries"/>
            </w:pPr>
            <w:r w:rsidRPr="005A6C5F">
              <w:t>6.40</w:t>
            </w:r>
          </w:p>
        </w:tc>
        <w:tc>
          <w:tcPr>
            <w:tcW w:w="1134" w:type="dxa"/>
            <w:tcBorders>
              <w:top w:val="single" w:sz="8" w:space="0" w:color="FFFFFF" w:themeColor="background1"/>
              <w:bottom w:val="single" w:sz="4" w:space="0" w:color="6F6652" w:themeColor="accent5"/>
            </w:tcBorders>
            <w:shd w:val="clear" w:color="auto" w:fill="E9E8E5" w:themeFill="background2"/>
            <w:noWrap/>
            <w:hideMark/>
          </w:tcPr>
          <w:p w:rsidR="007C6A5F" w:rsidRPr="006B40C0" w:rsidRDefault="007C6A5F" w:rsidP="00C36DA4">
            <w:pPr>
              <w:pStyle w:val="TableDataEntries"/>
            </w:pPr>
            <w:r w:rsidRPr="006B40C0">
              <w:t>1.07</w:t>
            </w:r>
          </w:p>
        </w:tc>
        <w:tc>
          <w:tcPr>
            <w:tcW w:w="1166" w:type="dxa"/>
            <w:tcBorders>
              <w:top w:val="single" w:sz="8" w:space="0" w:color="FFFFFF" w:themeColor="background1"/>
              <w:bottom w:val="single" w:sz="4" w:space="0" w:color="6F6652" w:themeColor="accent5"/>
            </w:tcBorders>
            <w:shd w:val="clear" w:color="auto" w:fill="E9E8E5" w:themeFill="background2"/>
            <w:noWrap/>
            <w:hideMark/>
          </w:tcPr>
          <w:p w:rsidR="007C6A5F" w:rsidRPr="006B40C0" w:rsidRDefault="007C6A5F" w:rsidP="00C36DA4">
            <w:pPr>
              <w:pStyle w:val="TableDataEntries"/>
            </w:pPr>
            <w:r w:rsidRPr="006B40C0">
              <w:t>6 048</w:t>
            </w:r>
          </w:p>
        </w:tc>
        <w:tc>
          <w:tcPr>
            <w:tcW w:w="960" w:type="dxa"/>
            <w:tcBorders>
              <w:top w:val="single" w:sz="8" w:space="0" w:color="FFFFFF" w:themeColor="background1"/>
              <w:bottom w:val="single" w:sz="4" w:space="0" w:color="6F6652" w:themeColor="accent5"/>
            </w:tcBorders>
            <w:shd w:val="clear" w:color="auto" w:fill="E9E8E5" w:themeFill="background2"/>
            <w:noWrap/>
            <w:hideMark/>
          </w:tcPr>
          <w:p w:rsidR="007C6A5F" w:rsidRPr="006B40C0" w:rsidRDefault="007C6A5F" w:rsidP="00C36DA4">
            <w:pPr>
              <w:pStyle w:val="TableDataEntries"/>
            </w:pPr>
            <w:r w:rsidRPr="006B40C0">
              <w:t>0.50</w:t>
            </w:r>
          </w:p>
        </w:tc>
      </w:tr>
      <w:tr w:rsidR="007C6A5F" w:rsidRPr="006B40C0" w:rsidTr="0007143C">
        <w:trPr>
          <w:trHeight w:val="250"/>
        </w:trPr>
        <w:tc>
          <w:tcPr>
            <w:tcW w:w="3828" w:type="dxa"/>
            <w:tcBorders>
              <w:top w:val="single" w:sz="4" w:space="0" w:color="6F6652" w:themeColor="accent5"/>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Single person household</w:t>
            </w:r>
          </w:p>
        </w:tc>
        <w:tc>
          <w:tcPr>
            <w:tcW w:w="992" w:type="dxa"/>
            <w:tcBorders>
              <w:top w:val="single" w:sz="4" w:space="0" w:color="6F6652" w:themeColor="accent5"/>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-24.36</w:t>
            </w:r>
          </w:p>
        </w:tc>
        <w:tc>
          <w:tcPr>
            <w:tcW w:w="1134" w:type="dxa"/>
            <w:tcBorders>
              <w:top w:val="single" w:sz="4" w:space="0" w:color="6F6652" w:themeColor="accent5"/>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-5.16</w:t>
            </w:r>
          </w:p>
        </w:tc>
        <w:tc>
          <w:tcPr>
            <w:tcW w:w="1166" w:type="dxa"/>
            <w:tcBorders>
              <w:top w:val="single" w:sz="4" w:space="0" w:color="6F6652" w:themeColor="accent5"/>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-20 454</w:t>
            </w:r>
          </w:p>
        </w:tc>
        <w:tc>
          <w:tcPr>
            <w:tcW w:w="960" w:type="dxa"/>
            <w:tcBorders>
              <w:top w:val="single" w:sz="4" w:space="0" w:color="6F6652" w:themeColor="accent5"/>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-2.74</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Other household</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-32.45</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-3.91</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-45 962</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-2.72</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Income: $41,600 - $78,000 per year</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62.85</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14.80</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79 840</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10.14</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Income: $78,000 - $104,000 per year</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142.94</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24.91</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177 760</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20.82</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 xml:space="preserve">Income: $104,000 - $156,000 per year </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103.74</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15.35</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260 590</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29.12</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Income: More than $156,000 per year</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254.94</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28.58</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460 690</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46.88</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Income: Do not wish to answer</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43.36</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7.55</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224 918</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20.99</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jc w:val="left"/>
            </w:pPr>
            <w:r w:rsidRPr="004160ED">
              <w:t>Constant</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5A6C5F">
              <w:t>268.70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21.14</w:t>
            </w: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522 572</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26.01</w:t>
            </w:r>
          </w:p>
        </w:tc>
      </w:tr>
      <w:tr w:rsidR="007C6A5F" w:rsidRPr="006B40C0" w:rsidTr="0007143C">
        <w:trPr>
          <w:trHeight w:val="250"/>
        </w:trPr>
        <w:tc>
          <w:tcPr>
            <w:tcW w:w="3828"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B013C5" w:rsidP="00C36DA4">
            <w:pPr>
              <w:pStyle w:val="TableDataEntries"/>
              <w:jc w:val="left"/>
            </w:pPr>
            <w:r>
              <w:t xml:space="preserve">Model fit: </w:t>
            </w:r>
            <w:r w:rsidR="007C6A5F" w:rsidRPr="006B40C0">
              <w:t>Individuals</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10 680</w:t>
            </w:r>
          </w:p>
        </w:tc>
        <w:tc>
          <w:tcPr>
            <w:tcW w:w="1134"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p>
        </w:tc>
        <w:tc>
          <w:tcPr>
            <w:tcW w:w="1166"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r w:rsidRPr="006B40C0">
              <w:t>14 064</w:t>
            </w:r>
          </w:p>
        </w:tc>
        <w:tc>
          <w:tcPr>
            <w:tcW w:w="960" w:type="dxa"/>
            <w:tcBorders>
              <w:top w:val="single" w:sz="8" w:space="0" w:color="FFFFFF" w:themeColor="background1"/>
              <w:bottom w:val="single" w:sz="8" w:space="0" w:color="FFFFFF" w:themeColor="background1"/>
            </w:tcBorders>
            <w:shd w:val="clear" w:color="auto" w:fill="E9E8E5" w:themeFill="background2"/>
            <w:noWrap/>
            <w:hideMark/>
          </w:tcPr>
          <w:p w:rsidR="007C6A5F" w:rsidRPr="006B40C0" w:rsidRDefault="007C6A5F" w:rsidP="00C36DA4">
            <w:pPr>
              <w:pStyle w:val="TableDataEntries"/>
            </w:pPr>
          </w:p>
        </w:tc>
      </w:tr>
      <w:tr w:rsidR="007C6A5F" w:rsidRPr="006B40C0" w:rsidTr="0007143C">
        <w:trPr>
          <w:trHeight w:val="250"/>
        </w:trPr>
        <w:tc>
          <w:tcPr>
            <w:tcW w:w="3828" w:type="dxa"/>
            <w:tcBorders>
              <w:top w:val="single" w:sz="8" w:space="0" w:color="FFFFFF" w:themeColor="background1"/>
              <w:bottom w:val="single" w:sz="4" w:space="0" w:color="6F6652" w:themeColor="accent5"/>
            </w:tcBorders>
            <w:shd w:val="clear" w:color="auto" w:fill="E9E8E5" w:themeFill="background2"/>
            <w:noWrap/>
            <w:hideMark/>
          </w:tcPr>
          <w:p w:rsidR="007C6A5F" w:rsidRPr="006B40C0" w:rsidRDefault="00B013C5" w:rsidP="00C36DA4">
            <w:pPr>
              <w:pStyle w:val="TableDataEntries"/>
              <w:jc w:val="left"/>
            </w:pPr>
            <w:r>
              <w:t xml:space="preserve">Model fit: </w:t>
            </w:r>
            <w:r w:rsidR="007C6A5F" w:rsidRPr="006B40C0">
              <w:t>R-squared</w:t>
            </w:r>
          </w:p>
        </w:tc>
        <w:tc>
          <w:tcPr>
            <w:tcW w:w="992" w:type="dxa"/>
            <w:tcBorders>
              <w:top w:val="single" w:sz="8" w:space="0" w:color="FFFFFF" w:themeColor="background1"/>
              <w:bottom w:val="single" w:sz="4" w:space="0" w:color="6F6652" w:themeColor="accent5"/>
            </w:tcBorders>
            <w:shd w:val="clear" w:color="auto" w:fill="E9E8E5" w:themeFill="background2"/>
            <w:noWrap/>
            <w:hideMark/>
          </w:tcPr>
          <w:p w:rsidR="007C6A5F" w:rsidRPr="006B40C0" w:rsidRDefault="007C6A5F" w:rsidP="00C36DA4">
            <w:pPr>
              <w:pStyle w:val="TableDataEntries"/>
            </w:pPr>
            <w:r w:rsidRPr="006B40C0">
              <w:t>0.228</w:t>
            </w:r>
          </w:p>
        </w:tc>
        <w:tc>
          <w:tcPr>
            <w:tcW w:w="1134" w:type="dxa"/>
            <w:tcBorders>
              <w:top w:val="single" w:sz="8" w:space="0" w:color="FFFFFF" w:themeColor="background1"/>
              <w:bottom w:val="single" w:sz="4" w:space="0" w:color="6F6652" w:themeColor="accent5"/>
            </w:tcBorders>
            <w:shd w:val="clear" w:color="auto" w:fill="E9E8E5" w:themeFill="background2"/>
            <w:noWrap/>
            <w:hideMark/>
          </w:tcPr>
          <w:p w:rsidR="007C6A5F" w:rsidRPr="006B40C0" w:rsidRDefault="007C6A5F" w:rsidP="00C36DA4">
            <w:pPr>
              <w:pStyle w:val="TableDataEntries"/>
            </w:pPr>
          </w:p>
        </w:tc>
        <w:tc>
          <w:tcPr>
            <w:tcW w:w="1166" w:type="dxa"/>
            <w:tcBorders>
              <w:top w:val="single" w:sz="8" w:space="0" w:color="FFFFFF" w:themeColor="background1"/>
              <w:bottom w:val="single" w:sz="4" w:space="0" w:color="6F6652" w:themeColor="accent5"/>
            </w:tcBorders>
            <w:shd w:val="clear" w:color="auto" w:fill="E9E8E5" w:themeFill="background2"/>
            <w:noWrap/>
            <w:hideMark/>
          </w:tcPr>
          <w:p w:rsidR="007C6A5F" w:rsidRPr="006B40C0" w:rsidRDefault="007C6A5F" w:rsidP="00C36DA4">
            <w:pPr>
              <w:pStyle w:val="TableDataEntries"/>
            </w:pPr>
            <w:r w:rsidRPr="006B40C0">
              <w:t>0.344</w:t>
            </w:r>
          </w:p>
        </w:tc>
        <w:tc>
          <w:tcPr>
            <w:tcW w:w="960" w:type="dxa"/>
            <w:tcBorders>
              <w:top w:val="single" w:sz="8" w:space="0" w:color="FFFFFF" w:themeColor="background1"/>
              <w:bottom w:val="single" w:sz="4" w:space="0" w:color="6F6652" w:themeColor="accent5"/>
            </w:tcBorders>
            <w:shd w:val="clear" w:color="auto" w:fill="E9E8E5" w:themeFill="background2"/>
            <w:noWrap/>
            <w:hideMark/>
          </w:tcPr>
          <w:p w:rsidR="007C6A5F" w:rsidRPr="006B40C0" w:rsidRDefault="007C6A5F" w:rsidP="00C36DA4">
            <w:pPr>
              <w:pStyle w:val="TableDataEntries"/>
            </w:pPr>
          </w:p>
        </w:tc>
      </w:tr>
    </w:tbl>
    <w:p w:rsidR="007C6A5F" w:rsidRDefault="007C6A5F" w:rsidP="007C6A5F">
      <w:pPr>
        <w:pStyle w:val="Source"/>
        <w:rPr>
          <w:i/>
        </w:rPr>
      </w:pPr>
      <w:r>
        <w:rPr>
          <w:i/>
        </w:rPr>
        <w:t>Note: Dependent variable in the renters model is the midpoint of the range in weekly rent indicated by the respondent. Dependent variable in the buyer model is the midpoint of the range in purchase price indicated by the respondent.</w:t>
      </w:r>
    </w:p>
    <w:p w:rsidR="007C6A5F" w:rsidRDefault="007C6A5F" w:rsidP="007C6A5F">
      <w:pPr>
        <w:pStyle w:val="Source"/>
      </w:pPr>
      <w:r>
        <w:rPr>
          <w:i/>
        </w:rPr>
        <w:t>Source</w:t>
      </w:r>
      <w:r w:rsidRPr="00E4232C">
        <w:rPr>
          <w:i/>
        </w:rPr>
        <w:t>:</w:t>
      </w:r>
      <w:r>
        <w:t xml:space="preserve"> CIE</w:t>
      </w:r>
      <w:r w:rsidR="00DE71A3">
        <w:t>.</w:t>
      </w:r>
    </w:p>
    <w:p w:rsidR="007C6A5F" w:rsidRDefault="007C6A5F" w:rsidP="007C6A5F">
      <w:pPr>
        <w:pStyle w:val="BodyText"/>
        <w:rPr>
          <w:lang w:eastAsia="en-US"/>
        </w:rPr>
      </w:pPr>
      <w:r>
        <w:rPr>
          <w:lang w:eastAsia="en-US"/>
        </w:rPr>
        <w:t>The distribution of preferences for accessibility features over respondents appears to be bi-modal, with some people liking the features and others being neutral towards or even disliking the features. To capture this distribution, we use latent class multinomial logit models, which estimate indirect utility functions for a user-specified number of classes along with class membership probabilities.</w:t>
      </w:r>
    </w:p>
    <w:p w:rsidR="007C6A5F" w:rsidRDefault="007C6A5F" w:rsidP="007C6A5F">
      <w:pPr>
        <w:pStyle w:val="BodyText"/>
        <w:rPr>
          <w:lang w:eastAsia="en-US"/>
        </w:rPr>
      </w:pPr>
      <w:r>
        <w:rPr>
          <w:lang w:bidi="fa-IR"/>
        </w:rPr>
        <w:t xml:space="preserve">Our central models estimated on the full samples of buyers and renters respectively are set out in table </w:t>
      </w:r>
      <w:r>
        <w:rPr>
          <w:lang w:bidi="fa-IR"/>
        </w:rPr>
        <w:fldChar w:fldCharType="begin"/>
      </w:r>
      <w:r>
        <w:rPr>
          <w:lang w:bidi="fa-IR"/>
        </w:rPr>
        <w:instrText xml:space="preserve"> REF _Caption0926 </w:instrText>
      </w:r>
      <w:r>
        <w:rPr>
          <w:lang w:bidi="fa-IR"/>
        </w:rPr>
        <w:fldChar w:fldCharType="separate"/>
      </w:r>
      <w:r>
        <w:rPr>
          <w:noProof/>
        </w:rPr>
        <w:t>K</w:t>
      </w:r>
      <w:r w:rsidRPr="00695C93">
        <w:rPr>
          <w:noProof/>
        </w:rPr>
        <w:t>.</w:t>
      </w:r>
      <w:r>
        <w:rPr>
          <w:noProof/>
        </w:rPr>
        <w:t>10</w:t>
      </w:r>
      <w:r>
        <w:rPr>
          <w:lang w:bidi="fa-IR"/>
        </w:rPr>
        <w:fldChar w:fldCharType="end"/>
      </w:r>
      <w:r>
        <w:rPr>
          <w:lang w:bidi="fa-IR"/>
        </w:rPr>
        <w:t xml:space="preserve"> and </w:t>
      </w:r>
      <w:r w:rsidRPr="0050052A">
        <w:rPr>
          <w:lang w:bidi="fa-IR"/>
        </w:rPr>
        <w:t>table</w:t>
      </w:r>
      <w:r>
        <w:rPr>
          <w:lang w:bidi="fa-IR"/>
        </w:rPr>
        <w:t xml:space="preserve"> </w:t>
      </w:r>
      <w:r w:rsidR="0017247F">
        <w:rPr>
          <w:lang w:bidi="fa-IR"/>
        </w:rPr>
        <w:t>K</w:t>
      </w:r>
      <w:r>
        <w:rPr>
          <w:lang w:bidi="fa-IR"/>
        </w:rPr>
        <w:t xml:space="preserve">.11. </w:t>
      </w:r>
      <w:r>
        <w:rPr>
          <w:lang w:eastAsia="en-US"/>
        </w:rPr>
        <w:t>Respondents carefully considered the attributes described in the questions, as evidenced by the relatively large Z values (a Z value of around 2 indicates that at the 95 per cent confidence level we can say the coefficient is statistically different from zero).</w:t>
      </w:r>
    </w:p>
    <w:p w:rsidR="007C6A5F" w:rsidRDefault="007C6A5F" w:rsidP="007C6A5F">
      <w:pPr>
        <w:pStyle w:val="BodyText"/>
        <w:rPr>
          <w:lang w:eastAsia="en-US"/>
        </w:rPr>
      </w:pPr>
      <w:r>
        <w:rPr>
          <w:lang w:eastAsia="en-US"/>
        </w:rPr>
        <w:t xml:space="preserve">A high-level examination of the two classes suggests that Class 1 represents respondents who prefer accessibility features and Class 2 represents respondents who do not. Class 2 is much more price sensitive and prefers a smaller share of floor space to be used for </w:t>
      </w:r>
      <w:r>
        <w:rPr>
          <w:lang w:eastAsia="en-US"/>
        </w:rPr>
        <w:lastRenderedPageBreak/>
        <w:t>corridors, kitchen, bathroom and laundry. The average class probabilities are roughly 50-50.</w:t>
      </w:r>
    </w:p>
    <w:p w:rsidR="007C6A5F" w:rsidRDefault="007C6A5F" w:rsidP="007C6A5F">
      <w:pPr>
        <w:pStyle w:val="BodyText"/>
        <w:rPr>
          <w:lang w:eastAsia="en-US"/>
        </w:rPr>
      </w:pPr>
      <w:r>
        <w:rPr>
          <w:lang w:eastAsia="en-US"/>
        </w:rPr>
        <w:t>Consistent with our expectations, the class membership parameters indicate that older respondents and respondents from households containing a person with a permanent mobility limitation are more likely hold Class 1 preferences.</w:t>
      </w:r>
    </w:p>
    <w:p w:rsidR="007C6A5F" w:rsidRDefault="007C6A5F" w:rsidP="007C6A5F">
      <w:pPr>
        <w:pStyle w:val="Caption"/>
      </w:pPr>
      <w:r w:rsidRPr="004D47B7">
        <w:fldChar w:fldCharType="begin"/>
      </w:r>
      <w:r w:rsidRPr="004D47B7">
        <w:instrText xml:space="preserve"> IF 1 = 1 "</w:instrText>
      </w:r>
      <w:r w:rsidRPr="004D47B7">
        <w:fldChar w:fldCharType="begin"/>
      </w:r>
      <w:r w:rsidRPr="004D47B7">
        <w:instrText xml:space="preserve"> IF </w:instrText>
      </w:r>
      <w:r w:rsidRPr="004D47B7">
        <w:rPr>
          <w:noProof/>
        </w:rPr>
        <w:fldChar w:fldCharType="begin"/>
      </w:r>
      <w:r w:rsidRPr="004D47B7">
        <w:rPr>
          <w:noProof/>
        </w:rPr>
        <w:instrText xml:space="preserve"> STYLEREF "Heading 6" \l \n </w:instrText>
      </w:r>
      <w:r w:rsidRPr="004D47B7">
        <w:rPr>
          <w:noProof/>
        </w:rPr>
        <w:fldChar w:fldCharType="separate"/>
      </w:r>
      <w:r w:rsidRPr="004D47B7">
        <w:rPr>
          <w:noProof/>
        </w:rPr>
        <w:instrText>K</w:instrText>
      </w:r>
      <w:r w:rsidRPr="004D47B7">
        <w:rPr>
          <w:noProof/>
        </w:rPr>
        <w:fldChar w:fldCharType="end"/>
      </w:r>
      <w:r w:rsidRPr="004D47B7">
        <w:instrText xml:space="preserve"> = 0 "</w:instrText>
      </w:r>
      <w:r w:rsidRPr="004D47B7">
        <w:fldChar w:fldCharType="begin"/>
      </w:r>
      <w:r w:rsidRPr="004D47B7">
        <w:instrText xml:space="preserve"> IF </w:instrText>
      </w:r>
      <w:r w:rsidRPr="004D47B7">
        <w:rPr>
          <w:noProof/>
        </w:rPr>
        <w:fldChar w:fldCharType="begin"/>
      </w:r>
      <w:r w:rsidRPr="004D47B7">
        <w:rPr>
          <w:noProof/>
        </w:rPr>
        <w:instrText xml:space="preserve"> STYLEREF "Heading 1" \l \n </w:instrText>
      </w:r>
      <w:r w:rsidRPr="004D47B7">
        <w:rPr>
          <w:noProof/>
        </w:rPr>
        <w:fldChar w:fldCharType="separate"/>
      </w:r>
      <w:r w:rsidRPr="004D47B7">
        <w:rPr>
          <w:noProof/>
        </w:rPr>
        <w:instrText>0</w:instrText>
      </w:r>
      <w:r w:rsidRPr="004D47B7">
        <w:rPr>
          <w:noProof/>
        </w:rPr>
        <w:fldChar w:fldCharType="end"/>
      </w:r>
      <w:r w:rsidRPr="004D47B7">
        <w:instrText xml:space="preserve"> = 0 "" "</w:instrText>
      </w:r>
      <w:r w:rsidRPr="004D47B7">
        <w:rPr>
          <w:noProof/>
        </w:rPr>
        <w:fldChar w:fldCharType="begin"/>
      </w:r>
      <w:r w:rsidRPr="004D47B7">
        <w:rPr>
          <w:noProof/>
        </w:rPr>
        <w:instrText xml:space="preserve"> STYLEREF "Heading 1" \l \n </w:instrText>
      </w:r>
      <w:r w:rsidRPr="004D47B7">
        <w:rPr>
          <w:noProof/>
        </w:rPr>
        <w:fldChar w:fldCharType="separate"/>
      </w:r>
      <w:r w:rsidRPr="004D47B7">
        <w:rPr>
          <w:noProof/>
        </w:rPr>
        <w:instrText>2</w:instrText>
      </w:r>
      <w:r w:rsidRPr="004D47B7">
        <w:rPr>
          <w:noProof/>
        </w:rPr>
        <w:fldChar w:fldCharType="end"/>
      </w:r>
      <w:r w:rsidRPr="004D47B7">
        <w:instrText xml:space="preserve">." </w:instrText>
      </w:r>
      <w:r w:rsidRPr="004D47B7">
        <w:fldChar w:fldCharType="end"/>
      </w:r>
      <w:r w:rsidRPr="004D47B7">
        <w:instrText>" "</w:instrText>
      </w:r>
      <w:r w:rsidRPr="004D47B7">
        <w:rPr>
          <w:noProof/>
        </w:rPr>
        <w:fldChar w:fldCharType="begin"/>
      </w:r>
      <w:r w:rsidRPr="004D47B7">
        <w:rPr>
          <w:noProof/>
        </w:rPr>
        <w:instrText xml:space="preserve"> STYLEREF "Heading 6" \l \n </w:instrText>
      </w:r>
      <w:r w:rsidRPr="004D47B7">
        <w:rPr>
          <w:noProof/>
        </w:rPr>
        <w:fldChar w:fldCharType="separate"/>
      </w:r>
      <w:r w:rsidRPr="004D47B7">
        <w:rPr>
          <w:noProof/>
        </w:rPr>
        <w:instrText>K</w:instrText>
      </w:r>
      <w:r w:rsidRPr="004D47B7">
        <w:rPr>
          <w:noProof/>
        </w:rPr>
        <w:fldChar w:fldCharType="end"/>
      </w:r>
      <w:r w:rsidRPr="004D47B7">
        <w:instrText xml:space="preserve">." </w:instrText>
      </w:r>
      <w:r w:rsidRPr="004D47B7">
        <w:fldChar w:fldCharType="separate"/>
      </w:r>
      <w:r w:rsidRPr="004D47B7">
        <w:rPr>
          <w:noProof/>
        </w:rPr>
        <w:instrText>K.</w:instrText>
      </w:r>
      <w:r w:rsidRPr="004D47B7">
        <w:fldChar w:fldCharType="end"/>
      </w:r>
      <w:r w:rsidRPr="004D47B7">
        <w:fldChar w:fldCharType="begin"/>
      </w:r>
      <w:r w:rsidRPr="004D47B7">
        <w:instrText xml:space="preserve"> SEQ Item \* ARABIC \s </w:instrText>
      </w:r>
      <w:r w:rsidRPr="004D47B7">
        <w:fldChar w:fldCharType="begin"/>
      </w:r>
      <w:r w:rsidRPr="004D47B7">
        <w:instrText xml:space="preserve"> IF </w:instrText>
      </w:r>
      <w:r w:rsidRPr="004D47B7">
        <w:rPr>
          <w:noProof/>
        </w:rPr>
        <w:fldChar w:fldCharType="begin"/>
      </w:r>
      <w:r w:rsidRPr="004D47B7">
        <w:rPr>
          <w:noProof/>
        </w:rPr>
        <w:instrText xml:space="preserve"> STYLEREF "Heading 6" \l \n </w:instrText>
      </w:r>
      <w:r w:rsidRPr="004D47B7">
        <w:rPr>
          <w:noProof/>
        </w:rPr>
        <w:fldChar w:fldCharType="separate"/>
      </w:r>
      <w:r w:rsidRPr="004D47B7">
        <w:rPr>
          <w:noProof/>
        </w:rPr>
        <w:instrText>K</w:instrText>
      </w:r>
      <w:r w:rsidRPr="004D47B7">
        <w:rPr>
          <w:noProof/>
        </w:rPr>
        <w:fldChar w:fldCharType="end"/>
      </w:r>
      <w:r w:rsidRPr="004D47B7">
        <w:instrText xml:space="preserve"> = 0 "</w:instrText>
      </w:r>
      <w:r w:rsidRPr="004D47B7">
        <w:fldChar w:fldCharType="begin"/>
      </w:r>
      <w:r w:rsidRPr="004D47B7">
        <w:instrText xml:space="preserve"> IF </w:instrText>
      </w:r>
      <w:r w:rsidRPr="004D47B7">
        <w:rPr>
          <w:noProof/>
        </w:rPr>
        <w:fldChar w:fldCharType="begin"/>
      </w:r>
      <w:r w:rsidRPr="004D47B7">
        <w:rPr>
          <w:noProof/>
        </w:rPr>
        <w:instrText xml:space="preserve"> STYLEREF "Heading 1" \l \n </w:instrText>
      </w:r>
      <w:r w:rsidRPr="004D47B7">
        <w:rPr>
          <w:noProof/>
        </w:rPr>
        <w:fldChar w:fldCharType="separate"/>
      </w:r>
      <w:r w:rsidRPr="004D47B7">
        <w:rPr>
          <w:noProof/>
        </w:rPr>
        <w:instrText>0</w:instrText>
      </w:r>
      <w:r w:rsidRPr="004D47B7">
        <w:rPr>
          <w:noProof/>
        </w:rPr>
        <w:fldChar w:fldCharType="end"/>
      </w:r>
      <w:r w:rsidRPr="004D47B7">
        <w:instrText xml:space="preserve"> = 0 "" "1" </w:instrText>
      </w:r>
      <w:r w:rsidRPr="004D47B7">
        <w:fldChar w:fldCharType="end"/>
      </w:r>
      <w:r w:rsidRPr="004D47B7">
        <w:instrText xml:space="preserve">" "6" </w:instrText>
      </w:r>
      <w:r w:rsidRPr="004D47B7">
        <w:fldChar w:fldCharType="separate"/>
      </w:r>
      <w:r w:rsidRPr="004D47B7">
        <w:rPr>
          <w:noProof/>
        </w:rPr>
        <w:instrText>6</w:instrText>
      </w:r>
      <w:r w:rsidRPr="004D47B7">
        <w:fldChar w:fldCharType="end"/>
      </w:r>
      <w:r w:rsidRPr="004D47B7">
        <w:instrText xml:space="preserve"> </w:instrText>
      </w:r>
      <w:r w:rsidRPr="004D47B7">
        <w:fldChar w:fldCharType="separate"/>
      </w:r>
      <w:r w:rsidRPr="004D47B7">
        <w:rPr>
          <w:noProof/>
        </w:rPr>
        <w:instrText>10</w:instrText>
      </w:r>
      <w:r w:rsidRPr="004D47B7">
        <w:fldChar w:fldCharType="end"/>
      </w:r>
      <w:r w:rsidRPr="004D47B7">
        <w:instrText xml:space="preserve">" "" </w:instrText>
      </w:r>
      <w:r w:rsidRPr="004D47B7">
        <w:fldChar w:fldCharType="separate"/>
      </w:r>
      <w:bookmarkStart w:id="9261" w:name="_Caption8241"/>
      <w:bookmarkStart w:id="9262" w:name="_Caption8889"/>
      <w:bookmarkStart w:id="9263" w:name="_Caption1755"/>
      <w:bookmarkStart w:id="9264" w:name="_Caption1247"/>
      <w:bookmarkStart w:id="9265" w:name="_Caption2389"/>
      <w:bookmarkStart w:id="9266" w:name="_Caption1943"/>
      <w:bookmarkStart w:id="9267" w:name="_Caption6019"/>
      <w:bookmarkStart w:id="9268" w:name="_Caption8338"/>
      <w:bookmarkStart w:id="9269" w:name="_Caption8565"/>
      <w:bookmarkStart w:id="9270" w:name="_Caption3996"/>
      <w:bookmarkStart w:id="9271" w:name="_Caption9422"/>
      <w:bookmarkStart w:id="9272" w:name="_Caption8148"/>
      <w:bookmarkStart w:id="9273" w:name="_Caption9907"/>
      <w:bookmarkStart w:id="9274" w:name="_Caption5697"/>
      <w:bookmarkStart w:id="9275" w:name="_Caption9400"/>
      <w:bookmarkStart w:id="9276" w:name="_Caption3043"/>
      <w:bookmarkStart w:id="9277" w:name="_Caption1467"/>
      <w:bookmarkStart w:id="9278" w:name="_Caption8767"/>
      <w:bookmarkStart w:id="9279" w:name="_Caption3833"/>
      <w:bookmarkStart w:id="9280" w:name="_Caption3057"/>
      <w:bookmarkStart w:id="9281" w:name="_Caption7939"/>
      <w:bookmarkStart w:id="9282" w:name="_Caption0303"/>
      <w:bookmarkStart w:id="9283" w:name="_Caption1476"/>
      <w:bookmarkStart w:id="9284" w:name="_Caption0634"/>
      <w:bookmarkStart w:id="9285" w:name="_Caption9630"/>
      <w:bookmarkStart w:id="9286" w:name="_Caption0065"/>
      <w:bookmarkStart w:id="9287" w:name="_Caption4542"/>
      <w:bookmarkStart w:id="9288" w:name="_Caption4673"/>
      <w:bookmarkStart w:id="9289" w:name="_Caption8149"/>
      <w:bookmarkStart w:id="9290" w:name="_Caption1345"/>
      <w:bookmarkStart w:id="9291" w:name="_Caption6578"/>
      <w:bookmarkStart w:id="9292" w:name="_Caption0822"/>
      <w:bookmarkStart w:id="9293" w:name="_Caption7853"/>
      <w:bookmarkStart w:id="9294" w:name="_Caption0957"/>
      <w:bookmarkStart w:id="9295" w:name="_Caption8105"/>
      <w:bookmarkStart w:id="9296" w:name="_Caption0300"/>
      <w:bookmarkStart w:id="9297" w:name="_Caption6319"/>
      <w:bookmarkStart w:id="9298" w:name="_Caption5960"/>
      <w:bookmarkStart w:id="9299" w:name="_Caption0241"/>
      <w:bookmarkStart w:id="9300" w:name="_Caption7339"/>
      <w:bookmarkStart w:id="9301" w:name="_Caption1424"/>
      <w:bookmarkStart w:id="9302" w:name="_Caption0926"/>
      <w:bookmarkStart w:id="9303" w:name="_Caption4644"/>
      <w:bookmarkStart w:id="9304" w:name="_Caption2311"/>
      <w:bookmarkStart w:id="9305" w:name="_Caption5613"/>
      <w:bookmarkStart w:id="9306" w:name="_Caption5631"/>
      <w:bookmarkStart w:id="9307" w:name="_Caption0640"/>
      <w:bookmarkStart w:id="9308" w:name="_Caption1521"/>
      <w:bookmarkStart w:id="9309" w:name="_Caption2944"/>
      <w:bookmarkStart w:id="9310" w:name="_Caption7611"/>
      <w:bookmarkStart w:id="9311" w:name="_Caption4554"/>
      <w:bookmarkStart w:id="9312" w:name="_Caption5284"/>
      <w:bookmarkStart w:id="9313" w:name="_Caption2550"/>
      <w:bookmarkStart w:id="9314" w:name="_Caption4232"/>
      <w:bookmarkStart w:id="9315" w:name="_Caption6881"/>
      <w:bookmarkStart w:id="9316" w:name="_Caption0126"/>
      <w:bookmarkStart w:id="9317" w:name="_Caption2652"/>
      <w:bookmarkStart w:id="9318" w:name="_Caption6549"/>
      <w:bookmarkStart w:id="9319" w:name="_Caption4021"/>
      <w:bookmarkStart w:id="9320" w:name="_Caption7231"/>
      <w:bookmarkStart w:id="9321" w:name="_Caption1013"/>
      <w:bookmarkStart w:id="9322" w:name="_Caption7198"/>
      <w:bookmarkStart w:id="9323" w:name="_Caption3631"/>
      <w:bookmarkStart w:id="9324" w:name="_Caption2204"/>
      <w:bookmarkStart w:id="9325" w:name="_Caption2433"/>
      <w:bookmarkStart w:id="9326" w:name="_Caption4485"/>
      <w:bookmarkStart w:id="9327" w:name="_Caption3413"/>
      <w:bookmarkStart w:id="9328" w:name="_Caption9323"/>
      <w:bookmarkStart w:id="9329" w:name="_Caption6880"/>
      <w:bookmarkStart w:id="9330" w:name="_Caption4375"/>
      <w:bookmarkStart w:id="9331" w:name="_Caption0134"/>
      <w:bookmarkStart w:id="9332" w:name="_Caption9205"/>
      <w:bookmarkStart w:id="9333" w:name="_Caption7617"/>
      <w:bookmarkStart w:id="9334" w:name="_Caption0207"/>
      <w:bookmarkStart w:id="9335" w:name="_Caption3042"/>
      <w:bookmarkStart w:id="9336" w:name="_Caption8460"/>
      <w:bookmarkStart w:id="9337" w:name="_Caption0136"/>
      <w:bookmarkStart w:id="9338" w:name="_Caption1881"/>
      <w:bookmarkStart w:id="9339" w:name="_Caption4086"/>
      <w:bookmarkStart w:id="9340" w:name="_Caption7847"/>
      <w:bookmarkStart w:id="9341" w:name="_Caption2324"/>
      <w:bookmarkStart w:id="9342" w:name="_Caption9786"/>
      <w:bookmarkStart w:id="9343" w:name="_Caption4779"/>
      <w:bookmarkStart w:id="9344" w:name="_Caption6686"/>
      <w:bookmarkStart w:id="9345" w:name="_Caption1393"/>
      <w:bookmarkStart w:id="9346" w:name="_Caption4782"/>
      <w:bookmarkStart w:id="9347" w:name="_Caption4652"/>
      <w:bookmarkStart w:id="9348" w:name="_Caption1100"/>
      <w:bookmarkStart w:id="9349" w:name="_Caption4301"/>
      <w:bookmarkStart w:id="9350" w:name="_Caption7480"/>
      <w:bookmarkStart w:id="9351" w:name="_Caption8926"/>
      <w:bookmarkStart w:id="9352" w:name="_Caption5400"/>
      <w:bookmarkStart w:id="9353" w:name="_Caption7123"/>
      <w:bookmarkStart w:id="9354" w:name="_Toc32321933"/>
      <w:bookmarkStart w:id="9355" w:name="_Toc44598640"/>
      <w:bookmarkStart w:id="9356" w:name="_Toc45654271"/>
      <w:r w:rsidR="00272AF3" w:rsidRPr="004D47B7">
        <w:rPr>
          <w:noProof/>
        </w:rPr>
        <w:t>K.10</w:t>
      </w:r>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r w:rsidRPr="004D47B7">
        <w:fldChar w:fldCharType="end"/>
      </w:r>
      <w:r w:rsidRPr="004D47B7">
        <w:tab/>
        <w:t>Renter model of housing choice</w:t>
      </w:r>
      <w:bookmarkEnd w:id="9354"/>
      <w:bookmarkEnd w:id="9355"/>
      <w:bookmarkEnd w:id="9356"/>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10"/>
        <w:tblDescription w:val="Renter model of housing choice"/>
      </w:tblPr>
      <w:tblGrid>
        <w:gridCol w:w="3899"/>
        <w:gridCol w:w="1133"/>
        <w:gridCol w:w="839"/>
        <w:gridCol w:w="1227"/>
        <w:gridCol w:w="839"/>
      </w:tblGrid>
      <w:tr w:rsidR="007C6A5F" w:rsidRPr="00DA195D" w:rsidTr="00684320">
        <w:trPr>
          <w:trHeight w:val="250"/>
          <w:tblHeader/>
        </w:trPr>
        <w:tc>
          <w:tcPr>
            <w:tcW w:w="3899" w:type="dxa"/>
            <w:shd w:val="clear" w:color="auto" w:fill="6F6652" w:themeFill="accent5"/>
            <w:hideMark/>
          </w:tcPr>
          <w:p w:rsidR="007C6A5F" w:rsidRPr="00DA195D" w:rsidRDefault="004D47B7" w:rsidP="005A043C">
            <w:pPr>
              <w:pStyle w:val="TableDataColumnHeading"/>
              <w:jc w:val="left"/>
            </w:pPr>
            <w:r>
              <w:t>Variable</w:t>
            </w:r>
          </w:p>
        </w:tc>
        <w:tc>
          <w:tcPr>
            <w:tcW w:w="1133" w:type="dxa"/>
            <w:shd w:val="clear" w:color="auto" w:fill="6F6652" w:themeFill="accent5"/>
            <w:noWrap/>
            <w:hideMark/>
          </w:tcPr>
          <w:p w:rsidR="007C6A5F" w:rsidRDefault="007C6A5F" w:rsidP="00684320">
            <w:pPr>
              <w:pStyle w:val="TableDataColumnHeading"/>
            </w:pPr>
            <w:r w:rsidRPr="00DA195D">
              <w:t>Class 1</w:t>
            </w:r>
          </w:p>
          <w:p w:rsidR="0007143C" w:rsidRPr="00DA195D" w:rsidRDefault="0007143C" w:rsidP="00684320">
            <w:pPr>
              <w:pStyle w:val="TableDataColumnHeading"/>
            </w:pPr>
            <w:r>
              <w:t>(Coef.)</w:t>
            </w:r>
          </w:p>
        </w:tc>
        <w:tc>
          <w:tcPr>
            <w:tcW w:w="839" w:type="dxa"/>
            <w:shd w:val="clear" w:color="auto" w:fill="6F6652" w:themeFill="accent5"/>
            <w:noWrap/>
            <w:hideMark/>
          </w:tcPr>
          <w:p w:rsidR="007C6A5F" w:rsidRDefault="0007143C" w:rsidP="00C36DA4">
            <w:pPr>
              <w:pStyle w:val="TableDataColumnHeading"/>
            </w:pPr>
            <w:r>
              <w:t>Class 1</w:t>
            </w:r>
          </w:p>
          <w:p w:rsidR="0007143C" w:rsidRPr="00DA195D" w:rsidRDefault="0007143C" w:rsidP="00C36DA4">
            <w:pPr>
              <w:pStyle w:val="TableDataColumnHeading"/>
            </w:pPr>
            <w:r>
              <w:t>(Z value)</w:t>
            </w:r>
          </w:p>
        </w:tc>
        <w:tc>
          <w:tcPr>
            <w:tcW w:w="1227" w:type="dxa"/>
            <w:shd w:val="clear" w:color="auto" w:fill="6F6652" w:themeFill="accent5"/>
            <w:noWrap/>
            <w:hideMark/>
          </w:tcPr>
          <w:p w:rsidR="007C6A5F" w:rsidRDefault="007C6A5F" w:rsidP="00C36DA4">
            <w:pPr>
              <w:pStyle w:val="TableDataColumnHeading"/>
            </w:pPr>
            <w:r w:rsidRPr="00DA195D">
              <w:t>Class 2</w:t>
            </w:r>
          </w:p>
          <w:p w:rsidR="0007143C" w:rsidRPr="00DA195D" w:rsidRDefault="0007143C" w:rsidP="00C36DA4">
            <w:pPr>
              <w:pStyle w:val="TableDataColumnHeading"/>
            </w:pPr>
            <w:r>
              <w:t>(Coef.)</w:t>
            </w:r>
          </w:p>
        </w:tc>
        <w:tc>
          <w:tcPr>
            <w:tcW w:w="839" w:type="dxa"/>
            <w:shd w:val="clear" w:color="auto" w:fill="6F6652" w:themeFill="accent5"/>
            <w:noWrap/>
            <w:hideMark/>
          </w:tcPr>
          <w:p w:rsidR="007C6A5F" w:rsidRDefault="0007143C" w:rsidP="00C36DA4">
            <w:pPr>
              <w:pStyle w:val="TableDataColumnHeading"/>
            </w:pPr>
            <w:r w:rsidRPr="00DA195D">
              <w:t>Class 2</w:t>
            </w:r>
          </w:p>
          <w:p w:rsidR="0007143C" w:rsidRPr="00DA195D" w:rsidRDefault="0007143C" w:rsidP="00C36DA4">
            <w:pPr>
              <w:pStyle w:val="TableDataColumnHeading"/>
            </w:pPr>
            <w:r>
              <w:t>(Z value)</w:t>
            </w: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1F555F">
              <w:t>Price/rent as proportion of predicted reference value</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-0.9159</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-1.69</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-10.670</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-8.15</w:t>
            </w: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tcPr>
          <w:p w:rsidR="007C6A5F" w:rsidRPr="003F4BC1" w:rsidRDefault="007C6A5F" w:rsidP="00C36DA4">
            <w:pPr>
              <w:pStyle w:val="TableDataEntries"/>
              <w:jc w:val="left"/>
            </w:pPr>
            <w:r w:rsidRPr="001F555F">
              <w:t>Price/rent * low income (dummy =1 if household income &lt;$41 600 p.a.)</w:t>
            </w:r>
          </w:p>
        </w:tc>
        <w:tc>
          <w:tcPr>
            <w:tcW w:w="1133" w:type="dxa"/>
            <w:tcBorders>
              <w:top w:val="single" w:sz="8" w:space="0" w:color="FFFFFF" w:themeColor="background1"/>
              <w:bottom w:val="single" w:sz="8" w:space="0" w:color="FFFFFF" w:themeColor="background1"/>
            </w:tcBorders>
            <w:shd w:val="clear" w:color="auto" w:fill="E9E8E5" w:themeFill="background2"/>
            <w:noWrap/>
          </w:tcPr>
          <w:p w:rsidR="007C6A5F" w:rsidRPr="003F4BC1" w:rsidRDefault="007C6A5F" w:rsidP="00C36DA4">
            <w:pPr>
              <w:pStyle w:val="TableDataEntries"/>
            </w:pPr>
            <w:r w:rsidRPr="001F555F">
              <w:t>-1.7835</w:t>
            </w:r>
          </w:p>
        </w:tc>
        <w:tc>
          <w:tcPr>
            <w:tcW w:w="839" w:type="dxa"/>
            <w:tcBorders>
              <w:top w:val="single" w:sz="8" w:space="0" w:color="FFFFFF" w:themeColor="background1"/>
              <w:bottom w:val="single" w:sz="8" w:space="0" w:color="FFFFFF" w:themeColor="background1"/>
            </w:tcBorders>
            <w:shd w:val="clear" w:color="auto" w:fill="E9E8E5" w:themeFill="background2"/>
            <w:noWrap/>
          </w:tcPr>
          <w:p w:rsidR="007C6A5F" w:rsidRPr="003F4BC1" w:rsidRDefault="007C6A5F" w:rsidP="00C36DA4">
            <w:pPr>
              <w:pStyle w:val="TableDataEntries"/>
            </w:pPr>
            <w:r w:rsidRPr="001F555F">
              <w:t>-2.60</w:t>
            </w:r>
          </w:p>
        </w:tc>
        <w:tc>
          <w:tcPr>
            <w:tcW w:w="1227" w:type="dxa"/>
            <w:tcBorders>
              <w:top w:val="single" w:sz="8" w:space="0" w:color="FFFFFF" w:themeColor="background1"/>
              <w:bottom w:val="single" w:sz="8" w:space="0" w:color="FFFFFF" w:themeColor="background1"/>
            </w:tcBorders>
            <w:shd w:val="clear" w:color="auto" w:fill="E9E8E5" w:themeFill="background2"/>
            <w:noWrap/>
          </w:tcPr>
          <w:p w:rsidR="007C6A5F" w:rsidRPr="003F4BC1" w:rsidRDefault="007C6A5F" w:rsidP="00C36DA4">
            <w:pPr>
              <w:pStyle w:val="TableDataEntries"/>
            </w:pPr>
            <w:r w:rsidRPr="001F555F">
              <w:t>-27.127</w:t>
            </w:r>
          </w:p>
        </w:tc>
        <w:tc>
          <w:tcPr>
            <w:tcW w:w="839" w:type="dxa"/>
            <w:tcBorders>
              <w:top w:val="single" w:sz="8" w:space="0" w:color="FFFFFF" w:themeColor="background1"/>
              <w:bottom w:val="single" w:sz="8" w:space="0" w:color="FFFFFF" w:themeColor="background1"/>
            </w:tcBorders>
            <w:shd w:val="clear" w:color="auto" w:fill="E9E8E5" w:themeFill="background2"/>
            <w:noWrap/>
          </w:tcPr>
          <w:p w:rsidR="007C6A5F" w:rsidRPr="003F4BC1" w:rsidRDefault="007C6A5F" w:rsidP="00C36DA4">
            <w:pPr>
              <w:pStyle w:val="TableDataEntries"/>
            </w:pPr>
            <w:r w:rsidRPr="001F555F">
              <w:t>-3.10</w:t>
            </w: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tcPr>
          <w:p w:rsidR="007C6A5F" w:rsidRPr="003F4BC1" w:rsidRDefault="007C6A5F" w:rsidP="00C36DA4">
            <w:pPr>
              <w:pStyle w:val="TableDataEntries"/>
              <w:jc w:val="left"/>
            </w:pPr>
            <w:r w:rsidRPr="001F555F">
              <w:t>Getting in and out: Single step (dummy)</w:t>
            </w:r>
          </w:p>
        </w:tc>
        <w:tc>
          <w:tcPr>
            <w:tcW w:w="1133" w:type="dxa"/>
            <w:tcBorders>
              <w:top w:val="single" w:sz="8" w:space="0" w:color="FFFFFF" w:themeColor="background1"/>
              <w:bottom w:val="single" w:sz="8" w:space="0" w:color="FFFFFF" w:themeColor="background1"/>
            </w:tcBorders>
            <w:shd w:val="clear" w:color="auto" w:fill="E9E8E5" w:themeFill="background2"/>
            <w:noWrap/>
          </w:tcPr>
          <w:p w:rsidR="007C6A5F" w:rsidRPr="003F4BC1" w:rsidRDefault="007C6A5F" w:rsidP="00C36DA4">
            <w:pPr>
              <w:pStyle w:val="TableDataEntries"/>
            </w:pPr>
            <w:r w:rsidRPr="001F555F">
              <w:t>0.6358</w:t>
            </w:r>
          </w:p>
        </w:tc>
        <w:tc>
          <w:tcPr>
            <w:tcW w:w="839" w:type="dxa"/>
            <w:tcBorders>
              <w:top w:val="single" w:sz="8" w:space="0" w:color="FFFFFF" w:themeColor="background1"/>
              <w:bottom w:val="single" w:sz="8" w:space="0" w:color="FFFFFF" w:themeColor="background1"/>
            </w:tcBorders>
            <w:shd w:val="clear" w:color="auto" w:fill="E9E8E5" w:themeFill="background2"/>
            <w:noWrap/>
          </w:tcPr>
          <w:p w:rsidR="007C6A5F" w:rsidRPr="003F4BC1" w:rsidRDefault="007C6A5F" w:rsidP="00C36DA4">
            <w:pPr>
              <w:pStyle w:val="TableDataEntries"/>
            </w:pPr>
            <w:r w:rsidRPr="001F555F">
              <w:t>5.99</w:t>
            </w:r>
          </w:p>
        </w:tc>
        <w:tc>
          <w:tcPr>
            <w:tcW w:w="1227" w:type="dxa"/>
            <w:tcBorders>
              <w:top w:val="single" w:sz="8" w:space="0" w:color="FFFFFF" w:themeColor="background1"/>
              <w:bottom w:val="single" w:sz="8" w:space="0" w:color="FFFFFF" w:themeColor="background1"/>
            </w:tcBorders>
            <w:shd w:val="clear" w:color="auto" w:fill="E9E8E5" w:themeFill="background2"/>
            <w:noWrap/>
          </w:tcPr>
          <w:p w:rsidR="007C6A5F" w:rsidRPr="003F4BC1" w:rsidRDefault="007C6A5F" w:rsidP="00C36DA4">
            <w:pPr>
              <w:pStyle w:val="TableDataEntries"/>
            </w:pPr>
            <w:r w:rsidRPr="001F555F">
              <w:t>0.189</w:t>
            </w:r>
          </w:p>
        </w:tc>
        <w:tc>
          <w:tcPr>
            <w:tcW w:w="839" w:type="dxa"/>
            <w:tcBorders>
              <w:top w:val="single" w:sz="8" w:space="0" w:color="FFFFFF" w:themeColor="background1"/>
              <w:bottom w:val="single" w:sz="8" w:space="0" w:color="FFFFFF" w:themeColor="background1"/>
            </w:tcBorders>
            <w:shd w:val="clear" w:color="auto" w:fill="E9E8E5" w:themeFill="background2"/>
            <w:noWrap/>
          </w:tcPr>
          <w:p w:rsidR="007C6A5F" w:rsidRPr="003F4BC1" w:rsidRDefault="007C6A5F" w:rsidP="00C36DA4">
            <w:pPr>
              <w:pStyle w:val="TableDataEntries"/>
            </w:pPr>
            <w:r w:rsidRPr="001F555F">
              <w:t>1.79</w:t>
            </w:r>
          </w:p>
        </w:tc>
      </w:tr>
      <w:tr w:rsidR="007C6A5F" w:rsidRPr="00373C24" w:rsidTr="00684320">
        <w:trPr>
          <w:trHeight w:val="48"/>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1F555F">
              <w:t>Getting in and out: Step-free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1.0035</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8.58</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0.205</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1.83</w:t>
            </w: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1F555F">
              <w:t>Moving around indoors: Wide spaces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0.2412</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3.27</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0.208</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2.54</w:t>
            </w: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1F555F">
              <w:t>Moving around indoors: Extra-wide spaces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0.4389</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4.92</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0.092</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1.00</w:t>
            </w: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1F555F">
              <w:t>Living on same level as entrance: Suitable for short visits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0.9266</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10.72</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0.082</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0.87</w:t>
            </w: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1F555F">
              <w:t>Living on same level as entrance: Suitable for living or overnight visits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1.5161</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11.04</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-0.150</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-1.31</w:t>
            </w: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1F555F">
              <w:t>Modification that would be needed: Minimal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0.1840</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0.87</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0.404</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1.91</w:t>
            </w:r>
          </w:p>
        </w:tc>
      </w:tr>
      <w:tr w:rsidR="007C6A5F" w:rsidRPr="00373C24" w:rsidTr="00684320">
        <w:trPr>
          <w:trHeight w:val="50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1F555F">
              <w:t>Total size of home compared to similar homes: 5% larger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0.1104</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1.89</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0.093</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1.46</w:t>
            </w: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1F555F">
              <w:t>Space used for corridors, bathroom, kitchen, laundry: 45%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-0.0205</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-0.27</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-0.092</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-1.12</w:t>
            </w: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1F555F">
              <w:t>Space used for corridors, bathroom, kitchen, laundry: 50%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-0.0808</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-1.02</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-0.152</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F555F">
              <w:t>-1.75</w:t>
            </w: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4D47B7" w:rsidP="00C36DA4">
            <w:pPr>
              <w:pStyle w:val="TableDataEntries"/>
              <w:jc w:val="left"/>
            </w:pPr>
            <w:r>
              <w:t xml:space="preserve">Class membership parameters: </w:t>
            </w:r>
            <w:r w:rsidR="007C6A5F" w:rsidRPr="00373C24">
              <w:t>Age (years)</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38070C">
              <w:t>0.0581</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38070C">
              <w:t>9.27</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4D47B7" w:rsidP="00C36DA4">
            <w:pPr>
              <w:pStyle w:val="TableDataEntries"/>
              <w:jc w:val="left"/>
            </w:pPr>
            <w:r>
              <w:t xml:space="preserve">Class membership parameters: </w:t>
            </w:r>
            <w:r w:rsidR="007C6A5F" w:rsidRPr="00373C24">
              <w:t>Household with permanent mobility limitation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38070C">
              <w:t>1.1912</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38070C">
              <w:t>4.85</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4D47B7" w:rsidP="00C36DA4">
            <w:pPr>
              <w:pStyle w:val="TableDataEntries"/>
              <w:jc w:val="left"/>
            </w:pPr>
            <w:r>
              <w:t xml:space="preserve">Class membership parameters: </w:t>
            </w:r>
            <w:r w:rsidR="007C6A5F" w:rsidRPr="00373C24">
              <w:t>Constant</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38070C">
              <w:t>-2.6752</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38070C">
              <w:t>-7.68</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4D47B7" w:rsidP="00C36DA4">
            <w:pPr>
              <w:pStyle w:val="TableDataEntries"/>
              <w:jc w:val="left"/>
            </w:pPr>
            <w:r>
              <w:t xml:space="preserve">Model fit: </w:t>
            </w:r>
            <w:r w:rsidR="007C6A5F" w:rsidRPr="00373C24">
              <w:t>Log likelihood</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373C24">
              <w:t>-</w:t>
            </w:r>
            <w:r>
              <w:t>3229</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r>
      <w:tr w:rsidR="007C6A5F" w:rsidRPr="00373C24" w:rsidTr="008819BB">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4D47B7" w:rsidP="00C36DA4">
            <w:pPr>
              <w:pStyle w:val="TableDataEntries"/>
              <w:jc w:val="left"/>
            </w:pPr>
            <w:r>
              <w:t xml:space="preserve">Model fit: </w:t>
            </w:r>
            <w:r w:rsidR="007C6A5F" w:rsidRPr="00373C24">
              <w:t>Choice observations</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t>5334</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r>
      <w:tr w:rsidR="007C6A5F" w:rsidRPr="00373C24" w:rsidTr="008819BB">
        <w:trPr>
          <w:trHeight w:val="250"/>
        </w:trPr>
        <w:tc>
          <w:tcPr>
            <w:tcW w:w="3899" w:type="dxa"/>
            <w:tcBorders>
              <w:top w:val="single" w:sz="8" w:space="0" w:color="FFFFFF" w:themeColor="background1"/>
              <w:bottom w:val="single" w:sz="4" w:space="0" w:color="6F6652" w:themeColor="accent5"/>
            </w:tcBorders>
            <w:shd w:val="clear" w:color="auto" w:fill="E9E8E5" w:themeFill="background2"/>
            <w:hideMark/>
          </w:tcPr>
          <w:p w:rsidR="007C6A5F" w:rsidRPr="00373C24" w:rsidRDefault="004D47B7" w:rsidP="00C36DA4">
            <w:pPr>
              <w:pStyle w:val="TableDataEntries"/>
              <w:jc w:val="left"/>
            </w:pPr>
            <w:r>
              <w:t xml:space="preserve">Model fit: </w:t>
            </w:r>
            <w:r w:rsidR="007C6A5F" w:rsidRPr="00373C24">
              <w:t>Individuals</w:t>
            </w:r>
          </w:p>
        </w:tc>
        <w:tc>
          <w:tcPr>
            <w:tcW w:w="1133" w:type="dxa"/>
            <w:tcBorders>
              <w:top w:val="single" w:sz="8" w:space="0" w:color="FFFFFF" w:themeColor="background1"/>
              <w:bottom w:val="single" w:sz="4" w:space="0" w:color="6F6652" w:themeColor="accent5"/>
            </w:tcBorders>
            <w:shd w:val="clear" w:color="auto" w:fill="E9E8E5" w:themeFill="background2"/>
            <w:noWrap/>
            <w:hideMark/>
          </w:tcPr>
          <w:p w:rsidR="007C6A5F" w:rsidRPr="00373C24" w:rsidRDefault="007C6A5F" w:rsidP="00C36DA4">
            <w:pPr>
              <w:pStyle w:val="TableDataEntries"/>
            </w:pPr>
            <w:r>
              <w:t>889</w:t>
            </w:r>
          </w:p>
        </w:tc>
        <w:tc>
          <w:tcPr>
            <w:tcW w:w="839" w:type="dxa"/>
            <w:tcBorders>
              <w:top w:val="single" w:sz="8" w:space="0" w:color="FFFFFF" w:themeColor="background1"/>
              <w:bottom w:val="single" w:sz="4" w:space="0" w:color="6F6652" w:themeColor="accent5"/>
            </w:tcBorders>
            <w:shd w:val="clear" w:color="auto" w:fill="E9E8E5" w:themeFill="background2"/>
            <w:noWrap/>
            <w:hideMark/>
          </w:tcPr>
          <w:p w:rsidR="007C6A5F" w:rsidRPr="00373C24" w:rsidRDefault="007C6A5F" w:rsidP="00C36DA4">
            <w:pPr>
              <w:pStyle w:val="TableDataEntries"/>
            </w:pPr>
          </w:p>
        </w:tc>
        <w:tc>
          <w:tcPr>
            <w:tcW w:w="1227" w:type="dxa"/>
            <w:tcBorders>
              <w:top w:val="single" w:sz="8" w:space="0" w:color="FFFFFF" w:themeColor="background1"/>
              <w:bottom w:val="single" w:sz="4" w:space="0" w:color="6F6652" w:themeColor="accent5"/>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c>
          <w:tcPr>
            <w:tcW w:w="839" w:type="dxa"/>
            <w:tcBorders>
              <w:top w:val="single" w:sz="8" w:space="0" w:color="FFFFFF" w:themeColor="background1"/>
              <w:bottom w:val="single" w:sz="4" w:space="0" w:color="6F6652" w:themeColor="accent5"/>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r>
    </w:tbl>
    <w:p w:rsidR="007C6A5F" w:rsidRDefault="007C6A5F" w:rsidP="007C6A5F">
      <w:pPr>
        <w:pStyle w:val="Source"/>
      </w:pPr>
      <w:r>
        <w:rPr>
          <w:i/>
        </w:rPr>
        <w:t>Source</w:t>
      </w:r>
      <w:r w:rsidRPr="00E4232C">
        <w:rPr>
          <w:i/>
        </w:rPr>
        <w:t>:</w:t>
      </w:r>
      <w:r>
        <w:t xml:space="preserve"> CIE</w:t>
      </w:r>
      <w:r w:rsidR="00DE71A3">
        <w:t>.</w:t>
      </w:r>
    </w:p>
    <w:p w:rsidR="007C6A5F" w:rsidRDefault="007C6A5F" w:rsidP="007C6A5F">
      <w:pPr>
        <w:pStyle w:val="Caption"/>
      </w:pPr>
      <w:r w:rsidRPr="004D47B7">
        <w:fldChar w:fldCharType="begin"/>
      </w:r>
      <w:r w:rsidRPr="004D47B7">
        <w:instrText xml:space="preserve"> IF 1 = 1 "</w:instrText>
      </w:r>
      <w:r w:rsidRPr="004D47B7">
        <w:fldChar w:fldCharType="begin"/>
      </w:r>
      <w:r w:rsidRPr="004D47B7">
        <w:instrText xml:space="preserve"> IF </w:instrText>
      </w:r>
      <w:r w:rsidRPr="004D47B7">
        <w:rPr>
          <w:noProof/>
        </w:rPr>
        <w:fldChar w:fldCharType="begin"/>
      </w:r>
      <w:r w:rsidRPr="004D47B7">
        <w:rPr>
          <w:noProof/>
        </w:rPr>
        <w:instrText xml:space="preserve"> STYLEREF "Heading 6" \l \n </w:instrText>
      </w:r>
      <w:r w:rsidRPr="004D47B7">
        <w:rPr>
          <w:noProof/>
        </w:rPr>
        <w:fldChar w:fldCharType="separate"/>
      </w:r>
      <w:r w:rsidRPr="004D47B7">
        <w:rPr>
          <w:noProof/>
        </w:rPr>
        <w:instrText>K</w:instrText>
      </w:r>
      <w:r w:rsidRPr="004D47B7">
        <w:rPr>
          <w:noProof/>
        </w:rPr>
        <w:fldChar w:fldCharType="end"/>
      </w:r>
      <w:r w:rsidRPr="004D47B7">
        <w:instrText xml:space="preserve"> = 0 "</w:instrText>
      </w:r>
      <w:r w:rsidRPr="004D47B7">
        <w:fldChar w:fldCharType="begin"/>
      </w:r>
      <w:r w:rsidRPr="004D47B7">
        <w:instrText xml:space="preserve"> IF </w:instrText>
      </w:r>
      <w:r w:rsidRPr="004D47B7">
        <w:rPr>
          <w:noProof/>
        </w:rPr>
        <w:fldChar w:fldCharType="begin"/>
      </w:r>
      <w:r w:rsidRPr="004D47B7">
        <w:rPr>
          <w:noProof/>
        </w:rPr>
        <w:instrText xml:space="preserve"> STYLEREF "Heading 1" \l \n </w:instrText>
      </w:r>
      <w:r w:rsidRPr="004D47B7">
        <w:rPr>
          <w:noProof/>
        </w:rPr>
        <w:fldChar w:fldCharType="separate"/>
      </w:r>
      <w:r w:rsidRPr="004D47B7">
        <w:rPr>
          <w:noProof/>
        </w:rPr>
        <w:instrText>0</w:instrText>
      </w:r>
      <w:r w:rsidRPr="004D47B7">
        <w:rPr>
          <w:noProof/>
        </w:rPr>
        <w:fldChar w:fldCharType="end"/>
      </w:r>
      <w:r w:rsidRPr="004D47B7">
        <w:instrText xml:space="preserve"> = 0 "" "</w:instrText>
      </w:r>
      <w:r w:rsidRPr="004D47B7">
        <w:rPr>
          <w:noProof/>
        </w:rPr>
        <w:fldChar w:fldCharType="begin"/>
      </w:r>
      <w:r w:rsidRPr="004D47B7">
        <w:rPr>
          <w:noProof/>
        </w:rPr>
        <w:instrText xml:space="preserve"> STYLEREF "Heading 1" \l \n </w:instrText>
      </w:r>
      <w:r w:rsidRPr="004D47B7">
        <w:rPr>
          <w:noProof/>
        </w:rPr>
        <w:fldChar w:fldCharType="separate"/>
      </w:r>
      <w:r w:rsidRPr="004D47B7">
        <w:rPr>
          <w:noProof/>
        </w:rPr>
        <w:instrText>2</w:instrText>
      </w:r>
      <w:r w:rsidRPr="004D47B7">
        <w:rPr>
          <w:noProof/>
        </w:rPr>
        <w:fldChar w:fldCharType="end"/>
      </w:r>
      <w:r w:rsidRPr="004D47B7">
        <w:instrText xml:space="preserve">." </w:instrText>
      </w:r>
      <w:r w:rsidRPr="004D47B7">
        <w:fldChar w:fldCharType="end"/>
      </w:r>
      <w:r w:rsidRPr="004D47B7">
        <w:instrText>" "</w:instrText>
      </w:r>
      <w:r w:rsidRPr="004D47B7">
        <w:rPr>
          <w:noProof/>
        </w:rPr>
        <w:fldChar w:fldCharType="begin"/>
      </w:r>
      <w:r w:rsidRPr="004D47B7">
        <w:rPr>
          <w:noProof/>
        </w:rPr>
        <w:instrText xml:space="preserve"> STYLEREF "Heading 6" \l \n </w:instrText>
      </w:r>
      <w:r w:rsidRPr="004D47B7">
        <w:rPr>
          <w:noProof/>
        </w:rPr>
        <w:fldChar w:fldCharType="separate"/>
      </w:r>
      <w:r w:rsidRPr="004D47B7">
        <w:rPr>
          <w:noProof/>
        </w:rPr>
        <w:instrText>K</w:instrText>
      </w:r>
      <w:r w:rsidRPr="004D47B7">
        <w:rPr>
          <w:noProof/>
        </w:rPr>
        <w:fldChar w:fldCharType="end"/>
      </w:r>
      <w:r w:rsidRPr="004D47B7">
        <w:instrText xml:space="preserve">." </w:instrText>
      </w:r>
      <w:r w:rsidRPr="004D47B7">
        <w:fldChar w:fldCharType="separate"/>
      </w:r>
      <w:r w:rsidRPr="004D47B7">
        <w:rPr>
          <w:noProof/>
        </w:rPr>
        <w:instrText>K.</w:instrText>
      </w:r>
      <w:r w:rsidRPr="004D47B7">
        <w:fldChar w:fldCharType="end"/>
      </w:r>
      <w:r w:rsidRPr="004D47B7">
        <w:fldChar w:fldCharType="begin"/>
      </w:r>
      <w:r w:rsidRPr="004D47B7">
        <w:instrText xml:space="preserve"> SEQ Item \* ARABIC \s </w:instrText>
      </w:r>
      <w:r w:rsidRPr="004D47B7">
        <w:fldChar w:fldCharType="begin"/>
      </w:r>
      <w:r w:rsidRPr="004D47B7">
        <w:instrText xml:space="preserve"> IF </w:instrText>
      </w:r>
      <w:r w:rsidRPr="004D47B7">
        <w:rPr>
          <w:noProof/>
        </w:rPr>
        <w:fldChar w:fldCharType="begin"/>
      </w:r>
      <w:r w:rsidRPr="004D47B7">
        <w:rPr>
          <w:noProof/>
        </w:rPr>
        <w:instrText xml:space="preserve"> STYLEREF "Heading 6" \l \n </w:instrText>
      </w:r>
      <w:r w:rsidRPr="004D47B7">
        <w:rPr>
          <w:noProof/>
        </w:rPr>
        <w:fldChar w:fldCharType="separate"/>
      </w:r>
      <w:r w:rsidRPr="004D47B7">
        <w:rPr>
          <w:noProof/>
        </w:rPr>
        <w:instrText>K</w:instrText>
      </w:r>
      <w:r w:rsidRPr="004D47B7">
        <w:rPr>
          <w:noProof/>
        </w:rPr>
        <w:fldChar w:fldCharType="end"/>
      </w:r>
      <w:r w:rsidRPr="004D47B7">
        <w:instrText xml:space="preserve"> = 0 "</w:instrText>
      </w:r>
      <w:r w:rsidRPr="004D47B7">
        <w:fldChar w:fldCharType="begin"/>
      </w:r>
      <w:r w:rsidRPr="004D47B7">
        <w:instrText xml:space="preserve"> IF </w:instrText>
      </w:r>
      <w:r w:rsidRPr="004D47B7">
        <w:rPr>
          <w:noProof/>
        </w:rPr>
        <w:fldChar w:fldCharType="begin"/>
      </w:r>
      <w:r w:rsidRPr="004D47B7">
        <w:rPr>
          <w:noProof/>
        </w:rPr>
        <w:instrText xml:space="preserve"> STYLEREF "Heading 1" \l \n </w:instrText>
      </w:r>
      <w:r w:rsidRPr="004D47B7">
        <w:rPr>
          <w:noProof/>
        </w:rPr>
        <w:fldChar w:fldCharType="separate"/>
      </w:r>
      <w:r w:rsidRPr="004D47B7">
        <w:rPr>
          <w:noProof/>
        </w:rPr>
        <w:instrText>0</w:instrText>
      </w:r>
      <w:r w:rsidRPr="004D47B7">
        <w:rPr>
          <w:noProof/>
        </w:rPr>
        <w:fldChar w:fldCharType="end"/>
      </w:r>
      <w:r w:rsidRPr="004D47B7">
        <w:instrText xml:space="preserve"> = 0 "" "1" </w:instrText>
      </w:r>
      <w:r w:rsidRPr="004D47B7">
        <w:fldChar w:fldCharType="end"/>
      </w:r>
      <w:r w:rsidRPr="004D47B7">
        <w:instrText xml:space="preserve">" "6" </w:instrText>
      </w:r>
      <w:r w:rsidRPr="004D47B7">
        <w:fldChar w:fldCharType="separate"/>
      </w:r>
      <w:r w:rsidRPr="004D47B7">
        <w:rPr>
          <w:noProof/>
        </w:rPr>
        <w:instrText>6</w:instrText>
      </w:r>
      <w:r w:rsidRPr="004D47B7">
        <w:fldChar w:fldCharType="end"/>
      </w:r>
      <w:r w:rsidRPr="004D47B7">
        <w:instrText xml:space="preserve"> </w:instrText>
      </w:r>
      <w:r w:rsidRPr="004D47B7">
        <w:fldChar w:fldCharType="separate"/>
      </w:r>
      <w:r w:rsidRPr="004D47B7">
        <w:rPr>
          <w:noProof/>
        </w:rPr>
        <w:instrText>11</w:instrText>
      </w:r>
      <w:r w:rsidRPr="004D47B7">
        <w:fldChar w:fldCharType="end"/>
      </w:r>
      <w:r w:rsidRPr="004D47B7">
        <w:instrText xml:space="preserve">" "" </w:instrText>
      </w:r>
      <w:r w:rsidRPr="004D47B7">
        <w:fldChar w:fldCharType="separate"/>
      </w:r>
      <w:bookmarkStart w:id="9357" w:name="_Caption9791"/>
      <w:bookmarkStart w:id="9358" w:name="_Caption4138"/>
      <w:bookmarkStart w:id="9359" w:name="_Caption9876"/>
      <w:bookmarkStart w:id="9360" w:name="_Caption4571"/>
      <w:bookmarkStart w:id="9361" w:name="_Caption9798"/>
      <w:bookmarkStart w:id="9362" w:name="_Caption9613"/>
      <w:bookmarkStart w:id="9363" w:name="_Caption3910"/>
      <w:bookmarkStart w:id="9364" w:name="_Toc44598641"/>
      <w:bookmarkStart w:id="9365" w:name="_Toc45654272"/>
      <w:r w:rsidR="00272AF3" w:rsidRPr="004D47B7">
        <w:rPr>
          <w:noProof/>
        </w:rPr>
        <w:t>K.11</w:t>
      </w:r>
      <w:bookmarkEnd w:id="9357"/>
      <w:bookmarkEnd w:id="9358"/>
      <w:bookmarkEnd w:id="9359"/>
      <w:bookmarkEnd w:id="9360"/>
      <w:bookmarkEnd w:id="9361"/>
      <w:bookmarkEnd w:id="9362"/>
      <w:bookmarkEnd w:id="9363"/>
      <w:r w:rsidRPr="004D47B7">
        <w:fldChar w:fldCharType="end"/>
      </w:r>
      <w:r w:rsidRPr="004D47B7">
        <w:tab/>
        <w:t>Buyer model of housing choice</w:t>
      </w:r>
      <w:bookmarkEnd w:id="9364"/>
      <w:bookmarkEnd w:id="9365"/>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11"/>
        <w:tblDescription w:val="Buyer model of housing choice"/>
      </w:tblPr>
      <w:tblGrid>
        <w:gridCol w:w="3899"/>
        <w:gridCol w:w="1133"/>
        <w:gridCol w:w="839"/>
        <w:gridCol w:w="1227"/>
        <w:gridCol w:w="839"/>
      </w:tblGrid>
      <w:tr w:rsidR="0007143C" w:rsidRPr="00DA195D" w:rsidTr="0031383F">
        <w:trPr>
          <w:trHeight w:val="250"/>
          <w:tblHeader/>
        </w:trPr>
        <w:tc>
          <w:tcPr>
            <w:tcW w:w="3899" w:type="dxa"/>
            <w:shd w:val="clear" w:color="auto" w:fill="6F6652" w:themeFill="accent5"/>
            <w:hideMark/>
          </w:tcPr>
          <w:p w:rsidR="0007143C" w:rsidRPr="00DA195D" w:rsidRDefault="004D47B7" w:rsidP="005A043C">
            <w:pPr>
              <w:pStyle w:val="TableDataColumnHeading"/>
              <w:jc w:val="left"/>
            </w:pPr>
            <w:r>
              <w:t>Variable</w:t>
            </w:r>
          </w:p>
        </w:tc>
        <w:tc>
          <w:tcPr>
            <w:tcW w:w="1133" w:type="dxa"/>
            <w:shd w:val="clear" w:color="auto" w:fill="6F6652" w:themeFill="accent5"/>
            <w:noWrap/>
            <w:hideMark/>
          </w:tcPr>
          <w:p w:rsidR="0007143C" w:rsidRDefault="0007143C" w:rsidP="0031383F">
            <w:pPr>
              <w:pStyle w:val="TableDataColumnHeading"/>
            </w:pPr>
            <w:r w:rsidRPr="00DA195D">
              <w:t>Class 1</w:t>
            </w:r>
          </w:p>
          <w:p w:rsidR="0007143C" w:rsidRPr="00DA195D" w:rsidRDefault="0007143C" w:rsidP="0031383F">
            <w:pPr>
              <w:pStyle w:val="TableDataColumnHeading"/>
            </w:pPr>
            <w:r>
              <w:t>(Coef.)</w:t>
            </w:r>
          </w:p>
        </w:tc>
        <w:tc>
          <w:tcPr>
            <w:tcW w:w="839" w:type="dxa"/>
            <w:shd w:val="clear" w:color="auto" w:fill="6F6652" w:themeFill="accent5"/>
            <w:noWrap/>
            <w:hideMark/>
          </w:tcPr>
          <w:p w:rsidR="0007143C" w:rsidRDefault="0007143C" w:rsidP="0031383F">
            <w:pPr>
              <w:pStyle w:val="TableDataColumnHeading"/>
            </w:pPr>
            <w:r>
              <w:t>Class 1</w:t>
            </w:r>
          </w:p>
          <w:p w:rsidR="0007143C" w:rsidRPr="00DA195D" w:rsidRDefault="0007143C" w:rsidP="0031383F">
            <w:pPr>
              <w:pStyle w:val="TableDataColumnHeading"/>
            </w:pPr>
            <w:r>
              <w:t>(Z value)</w:t>
            </w:r>
          </w:p>
        </w:tc>
        <w:tc>
          <w:tcPr>
            <w:tcW w:w="1227" w:type="dxa"/>
            <w:shd w:val="clear" w:color="auto" w:fill="6F6652" w:themeFill="accent5"/>
            <w:noWrap/>
            <w:hideMark/>
          </w:tcPr>
          <w:p w:rsidR="0007143C" w:rsidRDefault="0007143C" w:rsidP="0031383F">
            <w:pPr>
              <w:pStyle w:val="TableDataColumnHeading"/>
            </w:pPr>
            <w:r w:rsidRPr="00DA195D">
              <w:t>Class 2</w:t>
            </w:r>
          </w:p>
          <w:p w:rsidR="0007143C" w:rsidRPr="00DA195D" w:rsidRDefault="0007143C" w:rsidP="0031383F">
            <w:pPr>
              <w:pStyle w:val="TableDataColumnHeading"/>
            </w:pPr>
            <w:r>
              <w:t>(Coef.)</w:t>
            </w:r>
          </w:p>
        </w:tc>
        <w:tc>
          <w:tcPr>
            <w:tcW w:w="839" w:type="dxa"/>
            <w:shd w:val="clear" w:color="auto" w:fill="6F6652" w:themeFill="accent5"/>
            <w:noWrap/>
            <w:hideMark/>
          </w:tcPr>
          <w:p w:rsidR="0007143C" w:rsidRDefault="0007143C" w:rsidP="0031383F">
            <w:pPr>
              <w:pStyle w:val="TableDataColumnHeading"/>
            </w:pPr>
            <w:r w:rsidRPr="00DA195D">
              <w:t>Class 2</w:t>
            </w:r>
          </w:p>
          <w:p w:rsidR="0007143C" w:rsidRPr="00DA195D" w:rsidRDefault="0007143C" w:rsidP="0031383F">
            <w:pPr>
              <w:pStyle w:val="TableDataColumnHeading"/>
            </w:pPr>
            <w:r>
              <w:t>(Z value)</w:t>
            </w: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1F555F">
              <w:t>Price/rent as proportion of predicted reference value</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-1.5597</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-2.61</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-5.320</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-9.38</w:t>
            </w: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tcPr>
          <w:p w:rsidR="007C6A5F" w:rsidRPr="003F4BC1" w:rsidRDefault="007C6A5F" w:rsidP="00C36DA4">
            <w:pPr>
              <w:pStyle w:val="TableDataEntries"/>
              <w:jc w:val="left"/>
            </w:pPr>
            <w:r w:rsidRPr="001F555F">
              <w:t>Price/rent * low income (dummy =1 if household income &lt;$41 600 p.a.)</w:t>
            </w:r>
          </w:p>
        </w:tc>
        <w:tc>
          <w:tcPr>
            <w:tcW w:w="1133" w:type="dxa"/>
            <w:tcBorders>
              <w:top w:val="single" w:sz="8" w:space="0" w:color="FFFFFF" w:themeColor="background1"/>
              <w:bottom w:val="single" w:sz="8" w:space="0" w:color="FFFFFF" w:themeColor="background1"/>
            </w:tcBorders>
            <w:shd w:val="clear" w:color="auto" w:fill="E9E8E5" w:themeFill="background2"/>
            <w:noWrap/>
          </w:tcPr>
          <w:p w:rsidR="007C6A5F" w:rsidRPr="003F4BC1" w:rsidRDefault="007C6A5F" w:rsidP="00C36DA4">
            <w:pPr>
              <w:pStyle w:val="TableDataEntries"/>
            </w:pPr>
            <w:r w:rsidRPr="007A5CB0">
              <w:t>-2.0394</w:t>
            </w:r>
          </w:p>
        </w:tc>
        <w:tc>
          <w:tcPr>
            <w:tcW w:w="839" w:type="dxa"/>
            <w:tcBorders>
              <w:top w:val="single" w:sz="8" w:space="0" w:color="FFFFFF" w:themeColor="background1"/>
              <w:bottom w:val="single" w:sz="8" w:space="0" w:color="FFFFFF" w:themeColor="background1"/>
            </w:tcBorders>
            <w:shd w:val="clear" w:color="auto" w:fill="E9E8E5" w:themeFill="background2"/>
            <w:noWrap/>
          </w:tcPr>
          <w:p w:rsidR="007C6A5F" w:rsidRPr="003F4BC1" w:rsidRDefault="007C6A5F" w:rsidP="00C36DA4">
            <w:pPr>
              <w:pStyle w:val="TableDataEntries"/>
            </w:pPr>
            <w:r w:rsidRPr="007A5CB0">
              <w:t>-2.18</w:t>
            </w:r>
          </w:p>
        </w:tc>
        <w:tc>
          <w:tcPr>
            <w:tcW w:w="1227" w:type="dxa"/>
            <w:tcBorders>
              <w:top w:val="single" w:sz="8" w:space="0" w:color="FFFFFF" w:themeColor="background1"/>
              <w:bottom w:val="single" w:sz="8" w:space="0" w:color="FFFFFF" w:themeColor="background1"/>
            </w:tcBorders>
            <w:shd w:val="clear" w:color="auto" w:fill="E9E8E5" w:themeFill="background2"/>
            <w:noWrap/>
          </w:tcPr>
          <w:p w:rsidR="007C6A5F" w:rsidRPr="003F4BC1" w:rsidRDefault="007C6A5F" w:rsidP="00C36DA4">
            <w:pPr>
              <w:pStyle w:val="TableDataEntries"/>
            </w:pPr>
            <w:r w:rsidRPr="007A5CB0">
              <w:t>-5.388</w:t>
            </w:r>
          </w:p>
        </w:tc>
        <w:tc>
          <w:tcPr>
            <w:tcW w:w="839" w:type="dxa"/>
            <w:tcBorders>
              <w:top w:val="single" w:sz="8" w:space="0" w:color="FFFFFF" w:themeColor="background1"/>
              <w:bottom w:val="single" w:sz="8" w:space="0" w:color="FFFFFF" w:themeColor="background1"/>
            </w:tcBorders>
            <w:shd w:val="clear" w:color="auto" w:fill="E9E8E5" w:themeFill="background2"/>
            <w:noWrap/>
          </w:tcPr>
          <w:p w:rsidR="007C6A5F" w:rsidRPr="003F4BC1" w:rsidRDefault="007C6A5F" w:rsidP="00C36DA4">
            <w:pPr>
              <w:pStyle w:val="TableDataEntries"/>
            </w:pPr>
            <w:r w:rsidRPr="007A5CB0">
              <w:t>-2.66</w:t>
            </w: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tcPr>
          <w:p w:rsidR="007C6A5F" w:rsidRPr="003F4BC1" w:rsidRDefault="007C6A5F" w:rsidP="00C36DA4">
            <w:pPr>
              <w:pStyle w:val="TableDataEntries"/>
              <w:jc w:val="left"/>
            </w:pPr>
            <w:r w:rsidRPr="001F555F">
              <w:t>Getting in and out: Single step (dummy)</w:t>
            </w:r>
          </w:p>
        </w:tc>
        <w:tc>
          <w:tcPr>
            <w:tcW w:w="1133" w:type="dxa"/>
            <w:tcBorders>
              <w:top w:val="single" w:sz="8" w:space="0" w:color="FFFFFF" w:themeColor="background1"/>
              <w:bottom w:val="single" w:sz="8" w:space="0" w:color="FFFFFF" w:themeColor="background1"/>
            </w:tcBorders>
            <w:shd w:val="clear" w:color="auto" w:fill="E9E8E5" w:themeFill="background2"/>
            <w:noWrap/>
          </w:tcPr>
          <w:p w:rsidR="007C6A5F" w:rsidRPr="003F4BC1" w:rsidRDefault="007C6A5F" w:rsidP="00C36DA4">
            <w:pPr>
              <w:pStyle w:val="TableDataEntries"/>
            </w:pPr>
            <w:r w:rsidRPr="007A5CB0">
              <w:t>1.1819</w:t>
            </w:r>
          </w:p>
        </w:tc>
        <w:tc>
          <w:tcPr>
            <w:tcW w:w="839" w:type="dxa"/>
            <w:tcBorders>
              <w:top w:val="single" w:sz="8" w:space="0" w:color="FFFFFF" w:themeColor="background1"/>
              <w:bottom w:val="single" w:sz="8" w:space="0" w:color="FFFFFF" w:themeColor="background1"/>
            </w:tcBorders>
            <w:shd w:val="clear" w:color="auto" w:fill="E9E8E5" w:themeFill="background2"/>
            <w:noWrap/>
          </w:tcPr>
          <w:p w:rsidR="007C6A5F" w:rsidRPr="003F4BC1" w:rsidRDefault="007C6A5F" w:rsidP="00C36DA4">
            <w:pPr>
              <w:pStyle w:val="TableDataEntries"/>
            </w:pPr>
            <w:r w:rsidRPr="007A5CB0">
              <w:t>8.83</w:t>
            </w:r>
          </w:p>
        </w:tc>
        <w:tc>
          <w:tcPr>
            <w:tcW w:w="1227" w:type="dxa"/>
            <w:tcBorders>
              <w:top w:val="single" w:sz="8" w:space="0" w:color="FFFFFF" w:themeColor="background1"/>
              <w:bottom w:val="single" w:sz="8" w:space="0" w:color="FFFFFF" w:themeColor="background1"/>
            </w:tcBorders>
            <w:shd w:val="clear" w:color="auto" w:fill="E9E8E5" w:themeFill="background2"/>
            <w:noWrap/>
          </w:tcPr>
          <w:p w:rsidR="007C6A5F" w:rsidRPr="003F4BC1" w:rsidRDefault="007C6A5F" w:rsidP="00C36DA4">
            <w:pPr>
              <w:pStyle w:val="TableDataEntries"/>
            </w:pPr>
            <w:r w:rsidRPr="007A5CB0">
              <w:t>0.123</w:t>
            </w:r>
          </w:p>
        </w:tc>
        <w:tc>
          <w:tcPr>
            <w:tcW w:w="839" w:type="dxa"/>
            <w:tcBorders>
              <w:top w:val="single" w:sz="8" w:space="0" w:color="FFFFFF" w:themeColor="background1"/>
              <w:bottom w:val="single" w:sz="8" w:space="0" w:color="FFFFFF" w:themeColor="background1"/>
            </w:tcBorders>
            <w:shd w:val="clear" w:color="auto" w:fill="E9E8E5" w:themeFill="background2"/>
            <w:noWrap/>
          </w:tcPr>
          <w:p w:rsidR="007C6A5F" w:rsidRPr="003F4BC1" w:rsidRDefault="007C6A5F" w:rsidP="00C36DA4">
            <w:pPr>
              <w:pStyle w:val="TableDataEntries"/>
            </w:pPr>
            <w:r w:rsidRPr="007A5CB0">
              <w:t>1.53</w:t>
            </w:r>
          </w:p>
        </w:tc>
      </w:tr>
      <w:tr w:rsidR="007C6A5F" w:rsidRPr="00373C24" w:rsidTr="00684320">
        <w:trPr>
          <w:trHeight w:val="48"/>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1F555F">
              <w:t>Getting in and out: Step-free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1.6405</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10.99</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0.270</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3.14</w:t>
            </w: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1F555F">
              <w:t>Moving around indoors: Wide spaces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0.3749</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4.39</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0.229</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3.73</w:t>
            </w: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1F555F">
              <w:lastRenderedPageBreak/>
              <w:t>Moving around indoors: Extra-wide spaces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0.5377</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5.35</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0.140</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2.05</w:t>
            </w: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1F555F">
              <w:t>Living on same level as entrance: Suitable for short visits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1.4574</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13.70</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0.133</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2.00</w:t>
            </w: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1F555F">
              <w:t>Living on same level as entrance: Suitable for living or overnight visits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2.6255</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15.19</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0.037</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0.41</w:t>
            </w: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1F555F">
              <w:t>Modification that would be needed: Minimal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0.4764</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1.80</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0.415</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2.71</w:t>
            </w:r>
          </w:p>
        </w:tc>
      </w:tr>
      <w:tr w:rsidR="007C6A5F" w:rsidRPr="00373C24" w:rsidTr="00684320">
        <w:trPr>
          <w:trHeight w:val="50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1F555F">
              <w:t>Total size of home compared to similar homes: 5% larger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0.1677</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2.49</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0.141</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3.03</w:t>
            </w: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1F555F">
              <w:t>Space used for corridors, bathroom, kitchen, laundry: 45%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-0.0225</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-0.25</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-0.135</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-2.33</w:t>
            </w: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1F555F">
              <w:t>Space used for corridors, bathroom, kitchen, laundry: 50%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0.0367</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0.43</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-0.195</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7A5CB0">
              <w:t>-3.13</w:t>
            </w: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4D47B7" w:rsidP="00C36DA4">
            <w:pPr>
              <w:pStyle w:val="TableDataEntries"/>
              <w:jc w:val="left"/>
            </w:pPr>
            <w:r>
              <w:t xml:space="preserve">Class membership parameters: </w:t>
            </w:r>
            <w:r w:rsidR="007C6A5F" w:rsidRPr="00373C24">
              <w:t>Age (years)</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4829C1">
              <w:t>0.0594</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4829C1">
              <w:t>10.48</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4D47B7" w:rsidP="00C36DA4">
            <w:pPr>
              <w:pStyle w:val="TableDataEntries"/>
              <w:jc w:val="left"/>
            </w:pPr>
            <w:r>
              <w:t xml:space="preserve">Class membership parameters: </w:t>
            </w:r>
            <w:r w:rsidR="007C6A5F" w:rsidRPr="00373C24">
              <w:t>Household with permanent mobility limitation (dummy)</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4829C1">
              <w:t>0.8085</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4829C1">
              <w:t>3.92</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4D47B7" w:rsidP="00C36DA4">
            <w:pPr>
              <w:pStyle w:val="TableDataEntries"/>
              <w:jc w:val="left"/>
            </w:pPr>
            <w:r>
              <w:t xml:space="preserve">Class membership parameters: </w:t>
            </w:r>
            <w:r w:rsidR="007C6A5F" w:rsidRPr="00373C24">
              <w:t>Constant</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4829C1">
              <w:t>-2.9803</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4829C1">
              <w:t>-9.67</w:t>
            </w: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r>
      <w:tr w:rsidR="007C6A5F" w:rsidRPr="00373C24" w:rsidTr="00684320">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4D47B7" w:rsidP="00C36DA4">
            <w:pPr>
              <w:pStyle w:val="TableDataEntries"/>
              <w:jc w:val="left"/>
            </w:pPr>
            <w:r>
              <w:t xml:space="preserve">Model fit: </w:t>
            </w:r>
            <w:r w:rsidR="007C6A5F" w:rsidRPr="00373C24">
              <w:t>Log likelihood</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373C24">
              <w:t>-</w:t>
            </w:r>
            <w:r>
              <w:t>4092</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r>
      <w:tr w:rsidR="007C6A5F" w:rsidRPr="00373C24" w:rsidTr="008819BB">
        <w:trPr>
          <w:trHeight w:val="250"/>
        </w:trPr>
        <w:tc>
          <w:tcPr>
            <w:tcW w:w="3899"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4D47B7" w:rsidP="00C36DA4">
            <w:pPr>
              <w:pStyle w:val="TableDataEntries"/>
              <w:jc w:val="left"/>
            </w:pPr>
            <w:r>
              <w:t xml:space="preserve">Model fit: </w:t>
            </w:r>
            <w:r w:rsidR="007C6A5F" w:rsidRPr="00373C24">
              <w:t>Choice observations</w:t>
            </w:r>
          </w:p>
        </w:tc>
        <w:tc>
          <w:tcPr>
            <w:tcW w:w="1133"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t>7032</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p>
        </w:tc>
        <w:tc>
          <w:tcPr>
            <w:tcW w:w="122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r>
      <w:tr w:rsidR="007C6A5F" w:rsidRPr="00373C24" w:rsidTr="008819BB">
        <w:trPr>
          <w:trHeight w:val="250"/>
        </w:trPr>
        <w:tc>
          <w:tcPr>
            <w:tcW w:w="3899" w:type="dxa"/>
            <w:tcBorders>
              <w:top w:val="single" w:sz="8" w:space="0" w:color="FFFFFF" w:themeColor="background1"/>
              <w:bottom w:val="single" w:sz="4" w:space="0" w:color="6F6652" w:themeColor="accent5"/>
            </w:tcBorders>
            <w:shd w:val="clear" w:color="auto" w:fill="E9E8E5" w:themeFill="background2"/>
            <w:hideMark/>
          </w:tcPr>
          <w:p w:rsidR="007C6A5F" w:rsidRPr="00373C24" w:rsidRDefault="004D47B7" w:rsidP="00C36DA4">
            <w:pPr>
              <w:pStyle w:val="TableDataEntries"/>
              <w:jc w:val="left"/>
            </w:pPr>
            <w:r>
              <w:t xml:space="preserve">Model fit: </w:t>
            </w:r>
            <w:r w:rsidR="007C6A5F" w:rsidRPr="00373C24">
              <w:t>Individuals</w:t>
            </w:r>
          </w:p>
        </w:tc>
        <w:tc>
          <w:tcPr>
            <w:tcW w:w="1133" w:type="dxa"/>
            <w:tcBorders>
              <w:top w:val="single" w:sz="8" w:space="0" w:color="FFFFFF" w:themeColor="background1"/>
              <w:bottom w:val="single" w:sz="4" w:space="0" w:color="6F6652" w:themeColor="accent5"/>
            </w:tcBorders>
            <w:shd w:val="clear" w:color="auto" w:fill="E9E8E5" w:themeFill="background2"/>
            <w:noWrap/>
            <w:hideMark/>
          </w:tcPr>
          <w:p w:rsidR="007C6A5F" w:rsidRPr="00373C24" w:rsidRDefault="007C6A5F" w:rsidP="00C36DA4">
            <w:pPr>
              <w:pStyle w:val="TableDataEntries"/>
            </w:pPr>
            <w:r>
              <w:t>1172</w:t>
            </w:r>
          </w:p>
        </w:tc>
        <w:tc>
          <w:tcPr>
            <w:tcW w:w="839" w:type="dxa"/>
            <w:tcBorders>
              <w:top w:val="single" w:sz="8" w:space="0" w:color="FFFFFF" w:themeColor="background1"/>
              <w:bottom w:val="single" w:sz="4" w:space="0" w:color="6F6652" w:themeColor="accent5"/>
            </w:tcBorders>
            <w:shd w:val="clear" w:color="auto" w:fill="E9E8E5" w:themeFill="background2"/>
            <w:noWrap/>
            <w:hideMark/>
          </w:tcPr>
          <w:p w:rsidR="007C6A5F" w:rsidRPr="00373C24" w:rsidRDefault="007C6A5F" w:rsidP="00C36DA4">
            <w:pPr>
              <w:pStyle w:val="TableDataEntries"/>
            </w:pPr>
          </w:p>
        </w:tc>
        <w:tc>
          <w:tcPr>
            <w:tcW w:w="1227" w:type="dxa"/>
            <w:tcBorders>
              <w:top w:val="single" w:sz="8" w:space="0" w:color="FFFFFF" w:themeColor="background1"/>
              <w:bottom w:val="single" w:sz="4" w:space="0" w:color="6F6652" w:themeColor="accent5"/>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c>
          <w:tcPr>
            <w:tcW w:w="839" w:type="dxa"/>
            <w:tcBorders>
              <w:top w:val="single" w:sz="8" w:space="0" w:color="FFFFFF" w:themeColor="background1"/>
              <w:bottom w:val="single" w:sz="4" w:space="0" w:color="6F6652" w:themeColor="accent5"/>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r>
    </w:tbl>
    <w:p w:rsidR="007C6A5F" w:rsidRDefault="007C6A5F" w:rsidP="007C6A5F">
      <w:pPr>
        <w:pStyle w:val="Source"/>
      </w:pPr>
      <w:r>
        <w:rPr>
          <w:i/>
        </w:rPr>
        <w:t>Source</w:t>
      </w:r>
      <w:r w:rsidRPr="00E4232C">
        <w:rPr>
          <w:i/>
        </w:rPr>
        <w:t>:</w:t>
      </w:r>
      <w:r>
        <w:t xml:space="preserve"> CIE</w:t>
      </w:r>
      <w:r w:rsidR="00DE71A3">
        <w:t>.</w:t>
      </w:r>
    </w:p>
    <w:p w:rsidR="007C6A5F" w:rsidRDefault="007C6A5F" w:rsidP="007C6A5F">
      <w:pPr>
        <w:pStyle w:val="BodyText"/>
        <w:rPr>
          <w:lang w:eastAsia="en-US"/>
        </w:rPr>
      </w:pPr>
      <w:r>
        <w:rPr>
          <w:lang w:eastAsia="en-US"/>
        </w:rPr>
        <w:t xml:space="preserve">Estimates of average WTP were derived from this model by calculating WTP at a respondent level using unconditional class probabilities and taking a weighted average accounting for the poststratification weights. The estimates from the models suggest that buyers are willing to pay a higher proportion of housing costs for accessibility features than are renters. The attributes that matter most to Australians are having amenities on the same floor as an entrance (noting that this feature is present in most of the existing housing stock) and a step-free entrance. </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w:instrText>
      </w:r>
      <w:r w:rsidRPr="00695C93">
        <w:fldChar w:fldCharType="separate"/>
      </w:r>
      <w:r>
        <w:rPr>
          <w:noProof/>
        </w:rPr>
        <w:instrText>K</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12</w:instrText>
      </w:r>
      <w:r w:rsidRPr="00695C93">
        <w:fldChar w:fldCharType="end"/>
      </w:r>
      <w:r w:rsidRPr="00695C93">
        <w:instrText xml:space="preserve">" "" </w:instrText>
      </w:r>
      <w:r w:rsidRPr="00695C93">
        <w:fldChar w:fldCharType="separate"/>
      </w:r>
      <w:bookmarkStart w:id="9366" w:name="_Caption1169"/>
      <w:bookmarkStart w:id="9367" w:name="_Caption0336"/>
      <w:bookmarkStart w:id="9368" w:name="_Caption4715"/>
      <w:bookmarkStart w:id="9369" w:name="_Caption7293"/>
      <w:bookmarkStart w:id="9370" w:name="_Caption8516"/>
      <w:bookmarkStart w:id="9371" w:name="_Caption7982"/>
      <w:bookmarkStart w:id="9372" w:name="_Toc34122639"/>
      <w:bookmarkStart w:id="9373" w:name="_Toc44598642"/>
      <w:bookmarkStart w:id="9374" w:name="_Toc45654273"/>
      <w:r w:rsidR="00272AF3">
        <w:rPr>
          <w:noProof/>
        </w:rPr>
        <w:t>K</w:t>
      </w:r>
      <w:r w:rsidR="00272AF3" w:rsidRPr="00695C93">
        <w:rPr>
          <w:noProof/>
        </w:rPr>
        <w:t>.</w:t>
      </w:r>
      <w:r w:rsidR="00272AF3">
        <w:rPr>
          <w:noProof/>
        </w:rPr>
        <w:t>12</w:t>
      </w:r>
      <w:bookmarkEnd w:id="9366"/>
      <w:bookmarkEnd w:id="9367"/>
      <w:bookmarkEnd w:id="9368"/>
      <w:bookmarkEnd w:id="9369"/>
      <w:bookmarkEnd w:id="9370"/>
      <w:bookmarkEnd w:id="9371"/>
      <w:r w:rsidRPr="00695C93">
        <w:fldChar w:fldCharType="end"/>
      </w:r>
      <w:r w:rsidRPr="00695C93">
        <w:tab/>
      </w:r>
      <w:r>
        <w:t>Average willingness to pay as a proportion of reference price</w:t>
      </w:r>
      <w:bookmarkEnd w:id="9372"/>
      <w:bookmarkEnd w:id="9373"/>
      <w:bookmarkEnd w:id="9374"/>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12"/>
        <w:tblDescription w:val="Average willingness to pay as a proportion of reference price"/>
      </w:tblPr>
      <w:tblGrid>
        <w:gridCol w:w="5954"/>
        <w:gridCol w:w="992"/>
        <w:gridCol w:w="991"/>
      </w:tblGrid>
      <w:tr w:rsidR="007C6A5F" w:rsidRPr="005E6130" w:rsidTr="004C7587">
        <w:trPr>
          <w:trHeight w:val="68"/>
          <w:tblHeader/>
        </w:trPr>
        <w:tc>
          <w:tcPr>
            <w:tcW w:w="5954" w:type="dxa"/>
            <w:shd w:val="clear" w:color="auto" w:fill="6F6652" w:themeFill="accent5"/>
            <w:hideMark/>
          </w:tcPr>
          <w:p w:rsidR="007C6A5F" w:rsidRPr="005E6130" w:rsidRDefault="007C6A5F" w:rsidP="00C36DA4">
            <w:pPr>
              <w:pStyle w:val="TableTextColumnHeading"/>
            </w:pPr>
            <w:r>
              <w:t>Change in housing features</w:t>
            </w:r>
          </w:p>
        </w:tc>
        <w:tc>
          <w:tcPr>
            <w:tcW w:w="992" w:type="dxa"/>
            <w:shd w:val="clear" w:color="auto" w:fill="6F6652" w:themeFill="accent5"/>
            <w:noWrap/>
            <w:hideMark/>
          </w:tcPr>
          <w:p w:rsidR="005A043C" w:rsidRPr="005E6130" w:rsidRDefault="007C6A5F" w:rsidP="004C7587">
            <w:pPr>
              <w:pStyle w:val="TableDataColumnHeading"/>
            </w:pPr>
            <w:r>
              <w:t>Renter model</w:t>
            </w:r>
            <w:r w:rsidR="004C7587">
              <w:br/>
            </w:r>
            <w:r w:rsidR="005A043C">
              <w:t>(per cent)</w:t>
            </w:r>
          </w:p>
        </w:tc>
        <w:tc>
          <w:tcPr>
            <w:tcW w:w="991" w:type="dxa"/>
            <w:shd w:val="clear" w:color="auto" w:fill="6F6652" w:themeFill="accent5"/>
            <w:noWrap/>
            <w:hideMark/>
          </w:tcPr>
          <w:p w:rsidR="005A043C" w:rsidRPr="005E6130" w:rsidRDefault="007C6A5F" w:rsidP="004C7587">
            <w:pPr>
              <w:pStyle w:val="TableDataColumnHeading"/>
            </w:pPr>
            <w:r>
              <w:t>Buyer</w:t>
            </w:r>
            <w:r w:rsidR="004C7587">
              <w:t xml:space="preserve"> </w:t>
            </w:r>
            <w:r>
              <w:t>model</w:t>
            </w:r>
            <w:r w:rsidR="004C7587">
              <w:br/>
            </w:r>
            <w:r w:rsidR="005A043C">
              <w:t>(per cent)</w:t>
            </w:r>
          </w:p>
        </w:tc>
      </w:tr>
      <w:tr w:rsidR="007C6A5F" w:rsidRPr="005E6130" w:rsidTr="004C7587">
        <w:trPr>
          <w:trHeight w:val="250"/>
        </w:trPr>
        <w:tc>
          <w:tcPr>
            <w:tcW w:w="5954" w:type="dxa"/>
            <w:tcBorders>
              <w:top w:val="single" w:sz="8" w:space="0" w:color="FFFFFF" w:themeColor="background1"/>
              <w:bottom w:val="single" w:sz="8" w:space="0" w:color="FFFFFF" w:themeColor="background1"/>
            </w:tcBorders>
            <w:shd w:val="clear" w:color="auto" w:fill="E9E8E5" w:themeFill="background2"/>
            <w:hideMark/>
          </w:tcPr>
          <w:p w:rsidR="007C6A5F" w:rsidRPr="005E6130" w:rsidRDefault="007C6A5F" w:rsidP="00C36DA4">
            <w:pPr>
              <w:pStyle w:val="TableDataEntries"/>
              <w:jc w:val="left"/>
            </w:pPr>
            <w:r w:rsidRPr="005E6130">
              <w:t>Getting in and out: 'Several steps' to 'Single step'</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29360A" w:rsidRDefault="007C6A5F" w:rsidP="00C36DA4">
            <w:pPr>
              <w:pStyle w:val="TableDataEntries"/>
            </w:pPr>
            <w:r w:rsidRPr="00BC7BCD">
              <w:t>8.2</w:t>
            </w:r>
          </w:p>
        </w:tc>
        <w:tc>
          <w:tcPr>
            <w:tcW w:w="991" w:type="dxa"/>
            <w:tcBorders>
              <w:top w:val="single" w:sz="8" w:space="0" w:color="FFFFFF" w:themeColor="background1"/>
              <w:bottom w:val="single" w:sz="8" w:space="0" w:color="FFFFFF" w:themeColor="background1"/>
            </w:tcBorders>
            <w:shd w:val="clear" w:color="auto" w:fill="E9E8E5" w:themeFill="background2"/>
            <w:noWrap/>
            <w:hideMark/>
          </w:tcPr>
          <w:p w:rsidR="007C6A5F" w:rsidRPr="0029360A" w:rsidRDefault="007C6A5F" w:rsidP="00C36DA4">
            <w:pPr>
              <w:pStyle w:val="TableDataEntries"/>
            </w:pPr>
            <w:r w:rsidRPr="00BC7BCD">
              <w:t>18.9</w:t>
            </w:r>
          </w:p>
        </w:tc>
      </w:tr>
      <w:tr w:rsidR="007C6A5F" w:rsidRPr="005E6130" w:rsidTr="004C7587">
        <w:trPr>
          <w:trHeight w:val="250"/>
        </w:trPr>
        <w:tc>
          <w:tcPr>
            <w:tcW w:w="5954" w:type="dxa"/>
            <w:tcBorders>
              <w:top w:val="single" w:sz="8" w:space="0" w:color="FFFFFF" w:themeColor="background1"/>
              <w:bottom w:val="single" w:sz="8" w:space="0" w:color="FFFFFF" w:themeColor="background1"/>
            </w:tcBorders>
            <w:shd w:val="clear" w:color="auto" w:fill="E9E8E5" w:themeFill="background2"/>
            <w:hideMark/>
          </w:tcPr>
          <w:p w:rsidR="007C6A5F" w:rsidRPr="005E6130" w:rsidRDefault="007C6A5F" w:rsidP="00C36DA4">
            <w:pPr>
              <w:pStyle w:val="TableDataEntries"/>
              <w:jc w:val="left"/>
            </w:pPr>
            <w:r w:rsidRPr="005E6130">
              <w:t>Getting in and out: 'Several steps' to 'Step-free'</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29360A" w:rsidRDefault="007C6A5F" w:rsidP="00C36DA4">
            <w:pPr>
              <w:pStyle w:val="TableDataEntries"/>
            </w:pPr>
            <w:r w:rsidRPr="00BC7BCD">
              <w:t>12.4</w:t>
            </w:r>
          </w:p>
        </w:tc>
        <w:tc>
          <w:tcPr>
            <w:tcW w:w="991" w:type="dxa"/>
            <w:tcBorders>
              <w:top w:val="single" w:sz="8" w:space="0" w:color="FFFFFF" w:themeColor="background1"/>
              <w:bottom w:val="single" w:sz="8" w:space="0" w:color="FFFFFF" w:themeColor="background1"/>
            </w:tcBorders>
            <w:shd w:val="clear" w:color="auto" w:fill="E9E8E5" w:themeFill="background2"/>
            <w:noWrap/>
            <w:hideMark/>
          </w:tcPr>
          <w:p w:rsidR="007C6A5F" w:rsidRPr="0029360A" w:rsidRDefault="007C6A5F" w:rsidP="00C36DA4">
            <w:pPr>
              <w:pStyle w:val="TableDataEntries"/>
            </w:pPr>
            <w:r w:rsidRPr="00BC7BCD">
              <w:t>27.5</w:t>
            </w:r>
          </w:p>
        </w:tc>
      </w:tr>
      <w:tr w:rsidR="007C6A5F" w:rsidRPr="005E6130" w:rsidTr="004C7587">
        <w:trPr>
          <w:trHeight w:val="250"/>
        </w:trPr>
        <w:tc>
          <w:tcPr>
            <w:tcW w:w="5954" w:type="dxa"/>
            <w:tcBorders>
              <w:top w:val="single" w:sz="8" w:space="0" w:color="FFFFFF" w:themeColor="background1"/>
              <w:bottom w:val="single" w:sz="8" w:space="0" w:color="FFFFFF" w:themeColor="background1"/>
            </w:tcBorders>
            <w:shd w:val="clear" w:color="auto" w:fill="E9E8E5" w:themeFill="background2"/>
            <w:hideMark/>
          </w:tcPr>
          <w:p w:rsidR="007C6A5F" w:rsidRPr="005E6130" w:rsidRDefault="007C6A5F" w:rsidP="00C36DA4">
            <w:pPr>
              <w:pStyle w:val="TableDataEntries"/>
              <w:jc w:val="left"/>
            </w:pPr>
            <w:r w:rsidRPr="005E6130">
              <w:t>Moving around indoors: 'Regular space' to 'Wide spaces'</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29360A" w:rsidRDefault="007C6A5F" w:rsidP="00C36DA4">
            <w:pPr>
              <w:pStyle w:val="TableDataEntries"/>
            </w:pPr>
            <w:r w:rsidRPr="00BC7BCD">
              <w:t>3.9</w:t>
            </w:r>
          </w:p>
        </w:tc>
        <w:tc>
          <w:tcPr>
            <w:tcW w:w="991" w:type="dxa"/>
            <w:tcBorders>
              <w:top w:val="single" w:sz="8" w:space="0" w:color="FFFFFF" w:themeColor="background1"/>
              <w:bottom w:val="single" w:sz="8" w:space="0" w:color="FFFFFF" w:themeColor="background1"/>
            </w:tcBorders>
            <w:shd w:val="clear" w:color="auto" w:fill="E9E8E5" w:themeFill="background2"/>
            <w:noWrap/>
            <w:hideMark/>
          </w:tcPr>
          <w:p w:rsidR="007C6A5F" w:rsidRPr="0029360A" w:rsidRDefault="007C6A5F" w:rsidP="00C36DA4">
            <w:pPr>
              <w:pStyle w:val="TableDataEntries"/>
            </w:pPr>
            <w:r w:rsidRPr="00BC7BCD">
              <w:t>8.4</w:t>
            </w:r>
          </w:p>
        </w:tc>
      </w:tr>
      <w:tr w:rsidR="007C6A5F" w:rsidRPr="005E6130" w:rsidTr="004C7587">
        <w:trPr>
          <w:trHeight w:val="250"/>
        </w:trPr>
        <w:tc>
          <w:tcPr>
            <w:tcW w:w="5954" w:type="dxa"/>
            <w:tcBorders>
              <w:top w:val="single" w:sz="8" w:space="0" w:color="FFFFFF" w:themeColor="background1"/>
              <w:bottom w:val="single" w:sz="8" w:space="0" w:color="FFFFFF" w:themeColor="background1"/>
            </w:tcBorders>
            <w:shd w:val="clear" w:color="auto" w:fill="E9E8E5" w:themeFill="background2"/>
            <w:hideMark/>
          </w:tcPr>
          <w:p w:rsidR="007C6A5F" w:rsidRPr="005E6130" w:rsidRDefault="007C6A5F" w:rsidP="00C36DA4">
            <w:pPr>
              <w:pStyle w:val="TableDataEntries"/>
              <w:jc w:val="left"/>
            </w:pPr>
            <w:r w:rsidRPr="005E6130">
              <w:t>Moving around indoors: 'Regular space' to 'Extra-wide spaces'</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29360A" w:rsidRDefault="007C6A5F" w:rsidP="00C36DA4">
            <w:pPr>
              <w:pStyle w:val="TableDataEntries"/>
            </w:pPr>
            <w:r w:rsidRPr="00BC7BCD">
              <w:t>5.5</w:t>
            </w:r>
          </w:p>
        </w:tc>
        <w:tc>
          <w:tcPr>
            <w:tcW w:w="991" w:type="dxa"/>
            <w:tcBorders>
              <w:top w:val="single" w:sz="8" w:space="0" w:color="FFFFFF" w:themeColor="background1"/>
              <w:bottom w:val="single" w:sz="8" w:space="0" w:color="FFFFFF" w:themeColor="background1"/>
            </w:tcBorders>
            <w:shd w:val="clear" w:color="auto" w:fill="E9E8E5" w:themeFill="background2"/>
            <w:noWrap/>
            <w:hideMark/>
          </w:tcPr>
          <w:p w:rsidR="007C6A5F" w:rsidRPr="0029360A" w:rsidRDefault="007C6A5F" w:rsidP="00C36DA4">
            <w:pPr>
              <w:pStyle w:val="TableDataEntries"/>
            </w:pPr>
            <w:r w:rsidRPr="00BC7BCD">
              <w:t>9.7</w:t>
            </w:r>
          </w:p>
        </w:tc>
      </w:tr>
      <w:tr w:rsidR="007C6A5F" w:rsidRPr="005E6130" w:rsidTr="004C7587">
        <w:trPr>
          <w:trHeight w:val="48"/>
        </w:trPr>
        <w:tc>
          <w:tcPr>
            <w:tcW w:w="5954" w:type="dxa"/>
            <w:tcBorders>
              <w:top w:val="single" w:sz="8" w:space="0" w:color="FFFFFF" w:themeColor="background1"/>
              <w:bottom w:val="single" w:sz="8" w:space="0" w:color="FFFFFF" w:themeColor="background1"/>
            </w:tcBorders>
            <w:shd w:val="clear" w:color="auto" w:fill="E9E8E5" w:themeFill="background2"/>
            <w:hideMark/>
          </w:tcPr>
          <w:p w:rsidR="007C6A5F" w:rsidRPr="005E6130" w:rsidRDefault="007C6A5F" w:rsidP="00C36DA4">
            <w:pPr>
              <w:pStyle w:val="TableDataEntries"/>
              <w:jc w:val="left"/>
            </w:pPr>
            <w:r w:rsidRPr="005E6130">
              <w:t>Living on same level as entrance: 'Unsuitable' to 'Suitable for short visits'</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29360A" w:rsidRDefault="007C6A5F" w:rsidP="00C36DA4">
            <w:pPr>
              <w:pStyle w:val="TableDataEntries"/>
            </w:pPr>
            <w:r w:rsidRPr="00BC7BCD">
              <w:t>10.9</w:t>
            </w:r>
          </w:p>
        </w:tc>
        <w:tc>
          <w:tcPr>
            <w:tcW w:w="991" w:type="dxa"/>
            <w:tcBorders>
              <w:top w:val="single" w:sz="8" w:space="0" w:color="FFFFFF" w:themeColor="background1"/>
              <w:bottom w:val="single" w:sz="8" w:space="0" w:color="FFFFFF" w:themeColor="background1"/>
            </w:tcBorders>
            <w:shd w:val="clear" w:color="auto" w:fill="E9E8E5" w:themeFill="background2"/>
            <w:noWrap/>
            <w:hideMark/>
          </w:tcPr>
          <w:p w:rsidR="007C6A5F" w:rsidRPr="0029360A" w:rsidRDefault="007C6A5F" w:rsidP="00C36DA4">
            <w:pPr>
              <w:pStyle w:val="TableDataEntries"/>
            </w:pPr>
            <w:r w:rsidRPr="00BC7BCD">
              <w:t>23.1</w:t>
            </w:r>
          </w:p>
        </w:tc>
      </w:tr>
      <w:tr w:rsidR="007C6A5F" w:rsidRPr="005E6130" w:rsidTr="004C7587">
        <w:trPr>
          <w:trHeight w:val="268"/>
        </w:trPr>
        <w:tc>
          <w:tcPr>
            <w:tcW w:w="5954" w:type="dxa"/>
            <w:tcBorders>
              <w:top w:val="single" w:sz="8" w:space="0" w:color="FFFFFF" w:themeColor="background1"/>
              <w:bottom w:val="single" w:sz="8" w:space="0" w:color="FFFFFF" w:themeColor="background1"/>
            </w:tcBorders>
            <w:shd w:val="clear" w:color="auto" w:fill="E9E8E5" w:themeFill="background2"/>
            <w:hideMark/>
          </w:tcPr>
          <w:p w:rsidR="007C6A5F" w:rsidRPr="005E6130" w:rsidRDefault="007C6A5F" w:rsidP="00C36DA4">
            <w:pPr>
              <w:pStyle w:val="TableDataEntries"/>
              <w:jc w:val="left"/>
            </w:pPr>
            <w:r w:rsidRPr="005E6130">
              <w:t>Living on same level as entrance: 'Unsuitable' to 'Suitable for living or overnight visits'</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29360A" w:rsidRDefault="007C6A5F" w:rsidP="00C36DA4">
            <w:pPr>
              <w:pStyle w:val="TableDataEntries"/>
            </w:pPr>
            <w:r w:rsidRPr="00BC7BCD">
              <w:t>16.2</w:t>
            </w:r>
          </w:p>
        </w:tc>
        <w:tc>
          <w:tcPr>
            <w:tcW w:w="991" w:type="dxa"/>
            <w:tcBorders>
              <w:top w:val="single" w:sz="8" w:space="0" w:color="FFFFFF" w:themeColor="background1"/>
              <w:bottom w:val="single" w:sz="8" w:space="0" w:color="FFFFFF" w:themeColor="background1"/>
            </w:tcBorders>
            <w:shd w:val="clear" w:color="auto" w:fill="E9E8E5" w:themeFill="background2"/>
            <w:noWrap/>
            <w:hideMark/>
          </w:tcPr>
          <w:p w:rsidR="007C6A5F" w:rsidRPr="0029360A" w:rsidRDefault="007C6A5F" w:rsidP="00C36DA4">
            <w:pPr>
              <w:pStyle w:val="TableDataEntries"/>
            </w:pPr>
            <w:r w:rsidRPr="00BC7BCD">
              <w:t>39.0</w:t>
            </w:r>
          </w:p>
        </w:tc>
      </w:tr>
      <w:tr w:rsidR="007C6A5F" w:rsidRPr="005E6130" w:rsidTr="004C7587">
        <w:trPr>
          <w:trHeight w:val="250"/>
        </w:trPr>
        <w:tc>
          <w:tcPr>
            <w:tcW w:w="5954" w:type="dxa"/>
            <w:tcBorders>
              <w:top w:val="single" w:sz="8" w:space="0" w:color="FFFFFF" w:themeColor="background1"/>
              <w:bottom w:val="single" w:sz="8" w:space="0" w:color="FFFFFF" w:themeColor="background1"/>
            </w:tcBorders>
            <w:shd w:val="clear" w:color="auto" w:fill="E9E8E5" w:themeFill="background2"/>
            <w:hideMark/>
          </w:tcPr>
          <w:p w:rsidR="007C6A5F" w:rsidRPr="005E6130" w:rsidRDefault="007C6A5F" w:rsidP="00C36DA4">
            <w:pPr>
              <w:pStyle w:val="TableDataEntries"/>
              <w:jc w:val="left"/>
            </w:pPr>
            <w:r w:rsidRPr="005E6130">
              <w:t>Modification that would be needed: 'Significant' to 'Minimal'</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29360A" w:rsidRDefault="007C6A5F" w:rsidP="00C36DA4">
            <w:pPr>
              <w:pStyle w:val="TableDataEntries"/>
            </w:pPr>
            <w:r w:rsidRPr="00BC7BCD">
              <w:t>4.4</w:t>
            </w:r>
          </w:p>
        </w:tc>
        <w:tc>
          <w:tcPr>
            <w:tcW w:w="991" w:type="dxa"/>
            <w:tcBorders>
              <w:top w:val="single" w:sz="8" w:space="0" w:color="FFFFFF" w:themeColor="background1"/>
              <w:bottom w:val="single" w:sz="8" w:space="0" w:color="FFFFFF" w:themeColor="background1"/>
            </w:tcBorders>
            <w:shd w:val="clear" w:color="auto" w:fill="E9E8E5" w:themeFill="background2"/>
            <w:noWrap/>
            <w:hideMark/>
          </w:tcPr>
          <w:p w:rsidR="007C6A5F" w:rsidRPr="0029360A" w:rsidRDefault="007C6A5F" w:rsidP="00C36DA4">
            <w:pPr>
              <w:pStyle w:val="TableDataEntries"/>
            </w:pPr>
            <w:r w:rsidRPr="00BC7BCD">
              <w:t>12.3</w:t>
            </w:r>
          </w:p>
        </w:tc>
      </w:tr>
      <w:tr w:rsidR="007C6A5F" w:rsidRPr="005E6130" w:rsidTr="004C7587">
        <w:trPr>
          <w:trHeight w:val="250"/>
        </w:trPr>
        <w:tc>
          <w:tcPr>
            <w:tcW w:w="5954" w:type="dxa"/>
            <w:tcBorders>
              <w:top w:val="single" w:sz="8" w:space="0" w:color="FFFFFF" w:themeColor="background1"/>
              <w:bottom w:val="single" w:sz="8" w:space="0" w:color="FFFFFF" w:themeColor="background1"/>
            </w:tcBorders>
            <w:shd w:val="clear" w:color="auto" w:fill="E9E8E5" w:themeFill="background2"/>
            <w:hideMark/>
          </w:tcPr>
          <w:p w:rsidR="007C6A5F" w:rsidRPr="005E6130" w:rsidRDefault="007C6A5F" w:rsidP="00C36DA4">
            <w:pPr>
              <w:pStyle w:val="TableDataEntries"/>
              <w:jc w:val="left"/>
            </w:pPr>
            <w:r w:rsidRPr="005E6130">
              <w:t>Total size of home compared to similar homes: 'Same' to '5% larger'</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29360A" w:rsidRDefault="007C6A5F" w:rsidP="00C36DA4">
            <w:pPr>
              <w:pStyle w:val="TableDataEntries"/>
            </w:pPr>
            <w:r w:rsidRPr="00BC7BCD">
              <w:t>1.8</w:t>
            </w:r>
          </w:p>
        </w:tc>
        <w:tc>
          <w:tcPr>
            <w:tcW w:w="991" w:type="dxa"/>
            <w:tcBorders>
              <w:top w:val="single" w:sz="8" w:space="0" w:color="FFFFFF" w:themeColor="background1"/>
              <w:bottom w:val="single" w:sz="8" w:space="0" w:color="FFFFFF" w:themeColor="background1"/>
            </w:tcBorders>
            <w:shd w:val="clear" w:color="auto" w:fill="E9E8E5" w:themeFill="background2"/>
            <w:noWrap/>
            <w:hideMark/>
          </w:tcPr>
          <w:p w:rsidR="007C6A5F" w:rsidRPr="0029360A" w:rsidRDefault="007C6A5F" w:rsidP="00C36DA4">
            <w:pPr>
              <w:pStyle w:val="TableDataEntries"/>
            </w:pPr>
            <w:r w:rsidRPr="00BC7BCD">
              <w:t>4.3</w:t>
            </w:r>
          </w:p>
        </w:tc>
      </w:tr>
      <w:tr w:rsidR="007C6A5F" w:rsidRPr="005E6130" w:rsidTr="004C7587">
        <w:trPr>
          <w:trHeight w:val="250"/>
        </w:trPr>
        <w:tc>
          <w:tcPr>
            <w:tcW w:w="5954" w:type="dxa"/>
            <w:tcBorders>
              <w:top w:val="single" w:sz="8" w:space="0" w:color="FFFFFF" w:themeColor="background1"/>
              <w:bottom w:val="single" w:sz="8" w:space="0" w:color="FFFFFF" w:themeColor="background1"/>
            </w:tcBorders>
            <w:shd w:val="clear" w:color="auto" w:fill="E9E8E5" w:themeFill="background2"/>
            <w:hideMark/>
          </w:tcPr>
          <w:p w:rsidR="007C6A5F" w:rsidRPr="005E6130" w:rsidRDefault="007C6A5F" w:rsidP="00C36DA4">
            <w:pPr>
              <w:pStyle w:val="TableDataEntries"/>
              <w:jc w:val="left"/>
            </w:pPr>
            <w:r w:rsidRPr="005E6130">
              <w:t>Space used for corridors, bathroom, kitchen, laundry: 40% to 45%</w:t>
            </w:r>
          </w:p>
        </w:tc>
        <w:tc>
          <w:tcPr>
            <w:tcW w:w="992" w:type="dxa"/>
            <w:tcBorders>
              <w:top w:val="single" w:sz="8" w:space="0" w:color="FFFFFF" w:themeColor="background1"/>
              <w:bottom w:val="single" w:sz="8" w:space="0" w:color="FFFFFF" w:themeColor="background1"/>
            </w:tcBorders>
            <w:shd w:val="clear" w:color="auto" w:fill="E9E8E5" w:themeFill="background2"/>
            <w:noWrap/>
            <w:hideMark/>
          </w:tcPr>
          <w:p w:rsidR="007C6A5F" w:rsidRPr="0029360A" w:rsidRDefault="007C6A5F" w:rsidP="00C36DA4">
            <w:pPr>
              <w:pStyle w:val="TableDataEntries"/>
            </w:pPr>
            <w:r w:rsidRPr="00BC7BCD">
              <w:t>-0.8</w:t>
            </w:r>
          </w:p>
        </w:tc>
        <w:tc>
          <w:tcPr>
            <w:tcW w:w="991" w:type="dxa"/>
            <w:tcBorders>
              <w:top w:val="single" w:sz="8" w:space="0" w:color="FFFFFF" w:themeColor="background1"/>
              <w:bottom w:val="single" w:sz="8" w:space="0" w:color="FFFFFF" w:themeColor="background1"/>
            </w:tcBorders>
            <w:shd w:val="clear" w:color="auto" w:fill="E9E8E5" w:themeFill="background2"/>
            <w:noWrap/>
            <w:hideMark/>
          </w:tcPr>
          <w:p w:rsidR="007C6A5F" w:rsidRPr="0029360A" w:rsidRDefault="007C6A5F" w:rsidP="00C36DA4">
            <w:pPr>
              <w:pStyle w:val="TableDataEntries"/>
            </w:pPr>
            <w:r w:rsidRPr="00BC7BCD">
              <w:t>-2.0</w:t>
            </w:r>
          </w:p>
        </w:tc>
      </w:tr>
      <w:tr w:rsidR="007C6A5F" w:rsidRPr="005E6130" w:rsidTr="004C7587">
        <w:trPr>
          <w:trHeight w:val="250"/>
        </w:trPr>
        <w:tc>
          <w:tcPr>
            <w:tcW w:w="5954" w:type="dxa"/>
            <w:tcBorders>
              <w:top w:val="single" w:sz="8" w:space="0" w:color="FFFFFF" w:themeColor="background1"/>
              <w:bottom w:val="single" w:sz="4" w:space="0" w:color="6F6652" w:themeColor="accent5"/>
            </w:tcBorders>
            <w:shd w:val="clear" w:color="auto" w:fill="E9E8E5" w:themeFill="background2"/>
            <w:hideMark/>
          </w:tcPr>
          <w:p w:rsidR="007C6A5F" w:rsidRPr="005E6130" w:rsidRDefault="007C6A5F" w:rsidP="00C36DA4">
            <w:pPr>
              <w:pStyle w:val="TableDataEntries"/>
              <w:jc w:val="left"/>
            </w:pPr>
            <w:r w:rsidRPr="005E6130">
              <w:t>Space used for corridors, bathroom, kitchen, laundry: 40% to 50%</w:t>
            </w:r>
          </w:p>
        </w:tc>
        <w:tc>
          <w:tcPr>
            <w:tcW w:w="992" w:type="dxa"/>
            <w:tcBorders>
              <w:top w:val="single" w:sz="8" w:space="0" w:color="FFFFFF" w:themeColor="background1"/>
              <w:bottom w:val="single" w:sz="4" w:space="0" w:color="6F6652" w:themeColor="accent5"/>
            </w:tcBorders>
            <w:shd w:val="clear" w:color="auto" w:fill="E9E8E5" w:themeFill="background2"/>
            <w:noWrap/>
            <w:hideMark/>
          </w:tcPr>
          <w:p w:rsidR="007C6A5F" w:rsidRPr="0029360A" w:rsidRDefault="007C6A5F" w:rsidP="00C36DA4">
            <w:pPr>
              <w:pStyle w:val="TableDataEntries"/>
            </w:pPr>
            <w:r w:rsidRPr="00BC7BCD">
              <w:t>-1.8</w:t>
            </w:r>
          </w:p>
        </w:tc>
        <w:tc>
          <w:tcPr>
            <w:tcW w:w="991" w:type="dxa"/>
            <w:tcBorders>
              <w:top w:val="single" w:sz="8" w:space="0" w:color="FFFFFF" w:themeColor="background1"/>
              <w:bottom w:val="single" w:sz="4" w:space="0" w:color="6F6652" w:themeColor="accent5"/>
            </w:tcBorders>
            <w:shd w:val="clear" w:color="auto" w:fill="E9E8E5" w:themeFill="background2"/>
            <w:noWrap/>
            <w:hideMark/>
          </w:tcPr>
          <w:p w:rsidR="007C6A5F" w:rsidRDefault="007C6A5F" w:rsidP="00C36DA4">
            <w:pPr>
              <w:pStyle w:val="TableDataEntries"/>
            </w:pPr>
            <w:r w:rsidRPr="00BC7BCD">
              <w:t>-1.9</w:t>
            </w:r>
          </w:p>
        </w:tc>
      </w:tr>
    </w:tbl>
    <w:p w:rsidR="007C6A5F" w:rsidRDefault="007C6A5F" w:rsidP="007C6A5F">
      <w:pPr>
        <w:pStyle w:val="Source"/>
      </w:pPr>
      <w:r>
        <w:rPr>
          <w:i/>
        </w:rPr>
        <w:t>Source</w:t>
      </w:r>
      <w:r w:rsidRPr="00E4232C">
        <w:rPr>
          <w:i/>
        </w:rPr>
        <w:t>:</w:t>
      </w:r>
      <w:r>
        <w:t xml:space="preserve"> CIE</w:t>
      </w:r>
      <w:r w:rsidR="00DE71A3">
        <w:t>.</w:t>
      </w:r>
    </w:p>
    <w:p w:rsidR="007C6A5F" w:rsidRDefault="007C6A5F" w:rsidP="007C6A5F">
      <w:pPr>
        <w:pStyle w:val="BodyText"/>
        <w:rPr>
          <w:lang w:eastAsia="en-US"/>
        </w:rPr>
      </w:pPr>
      <w:r>
        <w:rPr>
          <w:lang w:eastAsia="en-US"/>
        </w:rPr>
        <w:lastRenderedPageBreak/>
        <w:t xml:space="preserve">Estimates of WTP for accessibility features are higher than our prior expectations, particularly for buyers (as distinct from renters). It is prudent to check the results against reference points from real markets, particularly given the </w:t>
      </w:r>
      <w:r w:rsidRPr="00314113">
        <w:rPr>
          <w:lang w:eastAsia="en-US"/>
        </w:rPr>
        <w:t xml:space="preserve">hypothetical and </w:t>
      </w:r>
      <w:r>
        <w:rPr>
          <w:lang w:eastAsia="en-US"/>
        </w:rPr>
        <w:t>in</w:t>
      </w:r>
      <w:r w:rsidRPr="00314113">
        <w:rPr>
          <w:lang w:eastAsia="en-US"/>
        </w:rPr>
        <w:t xml:space="preserve">consequential </w:t>
      </w:r>
      <w:r>
        <w:rPr>
          <w:lang w:eastAsia="en-US"/>
        </w:rPr>
        <w:t>nature of the</w:t>
      </w:r>
      <w:r w:rsidRPr="00314113">
        <w:rPr>
          <w:lang w:eastAsia="en-US"/>
        </w:rPr>
        <w:t xml:space="preserve"> choice exercise</w:t>
      </w:r>
      <w:r>
        <w:rPr>
          <w:lang w:eastAsia="en-US"/>
        </w:rPr>
        <w:t xml:space="preserve"> and the fact that it</w:t>
      </w:r>
      <w:r w:rsidRPr="00314113">
        <w:rPr>
          <w:lang w:eastAsia="en-US"/>
        </w:rPr>
        <w:t xml:space="preserve"> focused on a </w:t>
      </w:r>
      <w:r>
        <w:rPr>
          <w:lang w:eastAsia="en-US"/>
        </w:rPr>
        <w:t xml:space="preserve">relatively small </w:t>
      </w:r>
      <w:r w:rsidRPr="00314113">
        <w:rPr>
          <w:lang w:eastAsia="en-US"/>
        </w:rPr>
        <w:t xml:space="preserve">subset of </w:t>
      </w:r>
      <w:r>
        <w:rPr>
          <w:lang w:eastAsia="en-US"/>
        </w:rPr>
        <w:t>features for a very high-priced and infrequently purchased good</w:t>
      </w:r>
      <w:r w:rsidRPr="00314113">
        <w:rPr>
          <w:lang w:eastAsia="en-US"/>
        </w:rPr>
        <w:t xml:space="preserve">. </w:t>
      </w:r>
    </w:p>
    <w:p w:rsidR="007C6A5F" w:rsidRDefault="007C6A5F" w:rsidP="007C6A5F">
      <w:pPr>
        <w:pStyle w:val="BodyText"/>
      </w:pPr>
      <w:r>
        <w:t xml:space="preserve">We checked the WTP estimates for owner-occupiers with estimated costs of retrofitting the features. The WTP estimates for single step or step-free access, relative to several steps, and the estimates for amenities at entrance level were significantly higher than the estimated cost of retrofitting the features. </w:t>
      </w:r>
    </w:p>
    <w:p w:rsidR="007C6A5F" w:rsidRDefault="007C6A5F" w:rsidP="007C6A5F">
      <w:pPr>
        <w:pStyle w:val="Caption"/>
      </w:pPr>
      <w:r w:rsidRPr="00426F8D">
        <w:fldChar w:fldCharType="begin"/>
      </w:r>
      <w:r w:rsidRPr="00426F8D">
        <w:instrText xml:space="preserve"> IF 1 = 1 "</w:instrText>
      </w:r>
      <w:r w:rsidRPr="00426F8D">
        <w:fldChar w:fldCharType="begin"/>
      </w:r>
      <w:r w:rsidRPr="00426F8D">
        <w:instrText xml:space="preserve"> IF </w:instrText>
      </w:r>
      <w:r w:rsidRPr="00426F8D">
        <w:rPr>
          <w:noProof/>
        </w:rPr>
        <w:fldChar w:fldCharType="begin"/>
      </w:r>
      <w:r w:rsidRPr="00426F8D">
        <w:rPr>
          <w:noProof/>
        </w:rPr>
        <w:instrText xml:space="preserve"> STYLEREF "Heading 6" \l \n </w:instrText>
      </w:r>
      <w:r w:rsidRPr="00426F8D">
        <w:rPr>
          <w:noProof/>
        </w:rPr>
        <w:fldChar w:fldCharType="separate"/>
      </w:r>
      <w:r w:rsidRPr="00426F8D">
        <w:rPr>
          <w:noProof/>
        </w:rPr>
        <w:instrText>K</w:instrText>
      </w:r>
      <w:r w:rsidRPr="00426F8D">
        <w:rPr>
          <w:noProof/>
        </w:rPr>
        <w:fldChar w:fldCharType="end"/>
      </w:r>
      <w:r w:rsidRPr="00426F8D">
        <w:instrText xml:space="preserve"> = 0 "</w:instrText>
      </w:r>
      <w:r w:rsidRPr="00426F8D">
        <w:fldChar w:fldCharType="begin"/>
      </w:r>
      <w:r w:rsidRPr="00426F8D">
        <w:instrText xml:space="preserve"> IF </w:instrText>
      </w:r>
      <w:r w:rsidRPr="00426F8D">
        <w:rPr>
          <w:noProof/>
        </w:rPr>
        <w:fldChar w:fldCharType="begin"/>
      </w:r>
      <w:r w:rsidRPr="00426F8D">
        <w:rPr>
          <w:noProof/>
        </w:rPr>
        <w:instrText xml:space="preserve"> STYLEREF "Heading 1" \l \n </w:instrText>
      </w:r>
      <w:r w:rsidRPr="00426F8D">
        <w:rPr>
          <w:noProof/>
        </w:rPr>
        <w:fldChar w:fldCharType="separate"/>
      </w:r>
      <w:r w:rsidRPr="00426F8D">
        <w:rPr>
          <w:noProof/>
        </w:rPr>
        <w:instrText>6</w:instrText>
      </w:r>
      <w:r w:rsidRPr="00426F8D">
        <w:rPr>
          <w:noProof/>
        </w:rPr>
        <w:fldChar w:fldCharType="end"/>
      </w:r>
      <w:r w:rsidRPr="00426F8D">
        <w:instrText xml:space="preserve"> = 0 "" "</w:instrText>
      </w:r>
      <w:r w:rsidRPr="00426F8D">
        <w:rPr>
          <w:noProof/>
        </w:rPr>
        <w:fldChar w:fldCharType="begin"/>
      </w:r>
      <w:r w:rsidRPr="00426F8D">
        <w:rPr>
          <w:noProof/>
        </w:rPr>
        <w:instrText xml:space="preserve"> STYLEREF "Heading 1" \l \n </w:instrText>
      </w:r>
      <w:r w:rsidRPr="00426F8D">
        <w:rPr>
          <w:noProof/>
        </w:rPr>
        <w:fldChar w:fldCharType="separate"/>
      </w:r>
      <w:r w:rsidRPr="00426F8D">
        <w:rPr>
          <w:noProof/>
        </w:rPr>
        <w:instrText>6</w:instrText>
      </w:r>
      <w:r w:rsidRPr="00426F8D">
        <w:rPr>
          <w:noProof/>
        </w:rPr>
        <w:fldChar w:fldCharType="end"/>
      </w:r>
      <w:r w:rsidRPr="00426F8D">
        <w:instrText xml:space="preserve">." </w:instrText>
      </w:r>
      <w:r w:rsidRPr="00426F8D">
        <w:fldChar w:fldCharType="separate"/>
      </w:r>
      <w:r w:rsidRPr="00426F8D">
        <w:rPr>
          <w:noProof/>
        </w:rPr>
        <w:instrText>6.</w:instrText>
      </w:r>
      <w:r w:rsidRPr="00426F8D">
        <w:fldChar w:fldCharType="end"/>
      </w:r>
      <w:r w:rsidRPr="00426F8D">
        <w:instrText>" "</w:instrText>
      </w:r>
      <w:r w:rsidRPr="00426F8D">
        <w:rPr>
          <w:noProof/>
        </w:rPr>
        <w:fldChar w:fldCharType="begin"/>
      </w:r>
      <w:r w:rsidRPr="00426F8D">
        <w:rPr>
          <w:noProof/>
        </w:rPr>
        <w:instrText xml:space="preserve"> STYLEREF "Heading 6" \l \n </w:instrText>
      </w:r>
      <w:r w:rsidRPr="00426F8D">
        <w:rPr>
          <w:noProof/>
        </w:rPr>
        <w:fldChar w:fldCharType="separate"/>
      </w:r>
      <w:r w:rsidRPr="00426F8D">
        <w:rPr>
          <w:noProof/>
        </w:rPr>
        <w:instrText>K</w:instrText>
      </w:r>
      <w:r w:rsidRPr="00426F8D">
        <w:rPr>
          <w:noProof/>
        </w:rPr>
        <w:fldChar w:fldCharType="end"/>
      </w:r>
      <w:r w:rsidRPr="00426F8D">
        <w:instrText xml:space="preserve">." </w:instrText>
      </w:r>
      <w:r w:rsidRPr="00426F8D">
        <w:fldChar w:fldCharType="separate"/>
      </w:r>
      <w:r w:rsidRPr="00426F8D">
        <w:rPr>
          <w:noProof/>
        </w:rPr>
        <w:instrText>K.</w:instrText>
      </w:r>
      <w:r w:rsidRPr="00426F8D">
        <w:fldChar w:fldCharType="end"/>
      </w:r>
      <w:r w:rsidRPr="00426F8D">
        <w:fldChar w:fldCharType="begin"/>
      </w:r>
      <w:r w:rsidRPr="00426F8D">
        <w:instrText xml:space="preserve"> SEQ Item \* ARABIC \s </w:instrText>
      </w:r>
      <w:r w:rsidRPr="00426F8D">
        <w:fldChar w:fldCharType="begin"/>
      </w:r>
      <w:r w:rsidRPr="00426F8D">
        <w:instrText xml:space="preserve"> IF </w:instrText>
      </w:r>
      <w:r w:rsidRPr="00426F8D">
        <w:rPr>
          <w:noProof/>
        </w:rPr>
        <w:fldChar w:fldCharType="begin"/>
      </w:r>
      <w:r w:rsidRPr="00426F8D">
        <w:rPr>
          <w:noProof/>
        </w:rPr>
        <w:instrText xml:space="preserve"> STYLEREF "Heading 6" \l \n </w:instrText>
      </w:r>
      <w:r w:rsidRPr="00426F8D">
        <w:rPr>
          <w:noProof/>
        </w:rPr>
        <w:fldChar w:fldCharType="separate"/>
      </w:r>
      <w:r w:rsidRPr="00426F8D">
        <w:rPr>
          <w:noProof/>
        </w:rPr>
        <w:instrText>K</w:instrText>
      </w:r>
      <w:r w:rsidRPr="00426F8D">
        <w:rPr>
          <w:noProof/>
        </w:rPr>
        <w:fldChar w:fldCharType="end"/>
      </w:r>
      <w:r w:rsidRPr="00426F8D">
        <w:instrText xml:space="preserve"> = 0 "</w:instrText>
      </w:r>
      <w:r w:rsidRPr="00426F8D">
        <w:fldChar w:fldCharType="begin"/>
      </w:r>
      <w:r w:rsidRPr="00426F8D">
        <w:instrText xml:space="preserve"> IF </w:instrText>
      </w:r>
      <w:r w:rsidRPr="00426F8D">
        <w:rPr>
          <w:noProof/>
        </w:rPr>
        <w:fldChar w:fldCharType="begin"/>
      </w:r>
      <w:r w:rsidRPr="00426F8D">
        <w:rPr>
          <w:noProof/>
        </w:rPr>
        <w:instrText xml:space="preserve"> STYLEREF "Heading 1" \l \n </w:instrText>
      </w:r>
      <w:r w:rsidRPr="00426F8D">
        <w:rPr>
          <w:noProof/>
        </w:rPr>
        <w:fldChar w:fldCharType="separate"/>
      </w:r>
      <w:r w:rsidRPr="00426F8D">
        <w:rPr>
          <w:noProof/>
        </w:rPr>
        <w:instrText>6</w:instrText>
      </w:r>
      <w:r w:rsidRPr="00426F8D">
        <w:rPr>
          <w:noProof/>
        </w:rPr>
        <w:fldChar w:fldCharType="end"/>
      </w:r>
      <w:r w:rsidRPr="00426F8D">
        <w:instrText xml:space="preserve"> = 0 "" "1" </w:instrText>
      </w:r>
      <w:r w:rsidRPr="00426F8D">
        <w:fldChar w:fldCharType="separate"/>
      </w:r>
      <w:r w:rsidRPr="00426F8D">
        <w:rPr>
          <w:noProof/>
        </w:rPr>
        <w:instrText>1</w:instrText>
      </w:r>
      <w:r w:rsidRPr="00426F8D">
        <w:fldChar w:fldCharType="end"/>
      </w:r>
      <w:r w:rsidRPr="00426F8D">
        <w:instrText xml:space="preserve">" "6" </w:instrText>
      </w:r>
      <w:r w:rsidRPr="00426F8D">
        <w:fldChar w:fldCharType="separate"/>
      </w:r>
      <w:r w:rsidRPr="00426F8D">
        <w:rPr>
          <w:noProof/>
        </w:rPr>
        <w:instrText>6</w:instrText>
      </w:r>
      <w:r w:rsidRPr="00426F8D">
        <w:fldChar w:fldCharType="end"/>
      </w:r>
      <w:r w:rsidRPr="00426F8D">
        <w:instrText xml:space="preserve"> </w:instrText>
      </w:r>
      <w:r w:rsidRPr="00426F8D">
        <w:fldChar w:fldCharType="separate"/>
      </w:r>
      <w:r w:rsidRPr="00426F8D">
        <w:rPr>
          <w:noProof/>
        </w:rPr>
        <w:instrText>13</w:instrText>
      </w:r>
      <w:r w:rsidRPr="00426F8D">
        <w:fldChar w:fldCharType="end"/>
      </w:r>
      <w:r w:rsidRPr="00426F8D">
        <w:instrText xml:space="preserve">" "" </w:instrText>
      </w:r>
      <w:r w:rsidRPr="00426F8D">
        <w:fldChar w:fldCharType="separate"/>
      </w:r>
      <w:bookmarkStart w:id="9375" w:name="_Caption2572"/>
      <w:bookmarkStart w:id="9376" w:name="_Caption4019"/>
      <w:bookmarkStart w:id="9377" w:name="_Caption2524"/>
      <w:bookmarkStart w:id="9378" w:name="_Caption5397"/>
      <w:bookmarkStart w:id="9379" w:name="_Caption4420"/>
      <w:bookmarkStart w:id="9380" w:name="_Caption8731"/>
      <w:bookmarkStart w:id="9381" w:name="_Caption6314"/>
      <w:bookmarkStart w:id="9382" w:name="_Toc44598643"/>
      <w:bookmarkStart w:id="9383" w:name="_Toc45654274"/>
      <w:r w:rsidR="00272AF3" w:rsidRPr="00426F8D">
        <w:rPr>
          <w:noProof/>
        </w:rPr>
        <w:t>K.13</w:t>
      </w:r>
      <w:bookmarkEnd w:id="9375"/>
      <w:bookmarkEnd w:id="9376"/>
      <w:bookmarkEnd w:id="9377"/>
      <w:bookmarkEnd w:id="9378"/>
      <w:bookmarkEnd w:id="9379"/>
      <w:bookmarkEnd w:id="9380"/>
      <w:bookmarkEnd w:id="9381"/>
      <w:r w:rsidRPr="00426F8D">
        <w:fldChar w:fldCharType="end"/>
      </w:r>
      <w:r w:rsidRPr="00426F8D">
        <w:tab/>
        <w:t>Buyer model WTP estimates compared with retrofitting costs</w:t>
      </w:r>
      <w:bookmarkEnd w:id="9382"/>
      <w:bookmarkEnd w:id="9383"/>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13"/>
        <w:tblDescription w:val="Buyer model WTP estimates compared with retrofitting costs"/>
      </w:tblPr>
      <w:tblGrid>
        <w:gridCol w:w="4893"/>
        <w:gridCol w:w="1522"/>
        <w:gridCol w:w="1522"/>
      </w:tblGrid>
      <w:tr w:rsidR="007C6A5F" w:rsidRPr="005D2402" w:rsidTr="00426F8D">
        <w:trPr>
          <w:trHeight w:val="440"/>
          <w:tblHeader/>
        </w:trPr>
        <w:tc>
          <w:tcPr>
            <w:tcW w:w="4893" w:type="dxa"/>
            <w:shd w:val="clear" w:color="auto" w:fill="6F6652" w:themeFill="accent5"/>
            <w:hideMark/>
          </w:tcPr>
          <w:p w:rsidR="007C6A5F" w:rsidRPr="005D2402" w:rsidRDefault="00426F8D" w:rsidP="00C36DA4">
            <w:pPr>
              <w:pStyle w:val="TableDataColumnHeading"/>
              <w:jc w:val="left"/>
            </w:pPr>
            <w:r>
              <w:t>Change in housing features</w:t>
            </w:r>
          </w:p>
        </w:tc>
        <w:tc>
          <w:tcPr>
            <w:tcW w:w="1522" w:type="dxa"/>
            <w:shd w:val="clear" w:color="auto" w:fill="6F6652" w:themeFill="accent5"/>
            <w:hideMark/>
          </w:tcPr>
          <w:p w:rsidR="007C6A5F" w:rsidRDefault="007C6A5F" w:rsidP="00C36DA4">
            <w:pPr>
              <w:pStyle w:val="TableDataColumnHeading"/>
              <w:rPr>
                <w:szCs w:val="16"/>
              </w:rPr>
            </w:pPr>
            <w:r w:rsidRPr="005D2402">
              <w:rPr>
                <w:szCs w:val="16"/>
              </w:rPr>
              <w:t>Buyer</w:t>
            </w:r>
            <w:r>
              <w:rPr>
                <w:szCs w:val="16"/>
              </w:rPr>
              <w:t xml:space="preserve"> model</w:t>
            </w:r>
            <w:r w:rsidRPr="005D2402">
              <w:rPr>
                <w:szCs w:val="16"/>
              </w:rPr>
              <w:t xml:space="preserve"> </w:t>
            </w:r>
            <w:r>
              <w:rPr>
                <w:szCs w:val="16"/>
              </w:rPr>
              <w:t xml:space="preserve">average </w:t>
            </w:r>
            <w:r w:rsidRPr="005D2402">
              <w:rPr>
                <w:szCs w:val="16"/>
              </w:rPr>
              <w:t>WTP</w:t>
            </w:r>
          </w:p>
          <w:p w:rsidR="005A043C" w:rsidRPr="005D2402" w:rsidRDefault="005A043C" w:rsidP="00C36DA4">
            <w:pPr>
              <w:pStyle w:val="TableDataColumnHeading"/>
              <w:rPr>
                <w:szCs w:val="16"/>
              </w:rPr>
            </w:pPr>
            <w:r>
              <w:rPr>
                <w:szCs w:val="16"/>
              </w:rPr>
              <w:t>($)</w:t>
            </w:r>
          </w:p>
        </w:tc>
        <w:tc>
          <w:tcPr>
            <w:tcW w:w="1522" w:type="dxa"/>
            <w:shd w:val="clear" w:color="auto" w:fill="6F6652" w:themeFill="accent5"/>
            <w:hideMark/>
          </w:tcPr>
          <w:p w:rsidR="007C6A5F" w:rsidRDefault="007C6A5F" w:rsidP="00C36DA4">
            <w:pPr>
              <w:pStyle w:val="TableDataColumnHeading"/>
              <w:rPr>
                <w:szCs w:val="16"/>
              </w:rPr>
            </w:pPr>
            <w:r w:rsidRPr="005D2402">
              <w:rPr>
                <w:szCs w:val="16"/>
              </w:rPr>
              <w:t>Estimated retrofitting cost</w:t>
            </w:r>
          </w:p>
          <w:p w:rsidR="005A043C" w:rsidRPr="005D2402" w:rsidRDefault="005A043C" w:rsidP="00C36DA4">
            <w:pPr>
              <w:pStyle w:val="TableDataColumnHeading"/>
              <w:rPr>
                <w:szCs w:val="16"/>
              </w:rPr>
            </w:pPr>
            <w:r>
              <w:rPr>
                <w:szCs w:val="16"/>
              </w:rPr>
              <w:t>($)</w:t>
            </w:r>
          </w:p>
        </w:tc>
      </w:tr>
      <w:tr w:rsidR="007C6A5F" w:rsidRPr="005D2402" w:rsidTr="00684320">
        <w:trPr>
          <w:trHeight w:val="260"/>
        </w:trPr>
        <w:tc>
          <w:tcPr>
            <w:tcW w:w="4893" w:type="dxa"/>
            <w:tcBorders>
              <w:top w:val="single" w:sz="8" w:space="0" w:color="FFFFFF" w:themeColor="background1"/>
              <w:bottom w:val="single" w:sz="8" w:space="0" w:color="FFFFFF" w:themeColor="background1"/>
            </w:tcBorders>
            <w:shd w:val="clear" w:color="auto" w:fill="E9E8E5" w:themeFill="background2"/>
            <w:hideMark/>
          </w:tcPr>
          <w:p w:rsidR="007C6A5F" w:rsidRPr="005D2402" w:rsidRDefault="007C6A5F" w:rsidP="00C36DA4">
            <w:pPr>
              <w:pStyle w:val="TableDataEntries"/>
              <w:jc w:val="left"/>
            </w:pPr>
            <w:r w:rsidRPr="005D2402">
              <w:t>Getting in and out: 'Several steps' to 'Single step'</w:t>
            </w:r>
          </w:p>
        </w:tc>
        <w:tc>
          <w:tcPr>
            <w:tcW w:w="1522" w:type="dxa"/>
            <w:tcBorders>
              <w:top w:val="single" w:sz="8" w:space="0" w:color="FFFFFF" w:themeColor="background1"/>
              <w:bottom w:val="single" w:sz="8" w:space="0" w:color="FFFFFF" w:themeColor="background1"/>
            </w:tcBorders>
            <w:shd w:val="clear" w:color="auto" w:fill="E9E8E5" w:themeFill="background2"/>
            <w:hideMark/>
          </w:tcPr>
          <w:p w:rsidR="007C6A5F" w:rsidRPr="005D2402" w:rsidRDefault="007C6A5F" w:rsidP="00C36DA4">
            <w:pPr>
              <w:pStyle w:val="TableDataEntries"/>
            </w:pPr>
            <w:r w:rsidRPr="003F63DA">
              <w:t>130 201</w:t>
            </w:r>
          </w:p>
        </w:tc>
        <w:tc>
          <w:tcPr>
            <w:tcW w:w="1522" w:type="dxa"/>
            <w:tcBorders>
              <w:top w:val="single" w:sz="8" w:space="0" w:color="FFFFFF" w:themeColor="background1"/>
              <w:bottom w:val="single" w:sz="8" w:space="0" w:color="FFFFFF" w:themeColor="background1"/>
            </w:tcBorders>
            <w:shd w:val="clear" w:color="auto" w:fill="E9E8E5" w:themeFill="background2"/>
            <w:hideMark/>
          </w:tcPr>
          <w:p w:rsidR="007C6A5F" w:rsidRPr="005D2402" w:rsidRDefault="007C6A5F" w:rsidP="00C36DA4">
            <w:pPr>
              <w:pStyle w:val="TableDataEntries"/>
            </w:pPr>
            <w:r w:rsidRPr="005D2402">
              <w:t>15 631</w:t>
            </w:r>
          </w:p>
        </w:tc>
      </w:tr>
      <w:tr w:rsidR="007C6A5F" w:rsidRPr="005D2402" w:rsidTr="00684320">
        <w:trPr>
          <w:trHeight w:val="260"/>
        </w:trPr>
        <w:tc>
          <w:tcPr>
            <w:tcW w:w="4893" w:type="dxa"/>
            <w:tcBorders>
              <w:top w:val="single" w:sz="8" w:space="0" w:color="FFFFFF" w:themeColor="background1"/>
              <w:bottom w:val="single" w:sz="8" w:space="0" w:color="FFFFFF" w:themeColor="background1"/>
            </w:tcBorders>
            <w:shd w:val="clear" w:color="auto" w:fill="E9E8E5" w:themeFill="background2"/>
            <w:hideMark/>
          </w:tcPr>
          <w:p w:rsidR="007C6A5F" w:rsidRPr="005D2402" w:rsidRDefault="007C6A5F" w:rsidP="00C36DA4">
            <w:pPr>
              <w:pStyle w:val="TableDataEntries"/>
              <w:jc w:val="left"/>
            </w:pPr>
            <w:r w:rsidRPr="005D2402">
              <w:t>Getting in and out: 'Several steps' to 'Step-free'</w:t>
            </w:r>
          </w:p>
        </w:tc>
        <w:tc>
          <w:tcPr>
            <w:tcW w:w="1522" w:type="dxa"/>
            <w:tcBorders>
              <w:top w:val="single" w:sz="8" w:space="0" w:color="FFFFFF" w:themeColor="background1"/>
              <w:bottom w:val="single" w:sz="8" w:space="0" w:color="FFFFFF" w:themeColor="background1"/>
            </w:tcBorders>
            <w:shd w:val="clear" w:color="auto" w:fill="E9E8E5" w:themeFill="background2"/>
            <w:hideMark/>
          </w:tcPr>
          <w:p w:rsidR="007C6A5F" w:rsidRPr="005D2402" w:rsidRDefault="007C6A5F" w:rsidP="00C36DA4">
            <w:pPr>
              <w:pStyle w:val="TableDataEntries"/>
            </w:pPr>
            <w:r w:rsidRPr="003F63DA">
              <w:t>189 553</w:t>
            </w:r>
          </w:p>
        </w:tc>
        <w:tc>
          <w:tcPr>
            <w:tcW w:w="1522" w:type="dxa"/>
            <w:tcBorders>
              <w:top w:val="single" w:sz="8" w:space="0" w:color="FFFFFF" w:themeColor="background1"/>
              <w:bottom w:val="single" w:sz="8" w:space="0" w:color="FFFFFF" w:themeColor="background1"/>
            </w:tcBorders>
            <w:shd w:val="clear" w:color="auto" w:fill="E9E8E5" w:themeFill="background2"/>
            <w:hideMark/>
          </w:tcPr>
          <w:p w:rsidR="007C6A5F" w:rsidRPr="005D2402" w:rsidRDefault="007C6A5F" w:rsidP="00C36DA4">
            <w:pPr>
              <w:pStyle w:val="TableDataEntries"/>
            </w:pPr>
            <w:r w:rsidRPr="005D2402">
              <w:t>20 073</w:t>
            </w:r>
          </w:p>
        </w:tc>
      </w:tr>
      <w:tr w:rsidR="007C6A5F" w:rsidRPr="005D2402" w:rsidTr="00684320">
        <w:trPr>
          <w:trHeight w:val="260"/>
        </w:trPr>
        <w:tc>
          <w:tcPr>
            <w:tcW w:w="4893" w:type="dxa"/>
            <w:tcBorders>
              <w:top w:val="single" w:sz="8" w:space="0" w:color="FFFFFF" w:themeColor="background1"/>
              <w:bottom w:val="single" w:sz="8" w:space="0" w:color="FFFFFF" w:themeColor="background1"/>
            </w:tcBorders>
            <w:shd w:val="clear" w:color="auto" w:fill="E9E8E5" w:themeFill="background2"/>
            <w:hideMark/>
          </w:tcPr>
          <w:p w:rsidR="007C6A5F" w:rsidRPr="005D2402" w:rsidRDefault="007C6A5F" w:rsidP="00C36DA4">
            <w:pPr>
              <w:pStyle w:val="TableDataEntries"/>
              <w:jc w:val="left"/>
            </w:pPr>
            <w:r w:rsidRPr="005D2402">
              <w:t>Moving around indoors: 'Regular space' to 'Wide spaces'</w:t>
            </w:r>
          </w:p>
        </w:tc>
        <w:tc>
          <w:tcPr>
            <w:tcW w:w="1522" w:type="dxa"/>
            <w:tcBorders>
              <w:top w:val="single" w:sz="8" w:space="0" w:color="FFFFFF" w:themeColor="background1"/>
              <w:bottom w:val="single" w:sz="8" w:space="0" w:color="FFFFFF" w:themeColor="background1"/>
            </w:tcBorders>
            <w:shd w:val="clear" w:color="auto" w:fill="E9E8E5" w:themeFill="background2"/>
            <w:hideMark/>
          </w:tcPr>
          <w:p w:rsidR="007C6A5F" w:rsidRPr="005D2402" w:rsidRDefault="007C6A5F" w:rsidP="00C36DA4">
            <w:pPr>
              <w:pStyle w:val="TableDataEntries"/>
            </w:pPr>
            <w:r w:rsidRPr="003F63DA">
              <w:t>58 139</w:t>
            </w:r>
          </w:p>
        </w:tc>
        <w:tc>
          <w:tcPr>
            <w:tcW w:w="1522" w:type="dxa"/>
            <w:tcBorders>
              <w:top w:val="single" w:sz="8" w:space="0" w:color="FFFFFF" w:themeColor="background1"/>
              <w:bottom w:val="single" w:sz="8" w:space="0" w:color="FFFFFF" w:themeColor="background1"/>
            </w:tcBorders>
            <w:shd w:val="clear" w:color="auto" w:fill="E9E8E5" w:themeFill="background2"/>
            <w:hideMark/>
          </w:tcPr>
          <w:p w:rsidR="007C6A5F" w:rsidRPr="005D2402" w:rsidRDefault="007C6A5F" w:rsidP="00C36DA4">
            <w:pPr>
              <w:pStyle w:val="TableDataEntries"/>
            </w:pPr>
            <w:r w:rsidRPr="005D2402">
              <w:t>95 000</w:t>
            </w:r>
          </w:p>
        </w:tc>
      </w:tr>
      <w:tr w:rsidR="007C6A5F" w:rsidRPr="005D2402" w:rsidTr="00684320">
        <w:trPr>
          <w:trHeight w:val="260"/>
        </w:trPr>
        <w:tc>
          <w:tcPr>
            <w:tcW w:w="4893" w:type="dxa"/>
            <w:tcBorders>
              <w:top w:val="single" w:sz="8" w:space="0" w:color="FFFFFF" w:themeColor="background1"/>
              <w:bottom w:val="single" w:sz="8" w:space="0" w:color="FFFFFF" w:themeColor="background1"/>
            </w:tcBorders>
            <w:shd w:val="clear" w:color="auto" w:fill="E9E8E5" w:themeFill="background2"/>
            <w:hideMark/>
          </w:tcPr>
          <w:p w:rsidR="007C6A5F" w:rsidRPr="005D2402" w:rsidRDefault="007C6A5F" w:rsidP="00C36DA4">
            <w:pPr>
              <w:pStyle w:val="TableDataEntries"/>
              <w:jc w:val="left"/>
            </w:pPr>
            <w:r w:rsidRPr="005D2402">
              <w:t>Moving around indoors: 'Regular space' to 'Extra-wide spaces'</w:t>
            </w:r>
          </w:p>
        </w:tc>
        <w:tc>
          <w:tcPr>
            <w:tcW w:w="1522" w:type="dxa"/>
            <w:tcBorders>
              <w:top w:val="single" w:sz="8" w:space="0" w:color="FFFFFF" w:themeColor="background1"/>
              <w:bottom w:val="single" w:sz="8" w:space="0" w:color="FFFFFF" w:themeColor="background1"/>
            </w:tcBorders>
            <w:shd w:val="clear" w:color="auto" w:fill="E9E8E5" w:themeFill="background2"/>
            <w:hideMark/>
          </w:tcPr>
          <w:p w:rsidR="007C6A5F" w:rsidRPr="005D2402" w:rsidRDefault="007C6A5F" w:rsidP="00C36DA4">
            <w:pPr>
              <w:pStyle w:val="TableDataEntries"/>
            </w:pPr>
            <w:r w:rsidRPr="003F63DA">
              <w:t>66 719</w:t>
            </w:r>
          </w:p>
        </w:tc>
        <w:tc>
          <w:tcPr>
            <w:tcW w:w="1522" w:type="dxa"/>
            <w:tcBorders>
              <w:top w:val="single" w:sz="8" w:space="0" w:color="FFFFFF" w:themeColor="background1"/>
              <w:bottom w:val="single" w:sz="8" w:space="0" w:color="FFFFFF" w:themeColor="background1"/>
            </w:tcBorders>
            <w:shd w:val="clear" w:color="auto" w:fill="E9E8E5" w:themeFill="background2"/>
            <w:hideMark/>
          </w:tcPr>
          <w:p w:rsidR="007C6A5F" w:rsidRPr="005D2402" w:rsidRDefault="007C6A5F" w:rsidP="00C36DA4">
            <w:pPr>
              <w:pStyle w:val="TableDataEntries"/>
            </w:pPr>
            <w:r w:rsidRPr="005D2402">
              <w:t>114 000</w:t>
            </w:r>
          </w:p>
        </w:tc>
      </w:tr>
      <w:tr w:rsidR="007C6A5F" w:rsidRPr="005D2402" w:rsidTr="00684320">
        <w:trPr>
          <w:trHeight w:val="260"/>
        </w:trPr>
        <w:tc>
          <w:tcPr>
            <w:tcW w:w="4893" w:type="dxa"/>
            <w:tcBorders>
              <w:top w:val="single" w:sz="8" w:space="0" w:color="FFFFFF" w:themeColor="background1"/>
              <w:bottom w:val="single" w:sz="8" w:space="0" w:color="FFFFFF" w:themeColor="background1"/>
            </w:tcBorders>
            <w:shd w:val="clear" w:color="auto" w:fill="E9E8E5" w:themeFill="background2"/>
            <w:hideMark/>
          </w:tcPr>
          <w:p w:rsidR="007C6A5F" w:rsidRPr="005D2402" w:rsidRDefault="007C6A5F" w:rsidP="00C36DA4">
            <w:pPr>
              <w:pStyle w:val="TableDataEntries"/>
              <w:jc w:val="left"/>
            </w:pPr>
            <w:r w:rsidRPr="005D2402">
              <w:t>Living on same level as entrance: 'Unsuitable' to 'Suitable for short visits'</w:t>
            </w:r>
          </w:p>
        </w:tc>
        <w:tc>
          <w:tcPr>
            <w:tcW w:w="1522" w:type="dxa"/>
            <w:tcBorders>
              <w:top w:val="single" w:sz="8" w:space="0" w:color="FFFFFF" w:themeColor="background1"/>
              <w:bottom w:val="single" w:sz="8" w:space="0" w:color="FFFFFF" w:themeColor="background1"/>
            </w:tcBorders>
            <w:shd w:val="clear" w:color="auto" w:fill="E9E8E5" w:themeFill="background2"/>
            <w:hideMark/>
          </w:tcPr>
          <w:p w:rsidR="007C6A5F" w:rsidRPr="005D2402" w:rsidRDefault="007C6A5F" w:rsidP="00C36DA4">
            <w:pPr>
              <w:pStyle w:val="TableDataEntries"/>
            </w:pPr>
            <w:r w:rsidRPr="003F63DA">
              <w:t>158 919</w:t>
            </w:r>
          </w:p>
        </w:tc>
        <w:tc>
          <w:tcPr>
            <w:tcW w:w="1522" w:type="dxa"/>
            <w:tcBorders>
              <w:top w:val="single" w:sz="8" w:space="0" w:color="FFFFFF" w:themeColor="background1"/>
              <w:bottom w:val="single" w:sz="8" w:space="0" w:color="FFFFFF" w:themeColor="background1"/>
            </w:tcBorders>
            <w:shd w:val="clear" w:color="auto" w:fill="E9E8E5" w:themeFill="background2"/>
            <w:hideMark/>
          </w:tcPr>
          <w:p w:rsidR="007C6A5F" w:rsidRPr="005D2402" w:rsidRDefault="007C6A5F" w:rsidP="00C36DA4">
            <w:pPr>
              <w:pStyle w:val="TableDataEntries"/>
            </w:pPr>
            <w:r w:rsidRPr="005D2402">
              <w:t>75 000</w:t>
            </w:r>
          </w:p>
        </w:tc>
      </w:tr>
      <w:tr w:rsidR="007C6A5F" w:rsidRPr="005D2402" w:rsidTr="008819BB">
        <w:trPr>
          <w:trHeight w:val="450"/>
        </w:trPr>
        <w:tc>
          <w:tcPr>
            <w:tcW w:w="4893" w:type="dxa"/>
            <w:tcBorders>
              <w:top w:val="single" w:sz="8" w:space="0" w:color="FFFFFF" w:themeColor="background1"/>
              <w:bottom w:val="single" w:sz="8" w:space="0" w:color="FFFFFF" w:themeColor="background1"/>
            </w:tcBorders>
            <w:shd w:val="clear" w:color="auto" w:fill="E9E8E5" w:themeFill="background2"/>
            <w:hideMark/>
          </w:tcPr>
          <w:p w:rsidR="007C6A5F" w:rsidRPr="005D2402" w:rsidRDefault="007C6A5F" w:rsidP="00C36DA4">
            <w:pPr>
              <w:pStyle w:val="TableDataEntries"/>
              <w:jc w:val="left"/>
            </w:pPr>
            <w:r w:rsidRPr="005D2402">
              <w:t>Living on same level as entrance: 'Unsuitable' to 'Suitable for living or overnight visits'</w:t>
            </w:r>
          </w:p>
        </w:tc>
        <w:tc>
          <w:tcPr>
            <w:tcW w:w="1522" w:type="dxa"/>
            <w:tcBorders>
              <w:top w:val="single" w:sz="8" w:space="0" w:color="FFFFFF" w:themeColor="background1"/>
              <w:bottom w:val="single" w:sz="8" w:space="0" w:color="FFFFFF" w:themeColor="background1"/>
            </w:tcBorders>
            <w:shd w:val="clear" w:color="auto" w:fill="E9E8E5" w:themeFill="background2"/>
            <w:hideMark/>
          </w:tcPr>
          <w:p w:rsidR="007C6A5F" w:rsidRPr="005D2402" w:rsidRDefault="007C6A5F" w:rsidP="00C36DA4">
            <w:pPr>
              <w:pStyle w:val="TableDataEntries"/>
            </w:pPr>
            <w:r w:rsidRPr="003F63DA">
              <w:t>268 271</w:t>
            </w:r>
          </w:p>
        </w:tc>
        <w:tc>
          <w:tcPr>
            <w:tcW w:w="1522" w:type="dxa"/>
            <w:tcBorders>
              <w:top w:val="single" w:sz="8" w:space="0" w:color="FFFFFF" w:themeColor="background1"/>
              <w:bottom w:val="single" w:sz="8" w:space="0" w:color="FFFFFF" w:themeColor="background1"/>
            </w:tcBorders>
            <w:shd w:val="clear" w:color="auto" w:fill="E9E8E5" w:themeFill="background2"/>
            <w:hideMark/>
          </w:tcPr>
          <w:p w:rsidR="007C6A5F" w:rsidRPr="005D2402" w:rsidRDefault="007C6A5F" w:rsidP="00C36DA4">
            <w:pPr>
              <w:pStyle w:val="TableDataEntries"/>
            </w:pPr>
            <w:r w:rsidRPr="005D2402">
              <w:t>120 000</w:t>
            </w:r>
          </w:p>
        </w:tc>
      </w:tr>
      <w:tr w:rsidR="007C6A5F" w:rsidRPr="005D2402" w:rsidTr="008819BB">
        <w:trPr>
          <w:trHeight w:val="450"/>
        </w:trPr>
        <w:tc>
          <w:tcPr>
            <w:tcW w:w="4893" w:type="dxa"/>
            <w:tcBorders>
              <w:top w:val="single" w:sz="8" w:space="0" w:color="FFFFFF" w:themeColor="background1"/>
              <w:bottom w:val="single" w:sz="4" w:space="0" w:color="6F6652" w:themeColor="accent5"/>
            </w:tcBorders>
            <w:shd w:val="clear" w:color="auto" w:fill="E9E8E5" w:themeFill="background2"/>
            <w:hideMark/>
          </w:tcPr>
          <w:p w:rsidR="007C6A5F" w:rsidRPr="005D2402" w:rsidRDefault="007C6A5F" w:rsidP="00C36DA4">
            <w:pPr>
              <w:pStyle w:val="TableDataEntries"/>
              <w:jc w:val="left"/>
            </w:pPr>
            <w:r w:rsidRPr="005D2402">
              <w:t>Modification that would be needed: 'Significant' to 'Minimal'</w:t>
            </w:r>
          </w:p>
        </w:tc>
        <w:tc>
          <w:tcPr>
            <w:tcW w:w="1522" w:type="dxa"/>
            <w:tcBorders>
              <w:top w:val="single" w:sz="8" w:space="0" w:color="FFFFFF" w:themeColor="background1"/>
              <w:bottom w:val="single" w:sz="4" w:space="0" w:color="6F6652" w:themeColor="accent5"/>
            </w:tcBorders>
            <w:shd w:val="clear" w:color="auto" w:fill="E9E8E5" w:themeFill="background2"/>
            <w:hideMark/>
          </w:tcPr>
          <w:p w:rsidR="007C6A5F" w:rsidRPr="005D2402" w:rsidRDefault="007C6A5F" w:rsidP="00C36DA4">
            <w:pPr>
              <w:pStyle w:val="TableDataEntries"/>
            </w:pPr>
            <w:r w:rsidRPr="003F63DA">
              <w:t>84 989</w:t>
            </w:r>
          </w:p>
        </w:tc>
        <w:tc>
          <w:tcPr>
            <w:tcW w:w="1522" w:type="dxa"/>
            <w:tcBorders>
              <w:top w:val="single" w:sz="8" w:space="0" w:color="FFFFFF" w:themeColor="background1"/>
              <w:bottom w:val="single" w:sz="4" w:space="0" w:color="6F6652" w:themeColor="accent5"/>
            </w:tcBorders>
            <w:shd w:val="clear" w:color="auto" w:fill="E9E8E5" w:themeFill="background2"/>
            <w:hideMark/>
          </w:tcPr>
          <w:p w:rsidR="007C6A5F" w:rsidRPr="005D2402" w:rsidRDefault="007C6A5F" w:rsidP="00C36DA4">
            <w:pPr>
              <w:pStyle w:val="TableDataEntries"/>
            </w:pPr>
            <w:r w:rsidRPr="005D2402">
              <w:t>Some combination of the above</w:t>
            </w:r>
          </w:p>
        </w:tc>
      </w:tr>
    </w:tbl>
    <w:p w:rsidR="007C6A5F" w:rsidRDefault="007C6A5F" w:rsidP="007C6A5F">
      <w:pPr>
        <w:pStyle w:val="Source"/>
      </w:pPr>
      <w:r>
        <w:rPr>
          <w:i/>
        </w:rPr>
        <w:t>Source</w:t>
      </w:r>
      <w:r w:rsidRPr="00E4232C">
        <w:rPr>
          <w:i/>
        </w:rPr>
        <w:t>:</w:t>
      </w:r>
      <w:r>
        <w:t xml:space="preserve"> CIE</w:t>
      </w:r>
      <w:r w:rsidR="00DE71A3">
        <w:t>.</w:t>
      </w:r>
    </w:p>
    <w:p w:rsidR="007C6A5F" w:rsidRDefault="007C6A5F" w:rsidP="007C6A5F">
      <w:pPr>
        <w:pStyle w:val="BodyText"/>
        <w:rPr>
          <w:lang w:eastAsia="en-US"/>
        </w:rPr>
      </w:pPr>
      <w:r>
        <w:rPr>
          <w:lang w:eastAsia="en-US"/>
        </w:rPr>
        <w:t>This result could be caused by:</w:t>
      </w:r>
    </w:p>
    <w:p w:rsidR="007C6A5F" w:rsidRDefault="007C6A5F" w:rsidP="005A6F87">
      <w:pPr>
        <w:pStyle w:val="ListBullet"/>
        <w:numPr>
          <w:ilvl w:val="0"/>
          <w:numId w:val="17"/>
        </w:numPr>
        <w:rPr>
          <w:lang w:eastAsia="en-US"/>
        </w:rPr>
      </w:pPr>
      <w:r>
        <w:rPr>
          <w:lang w:eastAsia="en-US"/>
        </w:rPr>
        <w:t>respondents failing to consider the possibility of purchasing a home without these features at a relatively low price and undertaking a retrofitting exercise</w:t>
      </w:r>
    </w:p>
    <w:p w:rsidR="007C6A5F" w:rsidRDefault="007C6A5F" w:rsidP="005A6F87">
      <w:pPr>
        <w:pStyle w:val="ListBullet"/>
        <w:numPr>
          <w:ilvl w:val="0"/>
          <w:numId w:val="17"/>
        </w:numPr>
        <w:rPr>
          <w:lang w:eastAsia="en-US"/>
        </w:rPr>
      </w:pPr>
      <w:r>
        <w:rPr>
          <w:lang w:eastAsia="en-US"/>
        </w:rPr>
        <w:t>respondents over-estimating the costs of retrofitting</w:t>
      </w:r>
    </w:p>
    <w:p w:rsidR="007C6A5F" w:rsidRDefault="007C6A5F" w:rsidP="005A6F87">
      <w:pPr>
        <w:pStyle w:val="ListBullet"/>
        <w:numPr>
          <w:ilvl w:val="0"/>
          <w:numId w:val="17"/>
        </w:numPr>
        <w:rPr>
          <w:lang w:eastAsia="en-US"/>
        </w:rPr>
      </w:pPr>
      <w:r>
        <w:rPr>
          <w:lang w:eastAsia="en-US"/>
        </w:rPr>
        <w:t>respondents rationally factoring in high non-financial costs of retrofitting associated with time, emotional stress and risk, or</w:t>
      </w:r>
    </w:p>
    <w:p w:rsidR="007C6A5F" w:rsidRDefault="007C6A5F" w:rsidP="005A6F87">
      <w:pPr>
        <w:pStyle w:val="ListBullet"/>
        <w:numPr>
          <w:ilvl w:val="0"/>
          <w:numId w:val="17"/>
        </w:numPr>
        <w:rPr>
          <w:lang w:eastAsia="en-US"/>
        </w:rPr>
      </w:pPr>
      <w:r>
        <w:rPr>
          <w:lang w:eastAsia="en-US"/>
        </w:rPr>
        <w:t>respondents over-stating their true WTP.</w:t>
      </w:r>
    </w:p>
    <w:p w:rsidR="007C6A5F" w:rsidRDefault="007C6A5F" w:rsidP="007C6A5F">
      <w:pPr>
        <w:pStyle w:val="BodyText"/>
        <w:rPr>
          <w:lang w:eastAsia="en-US"/>
        </w:rPr>
      </w:pPr>
      <w:bookmarkStart w:id="9384" w:name="_Hlk34121977"/>
      <w:r>
        <w:rPr>
          <w:lang w:eastAsia="en-US"/>
        </w:rPr>
        <w:t>The home purchase choice appears more susceptible than rental home choice to potential hypothetical bias, since it involves large sums of money and is a transaction that is conducted infrequently. It is also linked to the enhanced social status associated with home ownership. Home purchase decisions involve not only consideration of one’s own use value, but also speculative expectation on capital gains, expectations about others’ preferences and future supply and demand and how those factors may impact on the future sale price of the property. It is not possible for us to disentangle these confounding effects on the implied value estimates.</w:t>
      </w:r>
    </w:p>
    <w:p w:rsidR="007C6A5F" w:rsidRDefault="007C6A5F" w:rsidP="007C6A5F">
      <w:pPr>
        <w:pStyle w:val="BodyText"/>
        <w:rPr>
          <w:lang w:eastAsia="en-US"/>
        </w:rPr>
      </w:pPr>
      <w:r>
        <w:rPr>
          <w:lang w:eastAsia="en-US"/>
        </w:rPr>
        <w:t xml:space="preserve">For these reasons, our view is the renter model provides the best estimates of the use value of the accessibility features because it is less confounded by other effects. We derive use values for owner-occupiers from the renter estimation results by accounting for the impact of demographic differences between owners and renters on both the reference </w:t>
      </w:r>
      <w:r>
        <w:rPr>
          <w:lang w:eastAsia="en-US"/>
        </w:rPr>
        <w:lastRenderedPageBreak/>
        <w:t>price and WTP as a proportion of the reference price. In particular, we calculate a reference price for owner-occupiers by applying the rental reference price model to each respondent’s characteristics and we calculate unconditional class membership probabilities (and WTP) using their age, mobility and income characteristics. Their WTP is estimated to be higher than renters’ WTP because they tend to be older and shopping for more expensive rental properties (an average reference price of $337 per week compared to $307 per week).</w:t>
      </w:r>
    </w:p>
    <w:bookmarkEnd w:id="9384"/>
    <w:p w:rsidR="007C6A5F" w:rsidRDefault="007C6A5F" w:rsidP="007C6A5F">
      <w:pPr>
        <w:pStyle w:val="BodyText"/>
        <w:rPr>
          <w:lang w:eastAsia="en-US"/>
        </w:rPr>
      </w:pPr>
      <w:r>
        <w:rPr>
          <w:lang w:eastAsia="en-US"/>
        </w:rPr>
        <w:t xml:space="preserve">Age is the respondent characteristic that had the most significant impact on WTP. </w:t>
      </w:r>
      <w:r w:rsidRPr="0050052A">
        <w:rPr>
          <w:lang w:eastAsia="en-US"/>
        </w:rPr>
        <w:t>Table</w:t>
      </w:r>
      <w:r>
        <w:rPr>
          <w:lang w:eastAsia="en-US"/>
        </w:rPr>
        <w:t xml:space="preserve"> K.14 shows the estimated average WTP at different age levels, holding other characteristics, including income and mobility limitation, constant.</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w:instrText>
      </w:r>
      <w:r w:rsidRPr="00695C93">
        <w:fldChar w:fldCharType="separate"/>
      </w:r>
      <w:r>
        <w:rPr>
          <w:noProof/>
        </w:rPr>
        <w:instrText>K</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14</w:instrText>
      </w:r>
      <w:r w:rsidRPr="00695C93">
        <w:fldChar w:fldCharType="end"/>
      </w:r>
      <w:r w:rsidRPr="00695C93">
        <w:instrText xml:space="preserve">" "" </w:instrText>
      </w:r>
      <w:r w:rsidRPr="00695C93">
        <w:fldChar w:fldCharType="separate"/>
      </w:r>
      <w:bookmarkStart w:id="9385" w:name="_Caption7820"/>
      <w:bookmarkStart w:id="9386" w:name="_Caption3275"/>
      <w:bookmarkStart w:id="9387" w:name="_Caption5673"/>
      <w:bookmarkStart w:id="9388" w:name="_Caption8029"/>
      <w:bookmarkStart w:id="9389" w:name="_Caption3284"/>
      <w:bookmarkStart w:id="9390" w:name="_Caption8534"/>
      <w:bookmarkStart w:id="9391" w:name="_Toc34122641"/>
      <w:bookmarkStart w:id="9392" w:name="_Toc44598644"/>
      <w:bookmarkStart w:id="9393" w:name="_Toc45654275"/>
      <w:r w:rsidR="00272AF3">
        <w:rPr>
          <w:noProof/>
        </w:rPr>
        <w:t>K</w:t>
      </w:r>
      <w:r w:rsidR="00272AF3" w:rsidRPr="00695C93">
        <w:rPr>
          <w:noProof/>
        </w:rPr>
        <w:t>.</w:t>
      </w:r>
      <w:r w:rsidR="00272AF3">
        <w:rPr>
          <w:noProof/>
        </w:rPr>
        <w:t>14</w:t>
      </w:r>
      <w:bookmarkEnd w:id="9385"/>
      <w:bookmarkEnd w:id="9386"/>
      <w:bookmarkEnd w:id="9387"/>
      <w:bookmarkEnd w:id="9388"/>
      <w:bookmarkEnd w:id="9389"/>
      <w:bookmarkEnd w:id="9390"/>
      <w:r w:rsidRPr="00695C93">
        <w:fldChar w:fldCharType="end"/>
      </w:r>
      <w:r w:rsidRPr="00695C93">
        <w:tab/>
      </w:r>
      <w:r>
        <w:t>Estimated relationship between age and willingness to pay</w:t>
      </w:r>
      <w:bookmarkEnd w:id="9391"/>
      <w:bookmarkEnd w:id="9392"/>
      <w:bookmarkEnd w:id="9393"/>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14"/>
        <w:tblDescription w:val="Estimated relationship between age and willingness to pay"/>
      </w:tblPr>
      <w:tblGrid>
        <w:gridCol w:w="4615"/>
        <w:gridCol w:w="881"/>
        <w:gridCol w:w="814"/>
        <w:gridCol w:w="814"/>
        <w:gridCol w:w="814"/>
      </w:tblGrid>
      <w:tr w:rsidR="007C6A5F" w:rsidRPr="008D715C" w:rsidTr="00426F8D">
        <w:trPr>
          <w:trHeight w:val="270"/>
          <w:tblHeader/>
        </w:trPr>
        <w:tc>
          <w:tcPr>
            <w:tcW w:w="4615" w:type="dxa"/>
            <w:shd w:val="clear" w:color="auto" w:fill="6F6652" w:themeFill="accent5"/>
            <w:hideMark/>
          </w:tcPr>
          <w:p w:rsidR="007C6A5F" w:rsidRPr="008D715C" w:rsidRDefault="007C6A5F" w:rsidP="00C36DA4">
            <w:pPr>
              <w:pStyle w:val="TableDataColumnHeading"/>
              <w:jc w:val="left"/>
            </w:pPr>
            <w:r>
              <w:t>Change in housing features</w:t>
            </w:r>
          </w:p>
        </w:tc>
        <w:tc>
          <w:tcPr>
            <w:tcW w:w="881" w:type="dxa"/>
            <w:shd w:val="clear" w:color="auto" w:fill="6F6652" w:themeFill="accent5"/>
            <w:hideMark/>
          </w:tcPr>
          <w:p w:rsidR="005A043C" w:rsidRPr="008D715C" w:rsidRDefault="007C6A5F" w:rsidP="00D1641D">
            <w:pPr>
              <w:pStyle w:val="TableDataColumnHeading"/>
              <w:rPr>
                <w:szCs w:val="16"/>
              </w:rPr>
            </w:pPr>
            <w:r w:rsidRPr="008D715C">
              <w:rPr>
                <w:szCs w:val="16"/>
              </w:rPr>
              <w:t>25 year old</w:t>
            </w:r>
            <w:r w:rsidR="00D1641D">
              <w:rPr>
                <w:szCs w:val="16"/>
              </w:rPr>
              <w:br/>
            </w:r>
            <w:r w:rsidR="005A043C">
              <w:rPr>
                <w:szCs w:val="16"/>
              </w:rPr>
              <w:t>($ per week)</w:t>
            </w:r>
          </w:p>
        </w:tc>
        <w:tc>
          <w:tcPr>
            <w:tcW w:w="814" w:type="dxa"/>
            <w:shd w:val="clear" w:color="auto" w:fill="6F6652" w:themeFill="accent5"/>
            <w:noWrap/>
            <w:hideMark/>
          </w:tcPr>
          <w:p w:rsidR="005A043C" w:rsidRPr="008D715C" w:rsidRDefault="007C6A5F" w:rsidP="00D1641D">
            <w:pPr>
              <w:pStyle w:val="TableDataColumnHeading"/>
              <w:rPr>
                <w:szCs w:val="16"/>
              </w:rPr>
            </w:pPr>
            <w:r w:rsidRPr="008D715C">
              <w:rPr>
                <w:szCs w:val="16"/>
              </w:rPr>
              <w:t>40 year old</w:t>
            </w:r>
            <w:r w:rsidR="00D1641D">
              <w:rPr>
                <w:szCs w:val="16"/>
              </w:rPr>
              <w:br/>
            </w:r>
            <w:r w:rsidR="005A043C">
              <w:rPr>
                <w:szCs w:val="16"/>
              </w:rPr>
              <w:t>($ per week)</w:t>
            </w:r>
          </w:p>
        </w:tc>
        <w:tc>
          <w:tcPr>
            <w:tcW w:w="814" w:type="dxa"/>
            <w:shd w:val="clear" w:color="auto" w:fill="6F6652" w:themeFill="accent5"/>
            <w:noWrap/>
            <w:hideMark/>
          </w:tcPr>
          <w:p w:rsidR="005A043C" w:rsidRPr="008D715C" w:rsidRDefault="007C6A5F" w:rsidP="00D1641D">
            <w:pPr>
              <w:pStyle w:val="TableDataColumnHeading"/>
              <w:rPr>
                <w:szCs w:val="16"/>
              </w:rPr>
            </w:pPr>
            <w:r w:rsidRPr="008D715C">
              <w:rPr>
                <w:szCs w:val="16"/>
              </w:rPr>
              <w:t>55 year old</w:t>
            </w:r>
            <w:r w:rsidR="00D1641D">
              <w:rPr>
                <w:szCs w:val="16"/>
              </w:rPr>
              <w:br/>
            </w:r>
            <w:r w:rsidR="005A043C">
              <w:rPr>
                <w:szCs w:val="16"/>
              </w:rPr>
              <w:t>($ per week)</w:t>
            </w:r>
          </w:p>
        </w:tc>
        <w:tc>
          <w:tcPr>
            <w:tcW w:w="814" w:type="dxa"/>
            <w:shd w:val="clear" w:color="auto" w:fill="6F6652" w:themeFill="accent5"/>
            <w:noWrap/>
            <w:hideMark/>
          </w:tcPr>
          <w:p w:rsidR="005A043C" w:rsidRPr="008D715C" w:rsidRDefault="007C6A5F" w:rsidP="00D1641D">
            <w:pPr>
              <w:pStyle w:val="TableDataColumnHeading"/>
              <w:rPr>
                <w:szCs w:val="16"/>
              </w:rPr>
            </w:pPr>
            <w:r w:rsidRPr="008D715C">
              <w:rPr>
                <w:szCs w:val="16"/>
              </w:rPr>
              <w:t>70 year old</w:t>
            </w:r>
            <w:r w:rsidR="00D1641D">
              <w:rPr>
                <w:szCs w:val="16"/>
              </w:rPr>
              <w:br/>
            </w:r>
            <w:r w:rsidR="005A043C">
              <w:rPr>
                <w:szCs w:val="16"/>
              </w:rPr>
              <w:t>($ per week)</w:t>
            </w:r>
          </w:p>
        </w:tc>
      </w:tr>
      <w:tr w:rsidR="007C6A5F" w:rsidRPr="008D715C" w:rsidTr="00684320">
        <w:trPr>
          <w:trHeight w:val="260"/>
        </w:trPr>
        <w:tc>
          <w:tcPr>
            <w:tcW w:w="4615"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jc w:val="left"/>
              <w:rPr>
                <w:color w:val="000000"/>
              </w:rPr>
            </w:pPr>
            <w:r w:rsidRPr="008D715C">
              <w:t>Getting in and out: 'Several steps' to 'Single step'</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43</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74</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104</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122</w:t>
            </w:r>
          </w:p>
        </w:tc>
      </w:tr>
      <w:tr w:rsidR="007C6A5F" w:rsidRPr="008D715C" w:rsidTr="00684320">
        <w:trPr>
          <w:trHeight w:val="260"/>
        </w:trPr>
        <w:tc>
          <w:tcPr>
            <w:tcW w:w="4615"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jc w:val="left"/>
              <w:rPr>
                <w:color w:val="000000"/>
              </w:rPr>
            </w:pPr>
            <w:r w:rsidRPr="008D715C">
              <w:t>Getting in and out: 'Several steps' to 'Step-free'</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67</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116</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164</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193</w:t>
            </w:r>
          </w:p>
        </w:tc>
      </w:tr>
      <w:tr w:rsidR="007C6A5F" w:rsidRPr="008D715C" w:rsidTr="00684320">
        <w:trPr>
          <w:trHeight w:val="260"/>
        </w:trPr>
        <w:tc>
          <w:tcPr>
            <w:tcW w:w="4615"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jc w:val="left"/>
              <w:rPr>
                <w:color w:val="000000"/>
              </w:rPr>
            </w:pPr>
            <w:r w:rsidRPr="008D715C">
              <w:t>Moving around indoors: 'Regular space' to 'Wide spaces'</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18</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29</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40</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47</w:t>
            </w:r>
          </w:p>
        </w:tc>
      </w:tr>
      <w:tr w:rsidR="007C6A5F" w:rsidRPr="008D715C" w:rsidTr="00684320">
        <w:trPr>
          <w:trHeight w:val="260"/>
        </w:trPr>
        <w:tc>
          <w:tcPr>
            <w:tcW w:w="4615"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jc w:val="left"/>
              <w:rPr>
                <w:color w:val="000000"/>
              </w:rPr>
            </w:pPr>
            <w:r w:rsidRPr="008D715C">
              <w:t>Moving around indoors: 'Regular space' to 'Extra-wide spaces'</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29</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51</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72</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84</w:t>
            </w:r>
          </w:p>
        </w:tc>
      </w:tr>
      <w:tr w:rsidR="007C6A5F" w:rsidRPr="008D715C" w:rsidTr="00684320">
        <w:trPr>
          <w:trHeight w:val="260"/>
        </w:trPr>
        <w:tc>
          <w:tcPr>
            <w:tcW w:w="4615"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jc w:val="left"/>
              <w:rPr>
                <w:color w:val="000000"/>
              </w:rPr>
            </w:pPr>
            <w:r w:rsidRPr="008D715C">
              <w:t>Living on same level as entrance: 'Unsuitable' to 'Suitable for short visits'</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60</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106</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151</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178</w:t>
            </w:r>
          </w:p>
        </w:tc>
      </w:tr>
      <w:tr w:rsidR="007C6A5F" w:rsidRPr="008D715C" w:rsidTr="00684320">
        <w:trPr>
          <w:trHeight w:val="450"/>
        </w:trPr>
        <w:tc>
          <w:tcPr>
            <w:tcW w:w="4615"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jc w:val="left"/>
              <w:rPr>
                <w:color w:val="000000"/>
              </w:rPr>
            </w:pPr>
            <w:r w:rsidRPr="008D715C">
              <w:t>Living on same level as entrance: 'Unsuitable' to 'Suitable for living or overnight visits'</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95</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171</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245</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290</w:t>
            </w:r>
          </w:p>
        </w:tc>
      </w:tr>
      <w:tr w:rsidR="007C6A5F" w:rsidRPr="008D715C" w:rsidTr="00684320">
        <w:trPr>
          <w:trHeight w:val="260"/>
        </w:trPr>
        <w:tc>
          <w:tcPr>
            <w:tcW w:w="4615"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jc w:val="left"/>
              <w:rPr>
                <w:color w:val="000000"/>
              </w:rPr>
            </w:pPr>
            <w:r w:rsidRPr="008D715C">
              <w:t>Modification that would be needed: 'Significant' to 'Minimal'</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17</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25</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32</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36</w:t>
            </w:r>
          </w:p>
        </w:tc>
      </w:tr>
      <w:tr w:rsidR="007C6A5F" w:rsidRPr="008D715C" w:rsidTr="00684320">
        <w:trPr>
          <w:trHeight w:val="260"/>
        </w:trPr>
        <w:tc>
          <w:tcPr>
            <w:tcW w:w="4615"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jc w:val="left"/>
              <w:rPr>
                <w:color w:val="000000"/>
              </w:rPr>
            </w:pPr>
            <w:r w:rsidRPr="008D715C">
              <w:t>Total size of home compared to similar homes: 'Same' to '5% larger'</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8</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13</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18</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21</w:t>
            </w:r>
          </w:p>
        </w:tc>
      </w:tr>
      <w:tr w:rsidR="007C6A5F" w:rsidRPr="008D715C" w:rsidTr="008819BB">
        <w:trPr>
          <w:trHeight w:val="260"/>
        </w:trPr>
        <w:tc>
          <w:tcPr>
            <w:tcW w:w="4615"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jc w:val="left"/>
              <w:rPr>
                <w:color w:val="000000"/>
              </w:rPr>
            </w:pPr>
            <w:r w:rsidRPr="008D715C">
              <w:t>Space used for corridors, bathroom, kitchen, laundry: 40% to 45%</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-2</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-3</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-4</w:t>
            </w:r>
          </w:p>
        </w:tc>
        <w:tc>
          <w:tcPr>
            <w:tcW w:w="814" w:type="dxa"/>
            <w:tcBorders>
              <w:top w:val="single" w:sz="8" w:space="0" w:color="FFFFFF" w:themeColor="background1"/>
              <w:bottom w:val="single" w:sz="8" w:space="0" w:color="FFFFFF" w:themeColor="background1"/>
            </w:tcBorders>
            <w:shd w:val="clear" w:color="auto" w:fill="E9E8E5" w:themeFill="background2"/>
            <w:hideMark/>
          </w:tcPr>
          <w:p w:rsidR="007C6A5F" w:rsidRPr="008D715C" w:rsidRDefault="007C6A5F" w:rsidP="00C36DA4">
            <w:pPr>
              <w:pStyle w:val="TableDataEntries"/>
            </w:pPr>
            <w:r w:rsidRPr="008D715C">
              <w:t>-4</w:t>
            </w:r>
          </w:p>
        </w:tc>
      </w:tr>
      <w:tr w:rsidR="007C6A5F" w:rsidRPr="008D715C" w:rsidTr="008819BB">
        <w:trPr>
          <w:trHeight w:val="260"/>
        </w:trPr>
        <w:tc>
          <w:tcPr>
            <w:tcW w:w="4615" w:type="dxa"/>
            <w:tcBorders>
              <w:top w:val="single" w:sz="8" w:space="0" w:color="FFFFFF" w:themeColor="background1"/>
              <w:bottom w:val="single" w:sz="4" w:space="0" w:color="6F6652" w:themeColor="accent5"/>
            </w:tcBorders>
            <w:shd w:val="clear" w:color="auto" w:fill="E9E8E5" w:themeFill="background2"/>
            <w:hideMark/>
          </w:tcPr>
          <w:p w:rsidR="007C6A5F" w:rsidRPr="008D715C" w:rsidRDefault="007C6A5F" w:rsidP="00C36DA4">
            <w:pPr>
              <w:pStyle w:val="TableDataEntries"/>
              <w:jc w:val="left"/>
              <w:rPr>
                <w:color w:val="000000"/>
              </w:rPr>
            </w:pPr>
            <w:r w:rsidRPr="008D715C">
              <w:t>Space used for corridors, bathroom, kitchen, laundry: 40% to 50%</w:t>
            </w:r>
          </w:p>
        </w:tc>
        <w:tc>
          <w:tcPr>
            <w:tcW w:w="881" w:type="dxa"/>
            <w:tcBorders>
              <w:top w:val="single" w:sz="8" w:space="0" w:color="FFFFFF" w:themeColor="background1"/>
              <w:bottom w:val="single" w:sz="4" w:space="0" w:color="6F6652" w:themeColor="accent5"/>
            </w:tcBorders>
            <w:shd w:val="clear" w:color="auto" w:fill="E9E8E5" w:themeFill="background2"/>
            <w:hideMark/>
          </w:tcPr>
          <w:p w:rsidR="007C6A5F" w:rsidRPr="008D715C" w:rsidRDefault="007C6A5F" w:rsidP="00C36DA4">
            <w:pPr>
              <w:pStyle w:val="TableDataEntries"/>
            </w:pPr>
            <w:r w:rsidRPr="008D715C">
              <w:t>-7</w:t>
            </w:r>
          </w:p>
        </w:tc>
        <w:tc>
          <w:tcPr>
            <w:tcW w:w="814" w:type="dxa"/>
            <w:tcBorders>
              <w:top w:val="single" w:sz="8" w:space="0" w:color="FFFFFF" w:themeColor="background1"/>
              <w:bottom w:val="single" w:sz="4" w:space="0" w:color="6F6652" w:themeColor="accent5"/>
            </w:tcBorders>
            <w:shd w:val="clear" w:color="auto" w:fill="E9E8E5" w:themeFill="background2"/>
            <w:hideMark/>
          </w:tcPr>
          <w:p w:rsidR="007C6A5F" w:rsidRPr="008D715C" w:rsidRDefault="007C6A5F" w:rsidP="00C36DA4">
            <w:pPr>
              <w:pStyle w:val="TableDataEntries"/>
            </w:pPr>
            <w:r w:rsidRPr="008D715C">
              <w:t>-11</w:t>
            </w:r>
          </w:p>
        </w:tc>
        <w:tc>
          <w:tcPr>
            <w:tcW w:w="814" w:type="dxa"/>
            <w:tcBorders>
              <w:top w:val="single" w:sz="8" w:space="0" w:color="FFFFFF" w:themeColor="background1"/>
              <w:bottom w:val="single" w:sz="4" w:space="0" w:color="6F6652" w:themeColor="accent5"/>
            </w:tcBorders>
            <w:shd w:val="clear" w:color="auto" w:fill="E9E8E5" w:themeFill="background2"/>
            <w:hideMark/>
          </w:tcPr>
          <w:p w:rsidR="007C6A5F" w:rsidRPr="008D715C" w:rsidRDefault="007C6A5F" w:rsidP="00C36DA4">
            <w:pPr>
              <w:pStyle w:val="TableDataEntries"/>
            </w:pPr>
            <w:r w:rsidRPr="008D715C">
              <w:t>-14</w:t>
            </w:r>
          </w:p>
        </w:tc>
        <w:tc>
          <w:tcPr>
            <w:tcW w:w="814" w:type="dxa"/>
            <w:tcBorders>
              <w:top w:val="single" w:sz="8" w:space="0" w:color="FFFFFF" w:themeColor="background1"/>
              <w:bottom w:val="single" w:sz="4" w:space="0" w:color="6F6652" w:themeColor="accent5"/>
            </w:tcBorders>
            <w:shd w:val="clear" w:color="auto" w:fill="E9E8E5" w:themeFill="background2"/>
            <w:hideMark/>
          </w:tcPr>
          <w:p w:rsidR="007C6A5F" w:rsidRPr="008D715C" w:rsidRDefault="007C6A5F" w:rsidP="00C36DA4">
            <w:pPr>
              <w:pStyle w:val="TableDataEntries"/>
            </w:pPr>
            <w:r w:rsidRPr="008D715C">
              <w:t>-16</w:t>
            </w:r>
          </w:p>
        </w:tc>
      </w:tr>
    </w:tbl>
    <w:p w:rsidR="007C6A5F" w:rsidRDefault="007C6A5F" w:rsidP="007C6A5F">
      <w:pPr>
        <w:pStyle w:val="Note"/>
      </w:pPr>
      <w:r w:rsidRPr="007D1B4F">
        <w:rPr>
          <w:i/>
        </w:rPr>
        <w:t>Note:</w:t>
      </w:r>
      <w:r w:rsidRPr="00E879B8">
        <w:t xml:space="preserve"> </w:t>
      </w:r>
      <w:r>
        <w:t>All other respondent characteristics are held constant</w:t>
      </w:r>
    </w:p>
    <w:p w:rsidR="007C6A5F" w:rsidRDefault="007C6A5F" w:rsidP="007C6A5F">
      <w:pPr>
        <w:pStyle w:val="Source"/>
      </w:pPr>
      <w:r>
        <w:rPr>
          <w:i/>
        </w:rPr>
        <w:t>Source</w:t>
      </w:r>
      <w:r w:rsidRPr="00E4232C">
        <w:rPr>
          <w:i/>
        </w:rPr>
        <w:t>:</w:t>
      </w:r>
      <w:r>
        <w:t xml:space="preserve"> CIE</w:t>
      </w:r>
      <w:r w:rsidR="00DE71A3">
        <w:t>.</w:t>
      </w:r>
    </w:p>
    <w:p w:rsidR="007C6A5F" w:rsidRDefault="007C6A5F" w:rsidP="007C6A5F">
      <w:pPr>
        <w:pStyle w:val="BodyText"/>
        <w:rPr>
          <w:lang w:eastAsia="en-US"/>
        </w:rPr>
      </w:pPr>
      <w:r>
        <w:rPr>
          <w:lang w:eastAsia="en-US"/>
        </w:rPr>
        <w:t xml:space="preserve">The estimates of average use values for accessibility features for buyers and renters are provided in </w:t>
      </w:r>
      <w:r w:rsidRPr="0050052A">
        <w:rPr>
          <w:lang w:eastAsia="en-US"/>
        </w:rPr>
        <w:t>table</w:t>
      </w:r>
      <w:r>
        <w:rPr>
          <w:lang w:eastAsia="en-US"/>
        </w:rPr>
        <w:t xml:space="preserve"> K.15. The table also provides estimates of the estimated values for respondents in a household with at least one person with a permanent mobility limitation.</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w:instrText>
      </w:r>
      <w:r w:rsidRPr="00695C93">
        <w:fldChar w:fldCharType="separate"/>
      </w:r>
      <w:r>
        <w:rPr>
          <w:noProof/>
        </w:rPr>
        <w:instrText>K</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15</w:instrText>
      </w:r>
      <w:r w:rsidRPr="00695C93">
        <w:fldChar w:fldCharType="end"/>
      </w:r>
      <w:r w:rsidRPr="00695C93">
        <w:instrText xml:space="preserve">" "" </w:instrText>
      </w:r>
      <w:r w:rsidRPr="00695C93">
        <w:fldChar w:fldCharType="separate"/>
      </w:r>
      <w:bookmarkStart w:id="9394" w:name="_Caption4925"/>
      <w:bookmarkStart w:id="9395" w:name="_Caption5223"/>
      <w:bookmarkStart w:id="9396" w:name="_Caption0624"/>
      <w:bookmarkStart w:id="9397" w:name="_Caption2438"/>
      <w:bookmarkStart w:id="9398" w:name="_Caption1001"/>
      <w:bookmarkStart w:id="9399" w:name="_Caption4684"/>
      <w:bookmarkStart w:id="9400" w:name="_Caption0203"/>
      <w:bookmarkStart w:id="9401" w:name="_Toc44598645"/>
      <w:bookmarkStart w:id="9402" w:name="_Toc45654276"/>
      <w:r w:rsidR="00272AF3">
        <w:rPr>
          <w:noProof/>
        </w:rPr>
        <w:t>K</w:t>
      </w:r>
      <w:r w:rsidR="00272AF3" w:rsidRPr="00695C93">
        <w:rPr>
          <w:noProof/>
        </w:rPr>
        <w:t>.</w:t>
      </w:r>
      <w:r w:rsidR="00272AF3">
        <w:rPr>
          <w:noProof/>
        </w:rPr>
        <w:t>15</w:t>
      </w:r>
      <w:bookmarkEnd w:id="9394"/>
      <w:bookmarkEnd w:id="9395"/>
      <w:bookmarkEnd w:id="9396"/>
      <w:bookmarkEnd w:id="9397"/>
      <w:bookmarkEnd w:id="9398"/>
      <w:bookmarkEnd w:id="9399"/>
      <w:bookmarkEnd w:id="9400"/>
      <w:r w:rsidRPr="00695C93">
        <w:fldChar w:fldCharType="end"/>
      </w:r>
      <w:r w:rsidRPr="00695C93">
        <w:tab/>
      </w:r>
      <w:r>
        <w:t>Estimates of average willingness to pay by tenure type and mobility status</w:t>
      </w:r>
      <w:bookmarkEnd w:id="9401"/>
      <w:bookmarkEnd w:id="9402"/>
    </w:p>
    <w:tbl>
      <w:tblPr>
        <w:tblStyle w:val="TableGridLigh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15"/>
        <w:tblDescription w:val="Estimates of average willingness to pay by tenure type and mobility status"/>
      </w:tblPr>
      <w:tblGrid>
        <w:gridCol w:w="4461"/>
        <w:gridCol w:w="881"/>
        <w:gridCol w:w="814"/>
        <w:gridCol w:w="891"/>
        <w:gridCol w:w="891"/>
      </w:tblGrid>
      <w:tr w:rsidR="007C6A5F" w:rsidRPr="000F45A0" w:rsidTr="005A043C">
        <w:trPr>
          <w:trHeight w:val="270"/>
          <w:tblHeader/>
        </w:trPr>
        <w:tc>
          <w:tcPr>
            <w:tcW w:w="4461" w:type="dxa"/>
            <w:shd w:val="clear" w:color="auto" w:fill="6F6652" w:themeFill="accent5"/>
            <w:hideMark/>
          </w:tcPr>
          <w:p w:rsidR="007C6A5F" w:rsidRPr="000F45A0" w:rsidRDefault="007C6A5F" w:rsidP="00C36DA4">
            <w:pPr>
              <w:pStyle w:val="TableDataColumnHeading"/>
              <w:jc w:val="left"/>
            </w:pPr>
            <w:r>
              <w:t>Change in housing features</w:t>
            </w:r>
          </w:p>
        </w:tc>
        <w:tc>
          <w:tcPr>
            <w:tcW w:w="881" w:type="dxa"/>
            <w:shd w:val="clear" w:color="auto" w:fill="6F6652" w:themeFill="accent5"/>
            <w:hideMark/>
          </w:tcPr>
          <w:p w:rsidR="005A043C" w:rsidRPr="000F45A0" w:rsidRDefault="007C6A5F" w:rsidP="00426F8D">
            <w:pPr>
              <w:pStyle w:val="TableDataColumnHeading"/>
              <w:rPr>
                <w:szCs w:val="16"/>
              </w:rPr>
            </w:pPr>
            <w:r w:rsidRPr="000F45A0">
              <w:rPr>
                <w:szCs w:val="16"/>
              </w:rPr>
              <w:t>Buyers</w:t>
            </w:r>
            <w:r w:rsidR="00426F8D">
              <w:rPr>
                <w:szCs w:val="16"/>
              </w:rPr>
              <w:br/>
            </w:r>
            <w:r w:rsidR="00426F8D">
              <w:rPr>
                <w:szCs w:val="16"/>
              </w:rPr>
              <w:br/>
            </w:r>
            <w:r w:rsidR="00426F8D">
              <w:rPr>
                <w:szCs w:val="16"/>
              </w:rPr>
              <w:br/>
            </w:r>
            <w:r w:rsidR="00426F8D">
              <w:rPr>
                <w:szCs w:val="16"/>
              </w:rPr>
              <w:br/>
            </w:r>
            <w:r w:rsidR="005A043C">
              <w:rPr>
                <w:szCs w:val="16"/>
              </w:rPr>
              <w:t>(</w:t>
            </w:r>
            <w:r w:rsidR="005A043C" w:rsidRPr="000F45A0">
              <w:rPr>
                <w:szCs w:val="16"/>
              </w:rPr>
              <w:t>$ per week</w:t>
            </w:r>
            <w:r w:rsidR="005A043C">
              <w:rPr>
                <w:szCs w:val="16"/>
              </w:rPr>
              <w:t>)</w:t>
            </w:r>
          </w:p>
        </w:tc>
        <w:tc>
          <w:tcPr>
            <w:tcW w:w="814" w:type="dxa"/>
            <w:shd w:val="clear" w:color="auto" w:fill="6F6652" w:themeFill="accent5"/>
            <w:noWrap/>
            <w:hideMark/>
          </w:tcPr>
          <w:p w:rsidR="005A043C" w:rsidRPr="000F45A0" w:rsidRDefault="007C6A5F" w:rsidP="00426F8D">
            <w:pPr>
              <w:pStyle w:val="TableDataColumnHeading"/>
              <w:rPr>
                <w:szCs w:val="16"/>
              </w:rPr>
            </w:pPr>
            <w:r w:rsidRPr="000F45A0">
              <w:rPr>
                <w:szCs w:val="16"/>
              </w:rPr>
              <w:t>Renters</w:t>
            </w:r>
            <w:r w:rsidR="00426F8D">
              <w:rPr>
                <w:szCs w:val="16"/>
              </w:rPr>
              <w:br/>
            </w:r>
            <w:r w:rsidR="00426F8D">
              <w:rPr>
                <w:szCs w:val="16"/>
              </w:rPr>
              <w:br/>
            </w:r>
            <w:r w:rsidR="00426F8D">
              <w:rPr>
                <w:szCs w:val="16"/>
              </w:rPr>
              <w:br/>
            </w:r>
            <w:r w:rsidR="00426F8D">
              <w:rPr>
                <w:szCs w:val="16"/>
              </w:rPr>
              <w:br/>
            </w:r>
            <w:r w:rsidR="005A043C">
              <w:rPr>
                <w:szCs w:val="16"/>
              </w:rPr>
              <w:t>(</w:t>
            </w:r>
            <w:r w:rsidR="005A043C" w:rsidRPr="000F45A0">
              <w:rPr>
                <w:szCs w:val="16"/>
              </w:rPr>
              <w:t>$ per week</w:t>
            </w:r>
            <w:r w:rsidR="005A043C">
              <w:rPr>
                <w:szCs w:val="16"/>
              </w:rPr>
              <w:t>)</w:t>
            </w:r>
          </w:p>
        </w:tc>
        <w:tc>
          <w:tcPr>
            <w:tcW w:w="891" w:type="dxa"/>
            <w:shd w:val="clear" w:color="auto" w:fill="6F6652" w:themeFill="accent5"/>
            <w:noWrap/>
            <w:hideMark/>
          </w:tcPr>
          <w:p w:rsidR="005A043C" w:rsidRPr="000F45A0" w:rsidRDefault="007C6A5F" w:rsidP="00426F8D">
            <w:pPr>
              <w:pStyle w:val="TableDataColumnHeading"/>
              <w:rPr>
                <w:szCs w:val="16"/>
              </w:rPr>
            </w:pPr>
            <w:r w:rsidRPr="000F45A0">
              <w:rPr>
                <w:szCs w:val="16"/>
              </w:rPr>
              <w:t>Buyers with mobility limitation</w:t>
            </w:r>
            <w:r w:rsidR="00426F8D">
              <w:rPr>
                <w:szCs w:val="16"/>
              </w:rPr>
              <w:br/>
            </w:r>
            <w:r w:rsidR="005A043C">
              <w:rPr>
                <w:szCs w:val="16"/>
              </w:rPr>
              <w:t>(</w:t>
            </w:r>
            <w:r w:rsidR="005A043C" w:rsidRPr="000F45A0">
              <w:rPr>
                <w:szCs w:val="16"/>
              </w:rPr>
              <w:t>$ per week</w:t>
            </w:r>
            <w:r w:rsidR="005A043C">
              <w:rPr>
                <w:szCs w:val="16"/>
              </w:rPr>
              <w:t>)</w:t>
            </w:r>
          </w:p>
        </w:tc>
        <w:tc>
          <w:tcPr>
            <w:tcW w:w="891" w:type="dxa"/>
            <w:shd w:val="clear" w:color="auto" w:fill="6F6652" w:themeFill="accent5"/>
            <w:noWrap/>
            <w:hideMark/>
          </w:tcPr>
          <w:p w:rsidR="005A043C" w:rsidRPr="000F45A0" w:rsidRDefault="007C6A5F" w:rsidP="00426F8D">
            <w:pPr>
              <w:pStyle w:val="TableDataColumnHeading"/>
              <w:rPr>
                <w:szCs w:val="16"/>
              </w:rPr>
            </w:pPr>
            <w:r w:rsidRPr="000F45A0">
              <w:rPr>
                <w:szCs w:val="16"/>
              </w:rPr>
              <w:t>Renters with mobility limitation</w:t>
            </w:r>
            <w:r w:rsidR="00426F8D">
              <w:rPr>
                <w:szCs w:val="16"/>
              </w:rPr>
              <w:br/>
            </w:r>
            <w:r w:rsidR="005A043C">
              <w:rPr>
                <w:szCs w:val="16"/>
              </w:rPr>
              <w:t>(</w:t>
            </w:r>
            <w:r w:rsidR="005A043C" w:rsidRPr="000F45A0">
              <w:rPr>
                <w:szCs w:val="16"/>
              </w:rPr>
              <w:t>$ per week</w:t>
            </w:r>
            <w:r w:rsidR="005A043C">
              <w:rPr>
                <w:szCs w:val="16"/>
              </w:rPr>
              <w:t>)</w:t>
            </w:r>
          </w:p>
        </w:tc>
      </w:tr>
      <w:tr w:rsidR="007C6A5F" w:rsidRPr="000F45A0" w:rsidTr="005A043C">
        <w:trPr>
          <w:trHeight w:val="260"/>
        </w:trPr>
        <w:tc>
          <w:tcPr>
            <w:tcW w:w="446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jc w:val="left"/>
              <w:rPr>
                <w:color w:val="000000"/>
              </w:rPr>
            </w:pPr>
            <w:r w:rsidRPr="000F45A0">
              <w:t>Getting in and out: 'Several steps' to 'Single step'</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pPr>
            <w:r w:rsidRPr="000F45A0">
              <w:t>32.63</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25.22</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42.96</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39.74</w:t>
            </w:r>
          </w:p>
        </w:tc>
      </w:tr>
      <w:tr w:rsidR="007C6A5F" w:rsidRPr="000F45A0" w:rsidTr="005A043C">
        <w:trPr>
          <w:trHeight w:val="260"/>
        </w:trPr>
        <w:tc>
          <w:tcPr>
            <w:tcW w:w="446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jc w:val="left"/>
              <w:rPr>
                <w:color w:val="000000"/>
              </w:rPr>
            </w:pPr>
            <w:r w:rsidRPr="000F45A0">
              <w:t>Getting in and out: 'Several steps' to 'Step-free'</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pPr>
            <w:r w:rsidRPr="000F45A0">
              <w:t>49.02</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37.96</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65.65</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60.99</w:t>
            </w:r>
          </w:p>
        </w:tc>
      </w:tr>
      <w:tr w:rsidR="007C6A5F" w:rsidRPr="000F45A0" w:rsidTr="005A043C">
        <w:trPr>
          <w:trHeight w:val="260"/>
        </w:trPr>
        <w:tc>
          <w:tcPr>
            <w:tcW w:w="446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jc w:val="left"/>
              <w:rPr>
                <w:color w:val="000000"/>
              </w:rPr>
            </w:pPr>
            <w:r w:rsidRPr="000F45A0">
              <w:lastRenderedPageBreak/>
              <w:t>Moving around indoors: 'Regular space' to 'Wide spaces'</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pPr>
            <w:r w:rsidRPr="000F45A0">
              <w:t>15.94</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12.21</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19.39</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17.57</w:t>
            </w:r>
          </w:p>
        </w:tc>
      </w:tr>
      <w:tr w:rsidR="007C6A5F" w:rsidRPr="000F45A0" w:rsidTr="005A043C">
        <w:trPr>
          <w:trHeight w:val="260"/>
        </w:trPr>
        <w:tc>
          <w:tcPr>
            <w:tcW w:w="446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jc w:val="left"/>
              <w:rPr>
                <w:color w:val="000000"/>
              </w:rPr>
            </w:pPr>
            <w:r w:rsidRPr="000F45A0">
              <w:t>Moving around indoors: 'Regular space' to 'Extra-wide spaces'</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pPr>
            <w:r w:rsidRPr="000F45A0">
              <w:t>21.51</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16.66</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28.78</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26.73</w:t>
            </w:r>
          </w:p>
        </w:tc>
      </w:tr>
      <w:tr w:rsidR="007C6A5F" w:rsidRPr="000F45A0" w:rsidTr="005A043C">
        <w:trPr>
          <w:trHeight w:val="260"/>
        </w:trPr>
        <w:tc>
          <w:tcPr>
            <w:tcW w:w="446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jc w:val="left"/>
              <w:rPr>
                <w:color w:val="000000"/>
              </w:rPr>
            </w:pPr>
            <w:r w:rsidRPr="000F45A0">
              <w:t>Living on same level as entrance: 'Unsuitable' to 'Suitable for short visits'</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pPr>
            <w:r w:rsidRPr="000F45A0">
              <w:t>42.45</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32.97</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58.18</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54.35</w:t>
            </w:r>
          </w:p>
        </w:tc>
      </w:tr>
      <w:tr w:rsidR="007C6A5F" w:rsidRPr="000F45A0" w:rsidTr="005A043C">
        <w:trPr>
          <w:trHeight w:val="450"/>
        </w:trPr>
        <w:tc>
          <w:tcPr>
            <w:tcW w:w="446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jc w:val="left"/>
              <w:rPr>
                <w:color w:val="000000"/>
              </w:rPr>
            </w:pPr>
            <w:r w:rsidRPr="000F45A0">
              <w:t>Living on same level as entrance: 'Unsuitable' to 'Suitable for living or overnight visits'</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pPr>
            <w:r w:rsidRPr="000F45A0">
              <w:t>62.01</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48.42</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88.72</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83.72</w:t>
            </w:r>
          </w:p>
        </w:tc>
      </w:tr>
      <w:tr w:rsidR="007C6A5F" w:rsidRPr="000F45A0" w:rsidTr="005A043C">
        <w:trPr>
          <w:trHeight w:val="260"/>
        </w:trPr>
        <w:tc>
          <w:tcPr>
            <w:tcW w:w="446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jc w:val="left"/>
              <w:rPr>
                <w:color w:val="000000"/>
              </w:rPr>
            </w:pPr>
            <w:r w:rsidRPr="000F45A0">
              <w:t>Modification that would be needed: 'Significant' to 'Minimal'</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pPr>
            <w:r w:rsidRPr="000F45A0">
              <w:t>18.59</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14.08</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20.39</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17.90</w:t>
            </w:r>
          </w:p>
        </w:tc>
      </w:tr>
      <w:tr w:rsidR="007C6A5F" w:rsidRPr="000F45A0" w:rsidTr="005A043C">
        <w:trPr>
          <w:trHeight w:val="260"/>
        </w:trPr>
        <w:tc>
          <w:tcPr>
            <w:tcW w:w="446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jc w:val="left"/>
              <w:rPr>
                <w:color w:val="000000"/>
              </w:rPr>
            </w:pPr>
            <w:r w:rsidRPr="000F45A0">
              <w:t>Total size of home compared to similar homes: 'Same' to '5% larger'</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pPr>
            <w:r w:rsidRPr="000F45A0">
              <w:t>7.23</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5.54</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8.82</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8.00</w:t>
            </w:r>
          </w:p>
        </w:tc>
      </w:tr>
      <w:tr w:rsidR="007C6A5F" w:rsidRPr="000F45A0" w:rsidTr="005A043C">
        <w:trPr>
          <w:trHeight w:val="260"/>
        </w:trPr>
        <w:tc>
          <w:tcPr>
            <w:tcW w:w="446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jc w:val="left"/>
              <w:rPr>
                <w:color w:val="000000"/>
              </w:rPr>
            </w:pPr>
            <w:r w:rsidRPr="000F45A0">
              <w:t>Space used for corridors, bathroom, kitchen, laundry: 40% to 45%</w:t>
            </w:r>
          </w:p>
        </w:tc>
        <w:tc>
          <w:tcPr>
            <w:tcW w:w="881" w:type="dxa"/>
            <w:tcBorders>
              <w:top w:val="single" w:sz="8" w:space="0" w:color="FFFFFF" w:themeColor="background1"/>
              <w:bottom w:val="single" w:sz="8" w:space="0" w:color="FFFFFF" w:themeColor="background1"/>
            </w:tcBorders>
            <w:shd w:val="clear" w:color="auto" w:fill="E9E8E5" w:themeFill="background2"/>
            <w:hideMark/>
          </w:tcPr>
          <w:p w:rsidR="007C6A5F" w:rsidRPr="000F45A0" w:rsidRDefault="007C6A5F" w:rsidP="00C36DA4">
            <w:pPr>
              <w:pStyle w:val="TableDataEntries"/>
            </w:pPr>
            <w:r w:rsidRPr="000F45A0">
              <w:t>-3.30</w:t>
            </w:r>
          </w:p>
        </w:tc>
        <w:tc>
          <w:tcPr>
            <w:tcW w:w="814"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-2.48</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-3.33</w:t>
            </w:r>
          </w:p>
        </w:tc>
        <w:tc>
          <w:tcPr>
            <w:tcW w:w="891" w:type="dxa"/>
            <w:tcBorders>
              <w:top w:val="single" w:sz="8" w:space="0" w:color="FFFFFF" w:themeColor="background1"/>
              <w:bottom w:val="single" w:sz="8" w:space="0" w:color="FFFFFF" w:themeColor="background1"/>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-2.85</w:t>
            </w:r>
          </w:p>
        </w:tc>
      </w:tr>
      <w:tr w:rsidR="007C6A5F" w:rsidRPr="000F45A0" w:rsidTr="005A043C">
        <w:trPr>
          <w:trHeight w:val="260"/>
        </w:trPr>
        <w:tc>
          <w:tcPr>
            <w:tcW w:w="4461" w:type="dxa"/>
            <w:tcBorders>
              <w:top w:val="single" w:sz="8" w:space="0" w:color="FFFFFF" w:themeColor="background1"/>
              <w:bottom w:val="single" w:sz="4" w:space="0" w:color="6F6652" w:themeColor="accent5"/>
            </w:tcBorders>
            <w:shd w:val="clear" w:color="auto" w:fill="E9E8E5" w:themeFill="background2"/>
            <w:hideMark/>
          </w:tcPr>
          <w:p w:rsidR="007C6A5F" w:rsidRPr="000F45A0" w:rsidRDefault="007C6A5F" w:rsidP="00C36DA4">
            <w:pPr>
              <w:pStyle w:val="TableDataEntries"/>
              <w:jc w:val="left"/>
              <w:rPr>
                <w:color w:val="000000"/>
              </w:rPr>
            </w:pPr>
            <w:r w:rsidRPr="000F45A0">
              <w:t>Space used for corridors, bathroom, kitchen, laundry: 40% to 50%</w:t>
            </w:r>
          </w:p>
        </w:tc>
        <w:tc>
          <w:tcPr>
            <w:tcW w:w="881" w:type="dxa"/>
            <w:tcBorders>
              <w:top w:val="single" w:sz="8" w:space="0" w:color="FFFFFF" w:themeColor="background1"/>
              <w:bottom w:val="single" w:sz="4" w:space="0" w:color="6F6652" w:themeColor="accent5"/>
            </w:tcBorders>
            <w:shd w:val="clear" w:color="auto" w:fill="E9E8E5" w:themeFill="background2"/>
            <w:hideMark/>
          </w:tcPr>
          <w:p w:rsidR="007C6A5F" w:rsidRPr="000F45A0" w:rsidRDefault="007C6A5F" w:rsidP="00C36DA4">
            <w:pPr>
              <w:pStyle w:val="TableDataEntries"/>
            </w:pPr>
            <w:r w:rsidRPr="000F45A0">
              <w:t>-7.49</w:t>
            </w:r>
          </w:p>
        </w:tc>
        <w:tc>
          <w:tcPr>
            <w:tcW w:w="814" w:type="dxa"/>
            <w:tcBorders>
              <w:top w:val="single" w:sz="8" w:space="0" w:color="FFFFFF" w:themeColor="background1"/>
              <w:bottom w:val="single" w:sz="4" w:space="0" w:color="6F6652" w:themeColor="accent5"/>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-5.68</w:t>
            </w:r>
          </w:p>
        </w:tc>
        <w:tc>
          <w:tcPr>
            <w:tcW w:w="891" w:type="dxa"/>
            <w:tcBorders>
              <w:top w:val="single" w:sz="8" w:space="0" w:color="FFFFFF" w:themeColor="background1"/>
              <w:bottom w:val="single" w:sz="4" w:space="0" w:color="6F6652" w:themeColor="accent5"/>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-8.36</w:t>
            </w:r>
          </w:p>
        </w:tc>
        <w:tc>
          <w:tcPr>
            <w:tcW w:w="891" w:type="dxa"/>
            <w:tcBorders>
              <w:top w:val="single" w:sz="8" w:space="0" w:color="FFFFFF" w:themeColor="background1"/>
              <w:bottom w:val="single" w:sz="4" w:space="0" w:color="6F6652" w:themeColor="accent5"/>
            </w:tcBorders>
            <w:shd w:val="clear" w:color="auto" w:fill="E9E8E5" w:themeFill="background2"/>
            <w:noWrap/>
            <w:hideMark/>
          </w:tcPr>
          <w:p w:rsidR="007C6A5F" w:rsidRPr="000F45A0" w:rsidRDefault="007C6A5F" w:rsidP="00C36DA4">
            <w:pPr>
              <w:pStyle w:val="TableDataEntries"/>
              <w:rPr>
                <w:color w:val="000000"/>
              </w:rPr>
            </w:pPr>
            <w:r w:rsidRPr="000F45A0">
              <w:rPr>
                <w:color w:val="000000"/>
              </w:rPr>
              <w:t>-7.39</w:t>
            </w:r>
          </w:p>
        </w:tc>
      </w:tr>
    </w:tbl>
    <w:p w:rsidR="007C6A5F" w:rsidRDefault="007C6A5F" w:rsidP="007C6A5F">
      <w:pPr>
        <w:pStyle w:val="Source"/>
      </w:pPr>
      <w:r>
        <w:rPr>
          <w:i/>
        </w:rPr>
        <w:t>Source</w:t>
      </w:r>
      <w:r w:rsidRPr="00E4232C">
        <w:rPr>
          <w:i/>
        </w:rPr>
        <w:t>:</w:t>
      </w:r>
      <w:r>
        <w:t xml:space="preserve"> CIE</w:t>
      </w:r>
      <w:r w:rsidR="00DE71A3">
        <w:t>.</w:t>
      </w:r>
    </w:p>
    <w:p w:rsidR="007C6A5F" w:rsidRDefault="007C6A5F" w:rsidP="007C6A5F">
      <w:pPr>
        <w:pStyle w:val="BodyText"/>
        <w:rPr>
          <w:lang w:eastAsia="en-US"/>
        </w:rPr>
      </w:pPr>
      <w:r>
        <w:rPr>
          <w:lang w:eastAsia="en-US"/>
        </w:rPr>
        <w:t>Using the reference price, age, mobility status and income status for each respondent, we can examine the demand curve for each attribute. These can be used in the cost-benefit analysis to identify the WTP of the marginal consumer, given an assumption about how well features are matched to consumer preferences in the market.</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w:instrText>
      </w:r>
      <w:r w:rsidRPr="00695C93">
        <w:fldChar w:fldCharType="separate"/>
      </w:r>
      <w:r>
        <w:rPr>
          <w:b/>
          <w:bCs/>
          <w:noProof/>
          <w:lang w:val="en-US"/>
        </w:rPr>
        <w:instrText>Error! No text of specified style in document.</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w:instrText>
      </w:r>
      <w:r w:rsidRPr="00695C93">
        <w:fldChar w:fldCharType="separate"/>
      </w:r>
      <w:r>
        <w:rPr>
          <w:noProof/>
        </w:rPr>
        <w:instrText>K</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16</w:instrText>
      </w:r>
      <w:r w:rsidRPr="00695C93">
        <w:fldChar w:fldCharType="end"/>
      </w:r>
      <w:r w:rsidRPr="00695C93">
        <w:instrText xml:space="preserve">" "" </w:instrText>
      </w:r>
      <w:r w:rsidRPr="00695C93">
        <w:fldChar w:fldCharType="separate"/>
      </w:r>
      <w:bookmarkStart w:id="9403" w:name="_Caption1669"/>
      <w:bookmarkStart w:id="9404" w:name="_Caption4210"/>
      <w:bookmarkStart w:id="9405" w:name="_Caption7558"/>
      <w:bookmarkStart w:id="9406" w:name="_Caption7848"/>
      <w:bookmarkStart w:id="9407" w:name="_Caption9311"/>
      <w:bookmarkStart w:id="9408" w:name="_Caption8777"/>
      <w:bookmarkStart w:id="9409" w:name="_Caption1095"/>
      <w:bookmarkStart w:id="9410" w:name="_Caption3418"/>
      <w:bookmarkStart w:id="9411" w:name="_Caption1666"/>
      <w:bookmarkStart w:id="9412" w:name="_Caption0039"/>
      <w:bookmarkStart w:id="9413" w:name="_Caption9173"/>
      <w:bookmarkStart w:id="9414" w:name="_Caption6554"/>
      <w:bookmarkStart w:id="9415" w:name="_Caption2969"/>
      <w:bookmarkStart w:id="9416" w:name="_Caption8247"/>
      <w:bookmarkStart w:id="9417" w:name="_Caption6334"/>
      <w:bookmarkStart w:id="9418" w:name="_Caption0217"/>
      <w:bookmarkStart w:id="9419" w:name="_Caption6233"/>
      <w:bookmarkStart w:id="9420" w:name="_Caption3618"/>
      <w:bookmarkStart w:id="9421" w:name="_Caption3668"/>
      <w:bookmarkStart w:id="9422" w:name="_Caption5883"/>
      <w:bookmarkStart w:id="9423" w:name="_Caption7496"/>
      <w:bookmarkStart w:id="9424" w:name="_Caption5046"/>
      <w:bookmarkStart w:id="9425" w:name="_Caption0625"/>
      <w:bookmarkStart w:id="9426" w:name="_Caption8099"/>
      <w:bookmarkStart w:id="9427" w:name="_Caption0598"/>
      <w:bookmarkStart w:id="9428" w:name="_Caption9592"/>
      <w:bookmarkStart w:id="9429" w:name="_Caption0700"/>
      <w:bookmarkStart w:id="9430" w:name="_Caption9004"/>
      <w:bookmarkStart w:id="9431" w:name="_Caption7546"/>
      <w:bookmarkStart w:id="9432" w:name="_Caption1204"/>
      <w:bookmarkStart w:id="9433" w:name="_Caption3864"/>
      <w:bookmarkStart w:id="9434" w:name="_Caption2708"/>
      <w:bookmarkStart w:id="9435" w:name="_Caption2668"/>
      <w:bookmarkStart w:id="9436" w:name="_Caption7097"/>
      <w:bookmarkStart w:id="9437" w:name="_Caption3358"/>
      <w:bookmarkStart w:id="9438" w:name="_Caption3781"/>
      <w:bookmarkStart w:id="9439" w:name="_Caption8350"/>
      <w:bookmarkStart w:id="9440" w:name="_Caption7805"/>
      <w:bookmarkStart w:id="9441" w:name="_Caption7945"/>
      <w:bookmarkStart w:id="9442" w:name="_Caption9083"/>
      <w:bookmarkStart w:id="9443" w:name="_Caption1212"/>
      <w:bookmarkStart w:id="9444" w:name="_Caption3940"/>
      <w:bookmarkStart w:id="9445" w:name="_Caption4802"/>
      <w:bookmarkStart w:id="9446" w:name="_Caption8049"/>
      <w:bookmarkStart w:id="9447" w:name="_Caption5808"/>
      <w:bookmarkStart w:id="9448" w:name="_Caption9636"/>
      <w:bookmarkStart w:id="9449" w:name="_Caption9266"/>
      <w:bookmarkStart w:id="9450" w:name="_Caption4206"/>
      <w:bookmarkStart w:id="9451" w:name="_Caption6451"/>
      <w:bookmarkStart w:id="9452" w:name="_Caption9970"/>
      <w:bookmarkStart w:id="9453" w:name="_Caption8539"/>
      <w:bookmarkStart w:id="9454" w:name="_Caption0631"/>
      <w:bookmarkStart w:id="9455" w:name="_Caption8346"/>
      <w:bookmarkStart w:id="9456" w:name="_Caption9924"/>
      <w:bookmarkStart w:id="9457" w:name="_Caption7449"/>
      <w:bookmarkStart w:id="9458" w:name="_Caption3248"/>
      <w:bookmarkStart w:id="9459" w:name="_Caption1501"/>
      <w:bookmarkStart w:id="9460" w:name="_Caption3877"/>
      <w:bookmarkStart w:id="9461" w:name="_Caption1909"/>
      <w:bookmarkStart w:id="9462" w:name="_Caption1925"/>
      <w:bookmarkStart w:id="9463" w:name="_Caption7388"/>
      <w:bookmarkStart w:id="9464" w:name="_Caption9442"/>
      <w:bookmarkStart w:id="9465" w:name="_Caption2396"/>
      <w:bookmarkStart w:id="9466" w:name="_Caption7268"/>
      <w:bookmarkStart w:id="9467" w:name="_Caption5081"/>
      <w:bookmarkStart w:id="9468" w:name="_Caption2788"/>
      <w:bookmarkStart w:id="9469" w:name="_Caption0067"/>
      <w:bookmarkStart w:id="9470" w:name="_Caption2936"/>
      <w:bookmarkStart w:id="9471" w:name="_Caption0471"/>
      <w:bookmarkStart w:id="9472" w:name="_Caption4101"/>
      <w:bookmarkStart w:id="9473" w:name="_Caption7204"/>
      <w:bookmarkStart w:id="9474" w:name="_Caption1869"/>
      <w:bookmarkStart w:id="9475" w:name="_Caption6366"/>
      <w:bookmarkStart w:id="9476" w:name="_Caption9316"/>
      <w:bookmarkStart w:id="9477" w:name="_Caption9511"/>
      <w:bookmarkStart w:id="9478" w:name="_Caption6032"/>
      <w:bookmarkStart w:id="9479" w:name="_Caption0999"/>
      <w:bookmarkStart w:id="9480" w:name="_Caption9673"/>
      <w:bookmarkStart w:id="9481" w:name="_Caption7011"/>
      <w:bookmarkStart w:id="9482" w:name="_Caption9166"/>
      <w:bookmarkStart w:id="9483" w:name="_Caption9991"/>
      <w:bookmarkStart w:id="9484" w:name="_Caption1798"/>
      <w:bookmarkStart w:id="9485" w:name="_Caption7281"/>
      <w:bookmarkStart w:id="9486" w:name="_Caption1129"/>
      <w:bookmarkStart w:id="9487" w:name="_Caption8113"/>
      <w:bookmarkStart w:id="9488" w:name="_Caption1409"/>
      <w:bookmarkStart w:id="9489" w:name="_Caption3696"/>
      <w:bookmarkStart w:id="9490" w:name="_Caption9147"/>
      <w:bookmarkStart w:id="9491" w:name="_Caption6514"/>
      <w:bookmarkStart w:id="9492" w:name="_Caption9546"/>
      <w:bookmarkStart w:id="9493" w:name="_Caption3189"/>
      <w:bookmarkStart w:id="9494" w:name="_Caption1814"/>
      <w:bookmarkStart w:id="9495" w:name="_Caption3322"/>
      <w:bookmarkStart w:id="9496" w:name="_Toc32321936"/>
      <w:bookmarkStart w:id="9497" w:name="_Toc44598646"/>
      <w:bookmarkStart w:id="9498" w:name="_Toc45654277"/>
      <w:r w:rsidR="00272AF3">
        <w:rPr>
          <w:noProof/>
        </w:rPr>
        <w:t>K</w:t>
      </w:r>
      <w:r w:rsidR="00272AF3" w:rsidRPr="00695C93">
        <w:rPr>
          <w:noProof/>
        </w:rPr>
        <w:t>.</w:t>
      </w:r>
      <w:r w:rsidR="00272AF3">
        <w:rPr>
          <w:noProof/>
        </w:rPr>
        <w:t>16</w:t>
      </w:r>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r w:rsidRPr="00695C93">
        <w:fldChar w:fldCharType="end"/>
      </w:r>
      <w:r w:rsidRPr="00695C93">
        <w:tab/>
      </w:r>
      <w:r>
        <w:t>Distribution of renter WTP to move from ‘regular spaces’ to ‘wide spaces’</w:t>
      </w:r>
      <w:bookmarkEnd w:id="9496"/>
      <w:bookmarkEnd w:id="9497"/>
      <w:bookmarkEnd w:id="9498"/>
    </w:p>
    <w:p w:rsidR="007C6A5F" w:rsidRDefault="007C6A5F" w:rsidP="007C6A5F">
      <w:pPr>
        <w:pStyle w:val="Subtitlebox"/>
      </w:pPr>
      <w:r>
        <w:rPr>
          <w:noProof/>
        </w:rPr>
        <w:drawing>
          <wp:inline distT="0" distB="0" distL="0" distR="0" wp14:anchorId="349691A0" wp14:editId="09A71188">
            <wp:extent cx="5040000" cy="2635087"/>
            <wp:effectExtent l="57150" t="57150" r="65405" b="51435"/>
            <wp:docPr id="6" name="Picture 6" descr="Chart K.16 - stribution of renter WTP to move from ‘regular spaces’ to ‘wide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3678"/>
                    <a:stretch/>
                  </pic:blipFill>
                  <pic:spPr bwMode="auto">
                    <a:xfrm>
                      <a:off x="0" y="0"/>
                      <a:ext cx="5040000" cy="2635087"/>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rsidR="007C6A5F" w:rsidRDefault="007C6A5F" w:rsidP="007C6A5F">
      <w:pPr>
        <w:pStyle w:val="Source"/>
      </w:pPr>
      <w:r>
        <w:rPr>
          <w:i/>
        </w:rPr>
        <w:t>Data source</w:t>
      </w:r>
      <w:r w:rsidRPr="00A67576">
        <w:rPr>
          <w:i/>
        </w:rPr>
        <w:t>:</w:t>
      </w:r>
      <w:r>
        <w:t xml:space="preserve"> CIE</w:t>
      </w:r>
      <w:r w:rsidR="00DE71A3">
        <w:t>.</w:t>
      </w:r>
    </w:p>
    <w:p w:rsidR="007C6A5F" w:rsidRDefault="007C6A5F" w:rsidP="007C6A5F">
      <w:pPr>
        <w:pStyle w:val="Heading8"/>
        <w:numPr>
          <w:ilvl w:val="7"/>
          <w:numId w:val="5"/>
        </w:numPr>
        <w:rPr>
          <w:lang w:eastAsia="en-US"/>
        </w:rPr>
      </w:pPr>
      <w:r>
        <w:rPr>
          <w:lang w:eastAsia="en-US"/>
        </w:rPr>
        <w:t>Other models and robustness checks</w:t>
      </w:r>
    </w:p>
    <w:p w:rsidR="007C6A5F" w:rsidRDefault="007C6A5F" w:rsidP="007C6A5F">
      <w:pPr>
        <w:pStyle w:val="BodyText"/>
        <w:rPr>
          <w:lang w:eastAsia="en-US"/>
        </w:rPr>
      </w:pPr>
      <w:r w:rsidRPr="0050052A">
        <w:rPr>
          <w:lang w:eastAsia="en-US"/>
        </w:rPr>
        <w:t>Table</w:t>
      </w:r>
      <w:r>
        <w:rPr>
          <w:lang w:eastAsia="en-US"/>
        </w:rPr>
        <w:t xml:space="preserve"> K.17 shows the estimation results for a model with buyers and renters pooled in the same model, without the use of two-stage least squares (so, the price variable is a </w:t>
      </w:r>
      <w:r>
        <w:rPr>
          <w:lang w:eastAsia="en-US"/>
        </w:rPr>
        <w:lastRenderedPageBreak/>
        <w:t>proportion of the midpoint of the respondent’s stated budget range). It also includes a quadratic term for price in an attempt to capture differences in price sensitivity for price reductions towards or beyond the low end of a respondent’s budget range as distinct from price increases towards the top of a respondent’s budget range.</w:t>
      </w:r>
    </w:p>
    <w:p w:rsidR="007C6A5F" w:rsidRDefault="007C6A5F" w:rsidP="00F96D1A">
      <w:pPr>
        <w:pStyle w:val="Caption"/>
        <w:spacing w:before="200"/>
      </w:pPr>
      <w:r w:rsidRPr="00327EEF">
        <w:fldChar w:fldCharType="begin"/>
      </w:r>
      <w:r w:rsidRPr="00327EEF">
        <w:instrText xml:space="preserve"> IF 1 = 1 "</w:instrText>
      </w:r>
      <w:r w:rsidRPr="00327EEF">
        <w:fldChar w:fldCharType="begin"/>
      </w:r>
      <w:r w:rsidRPr="00327EEF">
        <w:instrText xml:space="preserve"> IF </w:instrText>
      </w:r>
      <w:r w:rsidRPr="00327EEF">
        <w:rPr>
          <w:noProof/>
        </w:rPr>
        <w:fldChar w:fldCharType="begin"/>
      </w:r>
      <w:r w:rsidRPr="00327EEF">
        <w:rPr>
          <w:noProof/>
        </w:rPr>
        <w:instrText xml:space="preserve"> STYLEREF "Heading 6" \l \n </w:instrText>
      </w:r>
      <w:r w:rsidRPr="00327EEF">
        <w:rPr>
          <w:noProof/>
        </w:rPr>
        <w:fldChar w:fldCharType="separate"/>
      </w:r>
      <w:r w:rsidRPr="00327EEF">
        <w:rPr>
          <w:noProof/>
        </w:rPr>
        <w:instrText>K</w:instrText>
      </w:r>
      <w:r w:rsidRPr="00327EEF">
        <w:rPr>
          <w:noProof/>
        </w:rPr>
        <w:fldChar w:fldCharType="end"/>
      </w:r>
      <w:r w:rsidRPr="00327EEF">
        <w:instrText xml:space="preserve"> = 0 "</w:instrText>
      </w:r>
      <w:r w:rsidRPr="00327EEF">
        <w:fldChar w:fldCharType="begin"/>
      </w:r>
      <w:r w:rsidRPr="00327EEF">
        <w:instrText xml:space="preserve"> IF </w:instrText>
      </w:r>
      <w:r w:rsidRPr="00327EEF">
        <w:rPr>
          <w:noProof/>
        </w:rPr>
        <w:fldChar w:fldCharType="begin"/>
      </w:r>
      <w:r w:rsidRPr="00327EEF">
        <w:rPr>
          <w:noProof/>
        </w:rPr>
        <w:instrText xml:space="preserve"> STYLEREF "Heading 1" \l \n </w:instrText>
      </w:r>
      <w:r w:rsidRPr="00327EEF">
        <w:rPr>
          <w:noProof/>
        </w:rPr>
        <w:fldChar w:fldCharType="separate"/>
      </w:r>
      <w:r w:rsidRPr="00327EEF">
        <w:rPr>
          <w:noProof/>
        </w:rPr>
        <w:instrText>0</w:instrText>
      </w:r>
      <w:r w:rsidRPr="00327EEF">
        <w:rPr>
          <w:noProof/>
        </w:rPr>
        <w:fldChar w:fldCharType="end"/>
      </w:r>
      <w:r w:rsidRPr="00327EEF">
        <w:instrText xml:space="preserve"> = 0 "" "</w:instrText>
      </w:r>
      <w:r w:rsidRPr="00327EEF">
        <w:rPr>
          <w:noProof/>
        </w:rPr>
        <w:fldChar w:fldCharType="begin"/>
      </w:r>
      <w:r w:rsidRPr="00327EEF">
        <w:rPr>
          <w:noProof/>
        </w:rPr>
        <w:instrText xml:space="preserve"> STYLEREF "Heading 1" \l \n </w:instrText>
      </w:r>
      <w:r w:rsidRPr="00327EEF">
        <w:rPr>
          <w:noProof/>
        </w:rPr>
        <w:fldChar w:fldCharType="separate"/>
      </w:r>
      <w:r w:rsidRPr="00327EEF">
        <w:rPr>
          <w:noProof/>
        </w:rPr>
        <w:instrText>2</w:instrText>
      </w:r>
      <w:r w:rsidRPr="00327EEF">
        <w:rPr>
          <w:noProof/>
        </w:rPr>
        <w:fldChar w:fldCharType="end"/>
      </w:r>
      <w:r w:rsidRPr="00327EEF">
        <w:instrText xml:space="preserve">." </w:instrText>
      </w:r>
      <w:r w:rsidRPr="00327EEF">
        <w:fldChar w:fldCharType="end"/>
      </w:r>
      <w:r w:rsidRPr="00327EEF">
        <w:instrText>" "</w:instrText>
      </w:r>
      <w:r w:rsidRPr="00327EEF">
        <w:rPr>
          <w:noProof/>
        </w:rPr>
        <w:fldChar w:fldCharType="begin"/>
      </w:r>
      <w:r w:rsidRPr="00327EEF">
        <w:rPr>
          <w:noProof/>
        </w:rPr>
        <w:instrText xml:space="preserve"> STYLEREF "Heading 6" \l \n </w:instrText>
      </w:r>
      <w:r w:rsidRPr="00327EEF">
        <w:rPr>
          <w:noProof/>
        </w:rPr>
        <w:fldChar w:fldCharType="separate"/>
      </w:r>
      <w:r w:rsidRPr="00327EEF">
        <w:rPr>
          <w:noProof/>
        </w:rPr>
        <w:instrText>K</w:instrText>
      </w:r>
      <w:r w:rsidRPr="00327EEF">
        <w:rPr>
          <w:noProof/>
        </w:rPr>
        <w:fldChar w:fldCharType="end"/>
      </w:r>
      <w:r w:rsidRPr="00327EEF">
        <w:instrText xml:space="preserve">." </w:instrText>
      </w:r>
      <w:r w:rsidRPr="00327EEF">
        <w:fldChar w:fldCharType="separate"/>
      </w:r>
      <w:r w:rsidRPr="00327EEF">
        <w:rPr>
          <w:noProof/>
        </w:rPr>
        <w:instrText>K.</w:instrText>
      </w:r>
      <w:r w:rsidRPr="00327EEF">
        <w:fldChar w:fldCharType="end"/>
      </w:r>
      <w:r w:rsidRPr="00327EEF">
        <w:fldChar w:fldCharType="begin"/>
      </w:r>
      <w:r w:rsidRPr="00327EEF">
        <w:instrText xml:space="preserve"> SEQ Item \* ARABIC \s </w:instrText>
      </w:r>
      <w:r w:rsidRPr="00327EEF">
        <w:fldChar w:fldCharType="begin"/>
      </w:r>
      <w:r w:rsidRPr="00327EEF">
        <w:instrText xml:space="preserve"> IF </w:instrText>
      </w:r>
      <w:r w:rsidRPr="00327EEF">
        <w:rPr>
          <w:noProof/>
        </w:rPr>
        <w:fldChar w:fldCharType="begin"/>
      </w:r>
      <w:r w:rsidRPr="00327EEF">
        <w:rPr>
          <w:noProof/>
        </w:rPr>
        <w:instrText xml:space="preserve"> STYLEREF "Heading 6" \l \n </w:instrText>
      </w:r>
      <w:r w:rsidRPr="00327EEF">
        <w:rPr>
          <w:noProof/>
        </w:rPr>
        <w:fldChar w:fldCharType="separate"/>
      </w:r>
      <w:r w:rsidRPr="00327EEF">
        <w:rPr>
          <w:noProof/>
        </w:rPr>
        <w:instrText>K</w:instrText>
      </w:r>
      <w:r w:rsidRPr="00327EEF">
        <w:rPr>
          <w:noProof/>
        </w:rPr>
        <w:fldChar w:fldCharType="end"/>
      </w:r>
      <w:r w:rsidRPr="00327EEF">
        <w:instrText xml:space="preserve"> = 0 "</w:instrText>
      </w:r>
      <w:r w:rsidRPr="00327EEF">
        <w:fldChar w:fldCharType="begin"/>
      </w:r>
      <w:r w:rsidRPr="00327EEF">
        <w:instrText xml:space="preserve"> IF </w:instrText>
      </w:r>
      <w:r w:rsidRPr="00327EEF">
        <w:rPr>
          <w:noProof/>
        </w:rPr>
        <w:fldChar w:fldCharType="begin"/>
      </w:r>
      <w:r w:rsidRPr="00327EEF">
        <w:rPr>
          <w:noProof/>
        </w:rPr>
        <w:instrText xml:space="preserve"> STYLEREF "Heading 1" \l \n </w:instrText>
      </w:r>
      <w:r w:rsidRPr="00327EEF">
        <w:rPr>
          <w:noProof/>
        </w:rPr>
        <w:fldChar w:fldCharType="separate"/>
      </w:r>
      <w:r w:rsidRPr="00327EEF">
        <w:rPr>
          <w:noProof/>
        </w:rPr>
        <w:instrText>0</w:instrText>
      </w:r>
      <w:r w:rsidRPr="00327EEF">
        <w:rPr>
          <w:noProof/>
        </w:rPr>
        <w:fldChar w:fldCharType="end"/>
      </w:r>
      <w:r w:rsidRPr="00327EEF">
        <w:instrText xml:space="preserve"> = 0 "" "1" </w:instrText>
      </w:r>
      <w:r w:rsidRPr="00327EEF">
        <w:fldChar w:fldCharType="end"/>
      </w:r>
      <w:r w:rsidRPr="00327EEF">
        <w:instrText xml:space="preserve">" "6" </w:instrText>
      </w:r>
      <w:r w:rsidRPr="00327EEF">
        <w:fldChar w:fldCharType="separate"/>
      </w:r>
      <w:r w:rsidRPr="00327EEF">
        <w:rPr>
          <w:noProof/>
        </w:rPr>
        <w:instrText>6</w:instrText>
      </w:r>
      <w:r w:rsidRPr="00327EEF">
        <w:fldChar w:fldCharType="end"/>
      </w:r>
      <w:r w:rsidRPr="00327EEF">
        <w:instrText xml:space="preserve"> </w:instrText>
      </w:r>
      <w:r w:rsidRPr="00327EEF">
        <w:fldChar w:fldCharType="separate"/>
      </w:r>
      <w:r w:rsidRPr="00327EEF">
        <w:rPr>
          <w:noProof/>
        </w:rPr>
        <w:instrText>17</w:instrText>
      </w:r>
      <w:r w:rsidRPr="00327EEF">
        <w:fldChar w:fldCharType="end"/>
      </w:r>
      <w:r w:rsidRPr="00327EEF">
        <w:instrText xml:space="preserve">" "" </w:instrText>
      </w:r>
      <w:r w:rsidRPr="00327EEF">
        <w:fldChar w:fldCharType="separate"/>
      </w:r>
      <w:bookmarkStart w:id="9499" w:name="_Caption9212"/>
      <w:bookmarkStart w:id="9500" w:name="_Caption2649"/>
      <w:bookmarkStart w:id="9501" w:name="_Caption2405"/>
      <w:bookmarkStart w:id="9502" w:name="_Caption4373"/>
      <w:bookmarkStart w:id="9503" w:name="_Caption7236"/>
      <w:bookmarkStart w:id="9504" w:name="_Caption7033"/>
      <w:bookmarkStart w:id="9505" w:name="_Caption6273"/>
      <w:bookmarkStart w:id="9506" w:name="_Toc44598647"/>
      <w:bookmarkStart w:id="9507" w:name="_Toc45654278"/>
      <w:r w:rsidR="00272AF3" w:rsidRPr="00327EEF">
        <w:rPr>
          <w:noProof/>
        </w:rPr>
        <w:t>K.17</w:t>
      </w:r>
      <w:bookmarkEnd w:id="9499"/>
      <w:bookmarkEnd w:id="9500"/>
      <w:bookmarkEnd w:id="9501"/>
      <w:bookmarkEnd w:id="9502"/>
      <w:bookmarkEnd w:id="9503"/>
      <w:bookmarkEnd w:id="9504"/>
      <w:bookmarkEnd w:id="9505"/>
      <w:r w:rsidRPr="00327EEF">
        <w:fldChar w:fldCharType="end"/>
      </w:r>
      <w:r w:rsidRPr="00327EEF">
        <w:tab/>
        <w:t>Example of a model of housing choice with alternative specifications</w:t>
      </w:r>
      <w:bookmarkEnd w:id="9506"/>
      <w:bookmarkEnd w:id="9507"/>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17"/>
        <w:tblDescription w:val="Example of a model of housing choice with alternative specifications"/>
      </w:tblPr>
      <w:tblGrid>
        <w:gridCol w:w="4198"/>
        <w:gridCol w:w="1047"/>
        <w:gridCol w:w="851"/>
        <w:gridCol w:w="1002"/>
        <w:gridCol w:w="839"/>
      </w:tblGrid>
      <w:tr w:rsidR="005A043C" w:rsidRPr="00DA195D" w:rsidTr="005A043C">
        <w:trPr>
          <w:trHeight w:val="250"/>
          <w:tblHeader/>
        </w:trPr>
        <w:tc>
          <w:tcPr>
            <w:tcW w:w="4198" w:type="dxa"/>
            <w:shd w:val="clear" w:color="auto" w:fill="6F6652" w:themeFill="accent5"/>
            <w:hideMark/>
          </w:tcPr>
          <w:p w:rsidR="005A043C" w:rsidRPr="00DA195D" w:rsidRDefault="008B5C24" w:rsidP="0031383F">
            <w:pPr>
              <w:pStyle w:val="TableDataColumnHeading"/>
              <w:jc w:val="left"/>
            </w:pPr>
            <w:r>
              <w:t>Variable</w:t>
            </w:r>
          </w:p>
        </w:tc>
        <w:tc>
          <w:tcPr>
            <w:tcW w:w="1047" w:type="dxa"/>
            <w:shd w:val="clear" w:color="auto" w:fill="6F6652" w:themeFill="accent5"/>
            <w:noWrap/>
            <w:hideMark/>
          </w:tcPr>
          <w:p w:rsidR="005A043C" w:rsidRDefault="005A043C" w:rsidP="0031383F">
            <w:pPr>
              <w:pStyle w:val="TableDataColumnHeading"/>
            </w:pPr>
            <w:r w:rsidRPr="00DA195D">
              <w:t>Class 1</w:t>
            </w:r>
          </w:p>
          <w:p w:rsidR="005A043C" w:rsidRPr="00DA195D" w:rsidRDefault="005A043C" w:rsidP="0031383F">
            <w:pPr>
              <w:pStyle w:val="TableDataColumnHeading"/>
            </w:pPr>
            <w:r>
              <w:t>(Coef.)</w:t>
            </w:r>
          </w:p>
        </w:tc>
        <w:tc>
          <w:tcPr>
            <w:tcW w:w="851" w:type="dxa"/>
            <w:shd w:val="clear" w:color="auto" w:fill="6F6652" w:themeFill="accent5"/>
            <w:noWrap/>
            <w:hideMark/>
          </w:tcPr>
          <w:p w:rsidR="005A043C" w:rsidRDefault="005A043C" w:rsidP="0031383F">
            <w:pPr>
              <w:pStyle w:val="TableDataColumnHeading"/>
            </w:pPr>
            <w:r>
              <w:t>Class 1</w:t>
            </w:r>
          </w:p>
          <w:p w:rsidR="005A043C" w:rsidRPr="00DA195D" w:rsidRDefault="005A043C" w:rsidP="0031383F">
            <w:pPr>
              <w:pStyle w:val="TableDataColumnHeading"/>
            </w:pPr>
            <w:r>
              <w:t>(Z value)</w:t>
            </w:r>
          </w:p>
        </w:tc>
        <w:tc>
          <w:tcPr>
            <w:tcW w:w="1002" w:type="dxa"/>
            <w:shd w:val="clear" w:color="auto" w:fill="6F6652" w:themeFill="accent5"/>
            <w:noWrap/>
            <w:hideMark/>
          </w:tcPr>
          <w:p w:rsidR="005A043C" w:rsidRDefault="005A043C" w:rsidP="0031383F">
            <w:pPr>
              <w:pStyle w:val="TableDataColumnHeading"/>
            </w:pPr>
            <w:r w:rsidRPr="00DA195D">
              <w:t>Class 2</w:t>
            </w:r>
          </w:p>
          <w:p w:rsidR="005A043C" w:rsidRPr="00DA195D" w:rsidRDefault="005A043C" w:rsidP="0031383F">
            <w:pPr>
              <w:pStyle w:val="TableDataColumnHeading"/>
            </w:pPr>
            <w:r>
              <w:t>(Coef.)</w:t>
            </w:r>
          </w:p>
        </w:tc>
        <w:tc>
          <w:tcPr>
            <w:tcW w:w="839" w:type="dxa"/>
            <w:shd w:val="clear" w:color="auto" w:fill="6F6652" w:themeFill="accent5"/>
            <w:noWrap/>
            <w:hideMark/>
          </w:tcPr>
          <w:p w:rsidR="005A043C" w:rsidRDefault="005A043C" w:rsidP="0031383F">
            <w:pPr>
              <w:pStyle w:val="TableDataColumnHeading"/>
            </w:pPr>
            <w:r w:rsidRPr="00DA195D">
              <w:t>Class 2</w:t>
            </w:r>
          </w:p>
          <w:p w:rsidR="005A043C" w:rsidRPr="00DA195D" w:rsidRDefault="005A043C" w:rsidP="0031383F">
            <w:pPr>
              <w:pStyle w:val="TableDataColumnHeading"/>
            </w:pPr>
            <w:r>
              <w:t>(Z value)</w:t>
            </w:r>
          </w:p>
        </w:tc>
      </w:tr>
      <w:tr w:rsidR="007C6A5F" w:rsidRPr="00373C24" w:rsidTr="005A043C">
        <w:trPr>
          <w:trHeight w:val="250"/>
        </w:trPr>
        <w:tc>
          <w:tcPr>
            <w:tcW w:w="4198"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373C24">
              <w:t>Price/rent as proportion of reference value</w:t>
            </w:r>
            <w:r>
              <w:t xml:space="preserve"> (reference = 1)</w:t>
            </w:r>
          </w:p>
        </w:tc>
        <w:tc>
          <w:tcPr>
            <w:tcW w:w="104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8.4836</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2.2</w:t>
            </w:r>
          </w:p>
        </w:tc>
        <w:tc>
          <w:tcPr>
            <w:tcW w:w="1002"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26.5649</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6.3</w:t>
            </w:r>
          </w:p>
        </w:tc>
      </w:tr>
      <w:tr w:rsidR="007C6A5F" w:rsidRPr="00373C24" w:rsidTr="005A043C">
        <w:trPr>
          <w:trHeight w:val="250"/>
        </w:trPr>
        <w:tc>
          <w:tcPr>
            <w:tcW w:w="4198" w:type="dxa"/>
            <w:tcBorders>
              <w:top w:val="single" w:sz="8" w:space="0" w:color="FFFFFF" w:themeColor="background1"/>
              <w:bottom w:val="single" w:sz="8" w:space="0" w:color="FFFFFF" w:themeColor="background1"/>
            </w:tcBorders>
            <w:shd w:val="clear" w:color="auto" w:fill="E9E8E5" w:themeFill="background2"/>
          </w:tcPr>
          <w:p w:rsidR="007C6A5F" w:rsidRPr="00524ED2" w:rsidRDefault="007C6A5F" w:rsidP="00C36DA4">
            <w:pPr>
              <w:pStyle w:val="TableDataEntries"/>
              <w:jc w:val="left"/>
            </w:pPr>
            <w:r w:rsidRPr="00524ED2">
              <w:t>Price/ren</w:t>
            </w:r>
            <w:r>
              <w:t>t squared</w:t>
            </w:r>
          </w:p>
        </w:tc>
        <w:tc>
          <w:tcPr>
            <w:tcW w:w="1047" w:type="dxa"/>
            <w:tcBorders>
              <w:top w:val="single" w:sz="8" w:space="0" w:color="FFFFFF" w:themeColor="background1"/>
              <w:bottom w:val="single" w:sz="8" w:space="0" w:color="FFFFFF" w:themeColor="background1"/>
            </w:tcBorders>
            <w:shd w:val="clear" w:color="auto" w:fill="E9E8E5" w:themeFill="background2"/>
            <w:noWrap/>
          </w:tcPr>
          <w:p w:rsidR="007C6A5F" w:rsidRPr="00373C24" w:rsidRDefault="007C6A5F" w:rsidP="00C36DA4">
            <w:pPr>
              <w:pStyle w:val="TableDataEntries"/>
            </w:pPr>
            <w:r w:rsidRPr="00145C56">
              <w:t>-6.4884</w:t>
            </w:r>
          </w:p>
        </w:tc>
        <w:tc>
          <w:tcPr>
            <w:tcW w:w="851" w:type="dxa"/>
            <w:tcBorders>
              <w:top w:val="single" w:sz="8" w:space="0" w:color="FFFFFF" w:themeColor="background1"/>
              <w:bottom w:val="single" w:sz="8" w:space="0" w:color="FFFFFF" w:themeColor="background1"/>
            </w:tcBorders>
            <w:shd w:val="clear" w:color="auto" w:fill="E9E8E5" w:themeFill="background2"/>
            <w:noWrap/>
          </w:tcPr>
          <w:p w:rsidR="007C6A5F" w:rsidRPr="00373C24" w:rsidRDefault="007C6A5F" w:rsidP="00C36DA4">
            <w:pPr>
              <w:pStyle w:val="TableDataEntries"/>
            </w:pPr>
            <w:r w:rsidRPr="00145C56">
              <w:t>-3.0</w:t>
            </w:r>
          </w:p>
        </w:tc>
        <w:tc>
          <w:tcPr>
            <w:tcW w:w="1002" w:type="dxa"/>
            <w:tcBorders>
              <w:top w:val="single" w:sz="8" w:space="0" w:color="FFFFFF" w:themeColor="background1"/>
              <w:bottom w:val="single" w:sz="8" w:space="0" w:color="FFFFFF" w:themeColor="background1"/>
            </w:tcBorders>
            <w:shd w:val="clear" w:color="auto" w:fill="E9E8E5" w:themeFill="background2"/>
            <w:noWrap/>
          </w:tcPr>
          <w:p w:rsidR="007C6A5F" w:rsidRPr="00373C24" w:rsidRDefault="007C6A5F" w:rsidP="00C36DA4">
            <w:pPr>
              <w:pStyle w:val="TableDataEntries"/>
            </w:pPr>
            <w:r w:rsidRPr="00145C56">
              <w:t>-20.3898</w:t>
            </w:r>
          </w:p>
        </w:tc>
        <w:tc>
          <w:tcPr>
            <w:tcW w:w="839" w:type="dxa"/>
            <w:tcBorders>
              <w:top w:val="single" w:sz="8" w:space="0" w:color="FFFFFF" w:themeColor="background1"/>
              <w:bottom w:val="single" w:sz="8" w:space="0" w:color="FFFFFF" w:themeColor="background1"/>
            </w:tcBorders>
            <w:shd w:val="clear" w:color="auto" w:fill="E9E8E5" w:themeFill="background2"/>
            <w:noWrap/>
          </w:tcPr>
          <w:p w:rsidR="007C6A5F" w:rsidRPr="00373C24" w:rsidRDefault="007C6A5F" w:rsidP="00C36DA4">
            <w:pPr>
              <w:pStyle w:val="TableDataEntries"/>
            </w:pPr>
            <w:r w:rsidRPr="00145C56">
              <w:t>-8.2</w:t>
            </w:r>
          </w:p>
        </w:tc>
      </w:tr>
      <w:tr w:rsidR="007C6A5F" w:rsidRPr="00373C24" w:rsidTr="005A043C">
        <w:trPr>
          <w:trHeight w:val="250"/>
        </w:trPr>
        <w:tc>
          <w:tcPr>
            <w:tcW w:w="4198"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373C24">
              <w:t>Price/rent * buy (dummy =1 if intending to buy rather than rent)</w:t>
            </w:r>
          </w:p>
        </w:tc>
        <w:tc>
          <w:tcPr>
            <w:tcW w:w="104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1.4371</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2.0</w:t>
            </w:r>
          </w:p>
        </w:tc>
        <w:tc>
          <w:tcPr>
            <w:tcW w:w="1002"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2.8920</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3.4</w:t>
            </w:r>
          </w:p>
        </w:tc>
      </w:tr>
      <w:tr w:rsidR="007C6A5F" w:rsidRPr="00373C24" w:rsidTr="005A043C">
        <w:trPr>
          <w:trHeight w:val="500"/>
        </w:trPr>
        <w:tc>
          <w:tcPr>
            <w:tcW w:w="4198"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373C24">
              <w:t>Price/rent * low income (dummy =1 if household income &lt;$41 600 p.a.)</w:t>
            </w:r>
          </w:p>
        </w:tc>
        <w:tc>
          <w:tcPr>
            <w:tcW w:w="104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-2.1077</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-2.8</w:t>
            </w:r>
          </w:p>
        </w:tc>
        <w:tc>
          <w:tcPr>
            <w:tcW w:w="1002"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-4.8579</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-4.0</w:t>
            </w:r>
          </w:p>
        </w:tc>
      </w:tr>
      <w:tr w:rsidR="007C6A5F" w:rsidRPr="00373C24" w:rsidTr="005A043C">
        <w:trPr>
          <w:trHeight w:val="250"/>
        </w:trPr>
        <w:tc>
          <w:tcPr>
            <w:tcW w:w="4198"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373C24">
              <w:t>Getting in and out: Single step (dummy)</w:t>
            </w:r>
          </w:p>
        </w:tc>
        <w:tc>
          <w:tcPr>
            <w:tcW w:w="104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1.1082</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11.0</w:t>
            </w:r>
          </w:p>
        </w:tc>
        <w:tc>
          <w:tcPr>
            <w:tcW w:w="1002"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0.1398</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2.3</w:t>
            </w:r>
          </w:p>
        </w:tc>
      </w:tr>
      <w:tr w:rsidR="007C6A5F" w:rsidRPr="00373C24" w:rsidTr="005A043C">
        <w:trPr>
          <w:trHeight w:val="250"/>
        </w:trPr>
        <w:tc>
          <w:tcPr>
            <w:tcW w:w="4198"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373C24">
              <w:t>Getting in and out: Step-free (dummy)</w:t>
            </w:r>
          </w:p>
        </w:tc>
        <w:tc>
          <w:tcPr>
            <w:tcW w:w="104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1.5570</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13.8</w:t>
            </w:r>
          </w:p>
        </w:tc>
        <w:tc>
          <w:tcPr>
            <w:tcW w:w="1002"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0.2506</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3.9</w:t>
            </w:r>
          </w:p>
        </w:tc>
      </w:tr>
      <w:tr w:rsidR="007C6A5F" w:rsidRPr="00373C24" w:rsidTr="005A043C">
        <w:trPr>
          <w:trHeight w:val="250"/>
        </w:trPr>
        <w:tc>
          <w:tcPr>
            <w:tcW w:w="4198"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373C24">
              <w:t>Moving around indoors: Wide spaces</w:t>
            </w:r>
          </w:p>
        </w:tc>
        <w:tc>
          <w:tcPr>
            <w:tcW w:w="104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0.3335</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5.3</w:t>
            </w:r>
          </w:p>
        </w:tc>
        <w:tc>
          <w:tcPr>
            <w:tcW w:w="1002"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0.2231</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4.8</w:t>
            </w:r>
          </w:p>
        </w:tc>
      </w:tr>
      <w:tr w:rsidR="007C6A5F" w:rsidRPr="00373C24" w:rsidTr="005A043C">
        <w:trPr>
          <w:trHeight w:val="250"/>
        </w:trPr>
        <w:tc>
          <w:tcPr>
            <w:tcW w:w="4198"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373C24">
              <w:t>Moving around indoors: Extra-wide spaces</w:t>
            </w:r>
          </w:p>
        </w:tc>
        <w:tc>
          <w:tcPr>
            <w:tcW w:w="104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0.5970</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7.6</w:t>
            </w:r>
          </w:p>
        </w:tc>
        <w:tc>
          <w:tcPr>
            <w:tcW w:w="1002"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0.2280</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4.2</w:t>
            </w:r>
          </w:p>
        </w:tc>
      </w:tr>
      <w:tr w:rsidR="007C6A5F" w:rsidRPr="00373C24" w:rsidTr="005A043C">
        <w:trPr>
          <w:trHeight w:val="250"/>
        </w:trPr>
        <w:tc>
          <w:tcPr>
            <w:tcW w:w="4198"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373C24">
              <w:t>Living on same level as entrance: Suitable for short visits</w:t>
            </w:r>
          </w:p>
        </w:tc>
        <w:tc>
          <w:tcPr>
            <w:tcW w:w="104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1.3589</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16.4</w:t>
            </w:r>
          </w:p>
        </w:tc>
        <w:tc>
          <w:tcPr>
            <w:tcW w:w="1002"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0.1015</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2.0</w:t>
            </w:r>
          </w:p>
        </w:tc>
      </w:tr>
      <w:tr w:rsidR="007C6A5F" w:rsidRPr="00373C24" w:rsidTr="005A043C">
        <w:trPr>
          <w:trHeight w:val="500"/>
        </w:trPr>
        <w:tc>
          <w:tcPr>
            <w:tcW w:w="4198"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373C24">
              <w:t>Living on same level as entrance: Suitable for living or overnight visits</w:t>
            </w:r>
          </w:p>
        </w:tc>
        <w:tc>
          <w:tcPr>
            <w:tcW w:w="104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2.3940</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17.9</w:t>
            </w:r>
          </w:p>
        </w:tc>
        <w:tc>
          <w:tcPr>
            <w:tcW w:w="1002"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0.0871</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1.3</w:t>
            </w:r>
          </w:p>
        </w:tc>
      </w:tr>
      <w:tr w:rsidR="007C6A5F" w:rsidRPr="00373C24" w:rsidTr="005A043C">
        <w:trPr>
          <w:trHeight w:val="250"/>
        </w:trPr>
        <w:tc>
          <w:tcPr>
            <w:tcW w:w="4198"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373C24">
              <w:t>Modification that would be needed: Minimal</w:t>
            </w:r>
          </w:p>
        </w:tc>
        <w:tc>
          <w:tcPr>
            <w:tcW w:w="104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0.4318</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2.3</w:t>
            </w:r>
          </w:p>
        </w:tc>
        <w:tc>
          <w:tcPr>
            <w:tcW w:w="1002"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0.3244</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2.7</w:t>
            </w:r>
          </w:p>
        </w:tc>
      </w:tr>
      <w:tr w:rsidR="007C6A5F" w:rsidRPr="00373C24" w:rsidTr="005A043C">
        <w:trPr>
          <w:trHeight w:val="250"/>
        </w:trPr>
        <w:tc>
          <w:tcPr>
            <w:tcW w:w="4198"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373C24">
              <w:t>Total size of home compared to similar homes: 5% larger</w:t>
            </w:r>
          </w:p>
        </w:tc>
        <w:tc>
          <w:tcPr>
            <w:tcW w:w="104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0.1416</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2.8</w:t>
            </w:r>
          </w:p>
        </w:tc>
        <w:tc>
          <w:tcPr>
            <w:tcW w:w="1002"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0.0958</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2.6</w:t>
            </w:r>
          </w:p>
        </w:tc>
      </w:tr>
      <w:tr w:rsidR="007C6A5F" w:rsidRPr="00373C24" w:rsidTr="005A043C">
        <w:trPr>
          <w:trHeight w:val="250"/>
        </w:trPr>
        <w:tc>
          <w:tcPr>
            <w:tcW w:w="4198"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373C24">
              <w:t>Space used for corridors, bathroom, kitchen, laundry: 45%</w:t>
            </w:r>
          </w:p>
        </w:tc>
        <w:tc>
          <w:tcPr>
            <w:tcW w:w="104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0.0501</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0.8</w:t>
            </w:r>
          </w:p>
        </w:tc>
        <w:tc>
          <w:tcPr>
            <w:tcW w:w="1002"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-0.1485</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-3.3</w:t>
            </w:r>
          </w:p>
        </w:tc>
      </w:tr>
      <w:tr w:rsidR="007C6A5F" w:rsidRPr="00373C24" w:rsidTr="005A043C">
        <w:trPr>
          <w:trHeight w:val="250"/>
        </w:trPr>
        <w:tc>
          <w:tcPr>
            <w:tcW w:w="4198"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7C6A5F" w:rsidP="00C36DA4">
            <w:pPr>
              <w:pStyle w:val="TableDataEntries"/>
              <w:jc w:val="left"/>
            </w:pPr>
            <w:r w:rsidRPr="00373C24">
              <w:t>Space used for corridors, bathroom, kitchen, laundry: 50%</w:t>
            </w:r>
          </w:p>
        </w:tc>
        <w:tc>
          <w:tcPr>
            <w:tcW w:w="104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-0.0065</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-0.1</w:t>
            </w:r>
          </w:p>
        </w:tc>
        <w:tc>
          <w:tcPr>
            <w:tcW w:w="1002"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-0.1472</w:t>
            </w: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145C56">
              <w:t>-3.1</w:t>
            </w:r>
          </w:p>
        </w:tc>
      </w:tr>
      <w:tr w:rsidR="007C6A5F" w:rsidRPr="00373C24" w:rsidTr="005A043C">
        <w:trPr>
          <w:trHeight w:val="250"/>
        </w:trPr>
        <w:tc>
          <w:tcPr>
            <w:tcW w:w="4198"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321B1E" w:rsidP="00C36DA4">
            <w:pPr>
              <w:pStyle w:val="TableDataEntries"/>
              <w:jc w:val="left"/>
            </w:pPr>
            <w:r>
              <w:t xml:space="preserve">Class membership parameters: </w:t>
            </w:r>
            <w:r w:rsidR="007C6A5F" w:rsidRPr="00373C24">
              <w:t>Age (years)</w:t>
            </w:r>
          </w:p>
        </w:tc>
        <w:tc>
          <w:tcPr>
            <w:tcW w:w="104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29245E">
              <w:t>0.0576</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29245E">
              <w:t>14.1</w:t>
            </w:r>
          </w:p>
        </w:tc>
        <w:tc>
          <w:tcPr>
            <w:tcW w:w="1002"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r>
      <w:tr w:rsidR="007C6A5F" w:rsidRPr="00373C24" w:rsidTr="005A043C">
        <w:trPr>
          <w:trHeight w:val="250"/>
        </w:trPr>
        <w:tc>
          <w:tcPr>
            <w:tcW w:w="4198"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321B1E" w:rsidP="00C36DA4">
            <w:pPr>
              <w:pStyle w:val="TableDataEntries"/>
              <w:jc w:val="left"/>
            </w:pPr>
            <w:r>
              <w:t xml:space="preserve">Class membership parameters: </w:t>
            </w:r>
            <w:r w:rsidR="007C6A5F" w:rsidRPr="00373C24">
              <w:t>Household with permanent mobility limitation (dummy)</w:t>
            </w:r>
          </w:p>
        </w:tc>
        <w:tc>
          <w:tcPr>
            <w:tcW w:w="104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29245E">
              <w:t>0.9529</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29245E">
              <w:t>6.2</w:t>
            </w:r>
          </w:p>
        </w:tc>
        <w:tc>
          <w:tcPr>
            <w:tcW w:w="1002"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r>
      <w:tr w:rsidR="007C6A5F" w:rsidRPr="00373C24" w:rsidTr="005A043C">
        <w:trPr>
          <w:trHeight w:val="250"/>
        </w:trPr>
        <w:tc>
          <w:tcPr>
            <w:tcW w:w="4198"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321B1E" w:rsidP="00C36DA4">
            <w:pPr>
              <w:pStyle w:val="TableDataEntries"/>
              <w:jc w:val="left"/>
            </w:pPr>
            <w:r>
              <w:t xml:space="preserve">Class membership parameters: </w:t>
            </w:r>
            <w:r w:rsidR="007C6A5F" w:rsidRPr="00373C24">
              <w:t>Constant</w:t>
            </w:r>
          </w:p>
        </w:tc>
        <w:tc>
          <w:tcPr>
            <w:tcW w:w="104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29245E">
              <w:t>-2.9997</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29245E">
              <w:t>-13.2</w:t>
            </w:r>
          </w:p>
        </w:tc>
        <w:tc>
          <w:tcPr>
            <w:tcW w:w="1002"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r>
      <w:tr w:rsidR="007C6A5F" w:rsidRPr="00373C24" w:rsidTr="005A043C">
        <w:trPr>
          <w:trHeight w:val="250"/>
        </w:trPr>
        <w:tc>
          <w:tcPr>
            <w:tcW w:w="4198"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321B1E" w:rsidP="00C36DA4">
            <w:pPr>
              <w:pStyle w:val="TableDataEntries"/>
              <w:jc w:val="left"/>
            </w:pPr>
            <w:r>
              <w:t xml:space="preserve">Model fit: </w:t>
            </w:r>
            <w:r w:rsidR="007C6A5F" w:rsidRPr="00373C24">
              <w:t>Log likelihood</w:t>
            </w:r>
          </w:p>
        </w:tc>
        <w:tc>
          <w:tcPr>
            <w:tcW w:w="104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373C24">
              <w:t>-7</w:t>
            </w:r>
            <w:r>
              <w:t> </w:t>
            </w:r>
            <w:r w:rsidRPr="00373C24">
              <w:t>2</w:t>
            </w:r>
            <w:r>
              <w:t>23</w:t>
            </w:r>
            <w:r w:rsidRPr="00373C24">
              <w:t>.</w:t>
            </w:r>
            <w:r>
              <w:t>8937</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p>
        </w:tc>
        <w:tc>
          <w:tcPr>
            <w:tcW w:w="1002"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r>
      <w:tr w:rsidR="007C6A5F" w:rsidRPr="00373C24" w:rsidTr="005A043C">
        <w:trPr>
          <w:trHeight w:val="250"/>
        </w:trPr>
        <w:tc>
          <w:tcPr>
            <w:tcW w:w="4198" w:type="dxa"/>
            <w:tcBorders>
              <w:top w:val="single" w:sz="8" w:space="0" w:color="FFFFFF" w:themeColor="background1"/>
              <w:bottom w:val="single" w:sz="8" w:space="0" w:color="FFFFFF" w:themeColor="background1"/>
            </w:tcBorders>
            <w:shd w:val="clear" w:color="auto" w:fill="E9E8E5" w:themeFill="background2"/>
            <w:hideMark/>
          </w:tcPr>
          <w:p w:rsidR="007C6A5F" w:rsidRPr="00373C24" w:rsidRDefault="00321B1E" w:rsidP="00C36DA4">
            <w:pPr>
              <w:pStyle w:val="TableDataEntries"/>
              <w:jc w:val="left"/>
            </w:pPr>
            <w:r>
              <w:t xml:space="preserve">Model fit: </w:t>
            </w:r>
            <w:r w:rsidR="007C6A5F" w:rsidRPr="00373C24">
              <w:t>Choice observations</w:t>
            </w:r>
          </w:p>
        </w:tc>
        <w:tc>
          <w:tcPr>
            <w:tcW w:w="1047"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r w:rsidRPr="00373C24">
              <w:t>12</w:t>
            </w:r>
            <w:r>
              <w:t xml:space="preserve"> </w:t>
            </w:r>
            <w:r w:rsidRPr="00373C24">
              <w:t>366</w:t>
            </w:r>
          </w:p>
        </w:tc>
        <w:tc>
          <w:tcPr>
            <w:tcW w:w="851"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pPr>
          </w:p>
        </w:tc>
        <w:tc>
          <w:tcPr>
            <w:tcW w:w="1002"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c>
          <w:tcPr>
            <w:tcW w:w="839" w:type="dxa"/>
            <w:tcBorders>
              <w:top w:val="single" w:sz="8" w:space="0" w:color="FFFFFF" w:themeColor="background1"/>
              <w:bottom w:val="single" w:sz="8" w:space="0" w:color="FFFFFF" w:themeColor="background1"/>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r>
      <w:tr w:rsidR="007C6A5F" w:rsidRPr="00373C24" w:rsidTr="005A043C">
        <w:trPr>
          <w:trHeight w:val="250"/>
        </w:trPr>
        <w:tc>
          <w:tcPr>
            <w:tcW w:w="4198" w:type="dxa"/>
            <w:tcBorders>
              <w:top w:val="single" w:sz="8" w:space="0" w:color="FFFFFF" w:themeColor="background1"/>
              <w:bottom w:val="single" w:sz="4" w:space="0" w:color="6F6652" w:themeColor="accent5"/>
            </w:tcBorders>
            <w:shd w:val="clear" w:color="auto" w:fill="E9E8E5" w:themeFill="background2"/>
            <w:hideMark/>
          </w:tcPr>
          <w:p w:rsidR="007C6A5F" w:rsidRPr="00373C24" w:rsidRDefault="00321B1E" w:rsidP="00C36DA4">
            <w:pPr>
              <w:pStyle w:val="TableDataEntries"/>
              <w:jc w:val="left"/>
            </w:pPr>
            <w:r>
              <w:t xml:space="preserve">Model fit: </w:t>
            </w:r>
            <w:r w:rsidR="007C6A5F" w:rsidRPr="00373C24">
              <w:t>Individuals</w:t>
            </w:r>
          </w:p>
        </w:tc>
        <w:tc>
          <w:tcPr>
            <w:tcW w:w="1047" w:type="dxa"/>
            <w:tcBorders>
              <w:top w:val="single" w:sz="8" w:space="0" w:color="FFFFFF" w:themeColor="background1"/>
              <w:bottom w:val="single" w:sz="4" w:space="0" w:color="6F6652" w:themeColor="accent5"/>
            </w:tcBorders>
            <w:shd w:val="clear" w:color="auto" w:fill="E9E8E5" w:themeFill="background2"/>
            <w:noWrap/>
            <w:hideMark/>
          </w:tcPr>
          <w:p w:rsidR="007C6A5F" w:rsidRPr="00373C24" w:rsidRDefault="007C6A5F" w:rsidP="00C36DA4">
            <w:pPr>
              <w:pStyle w:val="TableDataEntries"/>
            </w:pPr>
            <w:r w:rsidRPr="00373C24">
              <w:t>2</w:t>
            </w:r>
            <w:r>
              <w:t> </w:t>
            </w:r>
            <w:r w:rsidRPr="00373C24">
              <w:t>061</w:t>
            </w:r>
          </w:p>
        </w:tc>
        <w:tc>
          <w:tcPr>
            <w:tcW w:w="851" w:type="dxa"/>
            <w:tcBorders>
              <w:top w:val="single" w:sz="8" w:space="0" w:color="FFFFFF" w:themeColor="background1"/>
              <w:bottom w:val="single" w:sz="4" w:space="0" w:color="6F6652" w:themeColor="accent5"/>
            </w:tcBorders>
            <w:shd w:val="clear" w:color="auto" w:fill="E9E8E5" w:themeFill="background2"/>
            <w:noWrap/>
            <w:hideMark/>
          </w:tcPr>
          <w:p w:rsidR="007C6A5F" w:rsidRPr="00373C24" w:rsidRDefault="007C6A5F" w:rsidP="00C36DA4">
            <w:pPr>
              <w:pStyle w:val="TableDataEntries"/>
            </w:pPr>
          </w:p>
        </w:tc>
        <w:tc>
          <w:tcPr>
            <w:tcW w:w="1002" w:type="dxa"/>
            <w:tcBorders>
              <w:top w:val="single" w:sz="8" w:space="0" w:color="FFFFFF" w:themeColor="background1"/>
              <w:bottom w:val="single" w:sz="4" w:space="0" w:color="6F6652" w:themeColor="accent5"/>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c>
          <w:tcPr>
            <w:tcW w:w="839" w:type="dxa"/>
            <w:tcBorders>
              <w:top w:val="single" w:sz="8" w:space="0" w:color="FFFFFF" w:themeColor="background1"/>
              <w:bottom w:val="single" w:sz="4" w:space="0" w:color="6F6652" w:themeColor="accent5"/>
            </w:tcBorders>
            <w:shd w:val="clear" w:color="auto" w:fill="E9E8E5" w:themeFill="background2"/>
            <w:noWrap/>
            <w:hideMark/>
          </w:tcPr>
          <w:p w:rsidR="007C6A5F" w:rsidRPr="00373C24" w:rsidRDefault="007C6A5F" w:rsidP="00C36DA4">
            <w:pPr>
              <w:pStyle w:val="TableDataEntries"/>
              <w:rPr>
                <w:rFonts w:ascii="Times New Roman" w:hAnsi="Times New Roman"/>
                <w:sz w:val="20"/>
                <w:szCs w:val="20"/>
              </w:rPr>
            </w:pPr>
          </w:p>
        </w:tc>
      </w:tr>
    </w:tbl>
    <w:p w:rsidR="007C6A5F" w:rsidRDefault="007C6A5F" w:rsidP="007C6A5F">
      <w:pPr>
        <w:pStyle w:val="Source"/>
      </w:pPr>
      <w:r>
        <w:rPr>
          <w:i/>
        </w:rPr>
        <w:t>Source</w:t>
      </w:r>
      <w:r w:rsidRPr="00E4232C">
        <w:rPr>
          <w:i/>
        </w:rPr>
        <w:t>:</w:t>
      </w:r>
      <w:r>
        <w:t xml:space="preserve"> CIE</w:t>
      </w:r>
      <w:r w:rsidR="00DE71A3">
        <w:t>.</w:t>
      </w:r>
    </w:p>
    <w:p w:rsidR="007C6A5F" w:rsidRDefault="007C6A5F" w:rsidP="007C6A5F">
      <w:pPr>
        <w:pStyle w:val="BodyText"/>
        <w:rPr>
          <w:lang w:eastAsia="en-US"/>
        </w:rPr>
      </w:pPr>
      <w:r>
        <w:rPr>
          <w:lang w:eastAsia="en-US"/>
        </w:rPr>
        <w:t xml:space="preserve">The WTP estimates from this model, evaluated at the reference price, are set out in table </w:t>
      </w:r>
      <w:r>
        <w:rPr>
          <w:lang w:eastAsia="en-US"/>
        </w:rPr>
        <w:fldChar w:fldCharType="begin"/>
      </w:r>
      <w:r>
        <w:rPr>
          <w:lang w:eastAsia="en-US"/>
        </w:rPr>
        <w:instrText xml:space="preserve"> REF _Caption7522 </w:instrText>
      </w:r>
      <w:r>
        <w:rPr>
          <w:lang w:eastAsia="en-US"/>
        </w:rPr>
        <w:fldChar w:fldCharType="separate"/>
      </w:r>
      <w:r>
        <w:rPr>
          <w:noProof/>
        </w:rPr>
        <w:t>K</w:t>
      </w:r>
      <w:r w:rsidRPr="00695C93">
        <w:rPr>
          <w:noProof/>
        </w:rPr>
        <w:t>.</w:t>
      </w:r>
      <w:r>
        <w:rPr>
          <w:noProof/>
        </w:rPr>
        <w:t>18</w:t>
      </w:r>
      <w:r>
        <w:rPr>
          <w:lang w:eastAsia="en-US"/>
        </w:rPr>
        <w:fldChar w:fldCharType="end"/>
      </w:r>
      <w:r>
        <w:rPr>
          <w:lang w:eastAsia="en-US"/>
        </w:rPr>
        <w:t>. As part of the model development process, we tested the robustness of the results across different subsamples, including respondents who indicated they are more likely to move house in the next five years, respondents who indicated they believed the survey would affect outcomes, and respondents who took more than five minutes to complete the questionnaire. WTP estimates for these models are also set out in the table.</w:t>
      </w:r>
    </w:p>
    <w:p w:rsidR="00F96D1A" w:rsidRDefault="00F96D1A" w:rsidP="00F96D1A">
      <w:pPr>
        <w:sectPr w:rsidR="00F96D1A" w:rsidSect="00F96D1A">
          <w:headerReference w:type="even" r:id="rId58"/>
          <w:headerReference w:type="default" r:id="rId59"/>
          <w:footerReference w:type="even" r:id="rId60"/>
          <w:footerReference w:type="default" r:id="rId61"/>
          <w:type w:val="oddPage"/>
          <w:pgSz w:w="11906" w:h="16838" w:code="9"/>
          <w:pgMar w:top="2268" w:right="1701" w:bottom="1418" w:left="2268" w:header="680" w:footer="680" w:gutter="0"/>
          <w:pgNumType w:start="1"/>
          <w:cols w:space="708"/>
          <w:docGrid w:linePitch="360"/>
        </w:sectPr>
      </w:pPr>
    </w:p>
    <w:p w:rsidR="00F96D1A" w:rsidRDefault="00F96D1A" w:rsidP="00F96D1A">
      <w:pPr>
        <w:pStyle w:val="Caption"/>
        <w:spacing w:before="0"/>
      </w:pPr>
      <w:r w:rsidRPr="00695C93">
        <w:lastRenderedPageBreak/>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w:instrText>
      </w:r>
      <w:r w:rsidRPr="00695C93">
        <w:fldChar w:fldCharType="separate"/>
      </w:r>
      <w:r>
        <w:rPr>
          <w:noProof/>
        </w:rPr>
        <w:instrText>K</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18</w:instrText>
      </w:r>
      <w:r w:rsidRPr="00695C93">
        <w:fldChar w:fldCharType="end"/>
      </w:r>
      <w:r w:rsidRPr="00695C93">
        <w:instrText xml:space="preserve">" "" </w:instrText>
      </w:r>
      <w:r w:rsidRPr="00695C93">
        <w:fldChar w:fldCharType="separate"/>
      </w:r>
      <w:bookmarkStart w:id="9508" w:name="_Caption3314"/>
      <w:bookmarkStart w:id="9509" w:name="_Caption1142"/>
      <w:bookmarkStart w:id="9510" w:name="_Caption2496"/>
      <w:bookmarkStart w:id="9511" w:name="_Caption0638"/>
      <w:bookmarkStart w:id="9512" w:name="_Caption3978"/>
      <w:bookmarkStart w:id="9513" w:name="_Caption3064"/>
      <w:bookmarkStart w:id="9514" w:name="_Caption6181"/>
      <w:bookmarkStart w:id="9515" w:name="_Caption7156"/>
      <w:bookmarkStart w:id="9516" w:name="_Caption7136"/>
      <w:bookmarkStart w:id="9517" w:name="_Caption5380"/>
      <w:bookmarkStart w:id="9518" w:name="_Caption1416"/>
      <w:bookmarkStart w:id="9519" w:name="_Caption2691"/>
      <w:bookmarkStart w:id="9520" w:name="_Caption1407"/>
      <w:bookmarkStart w:id="9521" w:name="_Caption5216"/>
      <w:bookmarkStart w:id="9522" w:name="_Caption3129"/>
      <w:bookmarkStart w:id="9523" w:name="_Caption4917"/>
      <w:bookmarkStart w:id="9524" w:name="_Caption7769"/>
      <w:bookmarkStart w:id="9525" w:name="_Caption3444"/>
      <w:bookmarkStart w:id="9526" w:name="_Caption5163"/>
      <w:bookmarkStart w:id="9527" w:name="_Caption1810"/>
      <w:bookmarkStart w:id="9528" w:name="_Caption7522"/>
      <w:bookmarkStart w:id="9529" w:name="_Caption3724"/>
      <w:bookmarkStart w:id="9530" w:name="_Caption3549"/>
      <w:bookmarkStart w:id="9531" w:name="_Caption2066"/>
      <w:bookmarkStart w:id="9532" w:name="_Caption9544"/>
      <w:bookmarkStart w:id="9533" w:name="_Caption4251"/>
      <w:bookmarkStart w:id="9534" w:name="_Caption1688"/>
      <w:bookmarkStart w:id="9535" w:name="_Caption5733"/>
      <w:bookmarkStart w:id="9536" w:name="_Caption9748"/>
      <w:bookmarkStart w:id="9537" w:name="_Caption8655"/>
      <w:bookmarkStart w:id="9538" w:name="_Caption5599"/>
      <w:bookmarkStart w:id="9539" w:name="_Caption3989"/>
      <w:bookmarkStart w:id="9540" w:name="_Caption6262"/>
      <w:bookmarkStart w:id="9541" w:name="_Caption2331"/>
      <w:bookmarkStart w:id="9542" w:name="_Caption0815"/>
      <w:bookmarkStart w:id="9543" w:name="_Caption5505"/>
      <w:bookmarkStart w:id="9544" w:name="_Caption8711"/>
      <w:bookmarkStart w:id="9545" w:name="_Caption3639"/>
      <w:bookmarkStart w:id="9546" w:name="_Caption5488"/>
      <w:bookmarkStart w:id="9547" w:name="_Caption1367"/>
      <w:bookmarkStart w:id="9548" w:name="_Caption5074"/>
      <w:bookmarkStart w:id="9549" w:name="_Caption0036"/>
      <w:bookmarkStart w:id="9550" w:name="_Caption5419"/>
      <w:bookmarkStart w:id="9551" w:name="_Caption5533"/>
      <w:bookmarkStart w:id="9552" w:name="_Caption3659"/>
      <w:bookmarkStart w:id="9553" w:name="_Caption9973"/>
      <w:bookmarkStart w:id="9554" w:name="_Caption7303"/>
      <w:bookmarkStart w:id="9555" w:name="_Caption8147"/>
      <w:bookmarkStart w:id="9556" w:name="_Caption0357"/>
      <w:bookmarkStart w:id="9557" w:name="_Caption8819"/>
      <w:bookmarkStart w:id="9558" w:name="_Caption6051"/>
      <w:bookmarkStart w:id="9559" w:name="_Caption3787"/>
      <w:bookmarkStart w:id="9560" w:name="_Caption0403"/>
      <w:bookmarkStart w:id="9561" w:name="_Caption0120"/>
      <w:bookmarkStart w:id="9562" w:name="_Caption9082"/>
      <w:bookmarkStart w:id="9563" w:name="_Caption2809"/>
      <w:bookmarkStart w:id="9564" w:name="_Caption8960"/>
      <w:bookmarkStart w:id="9565" w:name="_Caption4527"/>
      <w:bookmarkStart w:id="9566" w:name="_Caption3328"/>
      <w:bookmarkStart w:id="9567" w:name="_Caption4103"/>
      <w:bookmarkStart w:id="9568" w:name="_Caption2092"/>
      <w:bookmarkStart w:id="9569" w:name="_Caption2182"/>
      <w:bookmarkStart w:id="9570" w:name="_Caption1301"/>
      <w:bookmarkStart w:id="9571" w:name="_Caption6377"/>
      <w:bookmarkStart w:id="9572" w:name="_Caption1613"/>
      <w:bookmarkStart w:id="9573" w:name="_Caption2140"/>
      <w:bookmarkStart w:id="9574" w:name="_Caption9650"/>
      <w:bookmarkStart w:id="9575" w:name="_Caption0577"/>
      <w:bookmarkStart w:id="9576" w:name="_Caption8307"/>
      <w:bookmarkStart w:id="9577" w:name="_Caption6482"/>
      <w:bookmarkStart w:id="9578" w:name="_Caption9092"/>
      <w:bookmarkStart w:id="9579" w:name="_Caption7246"/>
      <w:bookmarkStart w:id="9580" w:name="_Caption1905"/>
      <w:bookmarkStart w:id="9581" w:name="_Caption8281"/>
      <w:bookmarkStart w:id="9582" w:name="_Caption5310"/>
      <w:bookmarkStart w:id="9583" w:name="_Caption3455"/>
      <w:bookmarkStart w:id="9584" w:name="_Caption1743"/>
      <w:bookmarkStart w:id="9585" w:name="_Caption2098"/>
      <w:bookmarkStart w:id="9586" w:name="_Caption6964"/>
      <w:bookmarkStart w:id="9587" w:name="_Caption9071"/>
      <w:bookmarkStart w:id="9588" w:name="_Caption5150"/>
      <w:bookmarkStart w:id="9589" w:name="_Caption5679"/>
      <w:bookmarkStart w:id="9590" w:name="_Caption9700"/>
      <w:bookmarkStart w:id="9591" w:name="_Caption6684"/>
      <w:bookmarkStart w:id="9592" w:name="_Caption5200"/>
      <w:bookmarkStart w:id="9593" w:name="_Caption2414"/>
      <w:bookmarkStart w:id="9594" w:name="_Caption5515"/>
      <w:bookmarkStart w:id="9595" w:name="_Caption7074"/>
      <w:bookmarkStart w:id="9596" w:name="_Caption1243"/>
      <w:bookmarkStart w:id="9597" w:name="_Caption8506"/>
      <w:bookmarkStart w:id="9598" w:name="_Caption7508"/>
      <w:bookmarkStart w:id="9599" w:name="_Caption1406"/>
      <w:bookmarkStart w:id="9600" w:name="_Toc32321937"/>
      <w:bookmarkStart w:id="9601" w:name="_Toc44598648"/>
      <w:bookmarkStart w:id="9602" w:name="_Toc45654279"/>
      <w:r w:rsidR="00272AF3">
        <w:rPr>
          <w:noProof/>
        </w:rPr>
        <w:t>K</w:t>
      </w:r>
      <w:r w:rsidR="00272AF3" w:rsidRPr="00695C93">
        <w:rPr>
          <w:noProof/>
        </w:rPr>
        <w:t>.</w:t>
      </w:r>
      <w:r w:rsidR="00272AF3">
        <w:rPr>
          <w:noProof/>
        </w:rPr>
        <w:t>18</w:t>
      </w:r>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r w:rsidRPr="00695C93">
        <w:fldChar w:fldCharType="end"/>
      </w:r>
      <w:r w:rsidRPr="00695C93">
        <w:tab/>
      </w:r>
      <w:r>
        <w:t xml:space="preserve">Estimates of average willingness to pay from pooled model with </w:t>
      </w:r>
      <w:bookmarkEnd w:id="9600"/>
      <w:r>
        <w:t>selected subsamples</w:t>
      </w:r>
      <w:bookmarkEnd w:id="9601"/>
      <w:bookmarkEnd w:id="9602"/>
    </w:p>
    <w:tbl>
      <w:tblPr>
        <w:tblStyle w:val="TableGridLight"/>
        <w:tblW w:w="13304" w:type="dxa"/>
        <w:tblLook w:val="04A0" w:firstRow="1" w:lastRow="0" w:firstColumn="1" w:lastColumn="0" w:noHBand="0" w:noVBand="1"/>
        <w:tblCaption w:val="Table K.18"/>
        <w:tblDescription w:val="Estimates of average willingness to pay from pooled model with selected subsamples"/>
      </w:tblPr>
      <w:tblGrid>
        <w:gridCol w:w="2195"/>
        <w:gridCol w:w="923"/>
        <w:gridCol w:w="894"/>
        <w:gridCol w:w="1189"/>
        <w:gridCol w:w="1134"/>
        <w:gridCol w:w="1189"/>
        <w:gridCol w:w="1134"/>
        <w:gridCol w:w="1189"/>
        <w:gridCol w:w="1134"/>
        <w:gridCol w:w="1189"/>
        <w:gridCol w:w="1134"/>
      </w:tblGrid>
      <w:tr w:rsidR="00F96D1A" w:rsidRPr="00296DA5" w:rsidTr="00017849">
        <w:trPr>
          <w:trHeight w:val="250"/>
          <w:tblHeader/>
        </w:trPr>
        <w:tc>
          <w:tcPr>
            <w:tcW w:w="2195" w:type="dxa"/>
            <w:tcBorders>
              <w:top w:val="nil"/>
              <w:left w:val="nil"/>
              <w:bottom w:val="nil"/>
              <w:right w:val="nil"/>
            </w:tcBorders>
            <w:shd w:val="clear" w:color="auto" w:fill="6F6652" w:themeFill="accent5"/>
            <w:hideMark/>
          </w:tcPr>
          <w:p w:rsidR="00F96D1A" w:rsidRPr="00296DA5" w:rsidRDefault="00F96D1A" w:rsidP="00BC2453">
            <w:pPr>
              <w:pStyle w:val="TableDataColumnHeading"/>
              <w:spacing w:before="76" w:after="76"/>
              <w:jc w:val="left"/>
            </w:pPr>
            <w:r>
              <w:t>Feature</w:t>
            </w:r>
          </w:p>
        </w:tc>
        <w:tc>
          <w:tcPr>
            <w:tcW w:w="923" w:type="dxa"/>
            <w:tcBorders>
              <w:top w:val="nil"/>
              <w:left w:val="nil"/>
              <w:bottom w:val="nil"/>
              <w:right w:val="nil"/>
            </w:tcBorders>
            <w:shd w:val="clear" w:color="auto" w:fill="6F6652" w:themeFill="accent5"/>
            <w:hideMark/>
          </w:tcPr>
          <w:p w:rsidR="00F96D1A" w:rsidRPr="00296DA5" w:rsidRDefault="00F96D1A" w:rsidP="00BC2453">
            <w:pPr>
              <w:pStyle w:val="TableDataColumnHeading"/>
              <w:spacing w:before="76" w:after="76"/>
            </w:pPr>
            <w:r>
              <w:t>Full sample:</w:t>
            </w:r>
            <w:r>
              <w:br/>
            </w:r>
            <w:r w:rsidRPr="005F1159">
              <w:t>Buyers</w:t>
            </w:r>
            <w:r>
              <w:br/>
            </w:r>
            <w:r w:rsidRPr="005F1159">
              <w:t>n*=1183</w:t>
            </w:r>
            <w:r>
              <w:br/>
              <w:t>($)</w:t>
            </w:r>
          </w:p>
        </w:tc>
        <w:tc>
          <w:tcPr>
            <w:tcW w:w="894" w:type="dxa"/>
            <w:tcBorders>
              <w:top w:val="nil"/>
              <w:left w:val="nil"/>
              <w:bottom w:val="nil"/>
              <w:right w:val="nil"/>
            </w:tcBorders>
            <w:shd w:val="clear" w:color="auto" w:fill="6F6652" w:themeFill="accent5"/>
            <w:hideMark/>
          </w:tcPr>
          <w:p w:rsidR="00F96D1A" w:rsidRPr="00296DA5" w:rsidRDefault="00F96D1A" w:rsidP="00BC2453">
            <w:pPr>
              <w:pStyle w:val="TableDataColumnHeading"/>
              <w:spacing w:before="76" w:after="76"/>
            </w:pPr>
            <w:r>
              <w:t>Full sample:</w:t>
            </w:r>
            <w:r>
              <w:br/>
            </w:r>
            <w:r w:rsidRPr="005F1159">
              <w:t>Renters</w:t>
            </w:r>
            <w:r>
              <w:br/>
            </w:r>
            <w:r w:rsidRPr="005F1159">
              <w:t>n*=878</w:t>
            </w:r>
            <w:r>
              <w:br/>
              <w:t>($ per week)</w:t>
            </w:r>
          </w:p>
        </w:tc>
        <w:tc>
          <w:tcPr>
            <w:tcW w:w="1189" w:type="dxa"/>
            <w:tcBorders>
              <w:top w:val="nil"/>
              <w:left w:val="nil"/>
              <w:bottom w:val="nil"/>
              <w:right w:val="nil"/>
            </w:tcBorders>
            <w:shd w:val="clear" w:color="auto" w:fill="6F6652" w:themeFill="accent5"/>
            <w:hideMark/>
          </w:tcPr>
          <w:p w:rsidR="00F96D1A" w:rsidRPr="00296DA5" w:rsidRDefault="00F96D1A" w:rsidP="00BC2453">
            <w:pPr>
              <w:pStyle w:val="TableDataColumnHeading"/>
              <w:spacing w:before="76" w:after="76"/>
            </w:pPr>
            <w:r w:rsidRPr="00296DA5">
              <w:t>Respondents &gt;30% likely to move in next 5 years</w:t>
            </w:r>
            <w:r>
              <w:t>:</w:t>
            </w:r>
            <w:r>
              <w:br/>
            </w:r>
            <w:r w:rsidRPr="005F1159">
              <w:t>Buyers</w:t>
            </w:r>
            <w:r>
              <w:br/>
              <w:t>($)</w:t>
            </w:r>
          </w:p>
        </w:tc>
        <w:tc>
          <w:tcPr>
            <w:tcW w:w="1134" w:type="dxa"/>
            <w:tcBorders>
              <w:top w:val="nil"/>
              <w:left w:val="nil"/>
              <w:bottom w:val="nil"/>
              <w:right w:val="nil"/>
            </w:tcBorders>
            <w:shd w:val="clear" w:color="auto" w:fill="6F6652" w:themeFill="accent5"/>
            <w:hideMark/>
          </w:tcPr>
          <w:p w:rsidR="00F96D1A" w:rsidRPr="00296DA5" w:rsidRDefault="00F96D1A" w:rsidP="00BC2453">
            <w:pPr>
              <w:pStyle w:val="TableDataColumnHeading"/>
              <w:spacing w:before="76" w:after="76"/>
            </w:pPr>
            <w:r w:rsidRPr="00296DA5">
              <w:t>Respondents &gt;30% likely to move in next 5 years</w:t>
            </w:r>
            <w:r>
              <w:t>:</w:t>
            </w:r>
            <w:r>
              <w:br/>
            </w:r>
            <w:r w:rsidRPr="005F1159">
              <w:t>Renters</w:t>
            </w:r>
            <w:r>
              <w:br/>
            </w:r>
            <w:r w:rsidRPr="005F1159">
              <w:t>n*=640</w:t>
            </w:r>
            <w:r>
              <w:br/>
              <w:t>($ per week)</w:t>
            </w:r>
          </w:p>
        </w:tc>
        <w:tc>
          <w:tcPr>
            <w:tcW w:w="1189" w:type="dxa"/>
            <w:tcBorders>
              <w:top w:val="nil"/>
              <w:left w:val="nil"/>
              <w:bottom w:val="nil"/>
              <w:right w:val="nil"/>
            </w:tcBorders>
            <w:shd w:val="clear" w:color="auto" w:fill="6F6652" w:themeFill="accent5"/>
            <w:hideMark/>
          </w:tcPr>
          <w:p w:rsidR="00F96D1A" w:rsidRPr="00296DA5" w:rsidRDefault="00F96D1A" w:rsidP="00BC2453">
            <w:pPr>
              <w:pStyle w:val="TableDataColumnHeading"/>
              <w:spacing w:before="76" w:after="76"/>
            </w:pPr>
            <w:r w:rsidRPr="00296DA5">
              <w:t>Respondents &gt;55% likely to move in next 5 years</w:t>
            </w:r>
            <w:r>
              <w:t>:</w:t>
            </w:r>
            <w:r>
              <w:br/>
            </w:r>
            <w:r w:rsidRPr="005F1159">
              <w:t>Buyers</w:t>
            </w:r>
            <w:r>
              <w:br/>
            </w:r>
            <w:r w:rsidRPr="005F1159">
              <w:t>n*=519</w:t>
            </w:r>
            <w:r>
              <w:br/>
              <w:t>($)</w:t>
            </w:r>
          </w:p>
        </w:tc>
        <w:tc>
          <w:tcPr>
            <w:tcW w:w="1134" w:type="dxa"/>
            <w:tcBorders>
              <w:top w:val="nil"/>
              <w:left w:val="nil"/>
              <w:bottom w:val="nil"/>
              <w:right w:val="nil"/>
            </w:tcBorders>
            <w:shd w:val="clear" w:color="auto" w:fill="6F6652" w:themeFill="accent5"/>
            <w:hideMark/>
          </w:tcPr>
          <w:p w:rsidR="00F96D1A" w:rsidRPr="00296DA5" w:rsidRDefault="00F96D1A" w:rsidP="00BC2453">
            <w:pPr>
              <w:pStyle w:val="TableDataColumnHeading"/>
              <w:spacing w:before="76" w:after="76"/>
            </w:pPr>
            <w:r w:rsidRPr="00296DA5">
              <w:t>Respondents &gt;55% likely to move in next 5 years</w:t>
            </w:r>
            <w:r>
              <w:t>:</w:t>
            </w:r>
            <w:r>
              <w:br/>
            </w:r>
            <w:r w:rsidRPr="005F1159">
              <w:t>Renters</w:t>
            </w:r>
            <w:r>
              <w:br/>
            </w:r>
            <w:r w:rsidRPr="005F1159">
              <w:t>n*=393</w:t>
            </w:r>
            <w:r>
              <w:br/>
              <w:t>($ per week)</w:t>
            </w:r>
          </w:p>
        </w:tc>
        <w:tc>
          <w:tcPr>
            <w:tcW w:w="1189" w:type="dxa"/>
            <w:tcBorders>
              <w:top w:val="nil"/>
              <w:left w:val="nil"/>
              <w:bottom w:val="nil"/>
              <w:right w:val="nil"/>
            </w:tcBorders>
            <w:shd w:val="clear" w:color="auto" w:fill="6F6652" w:themeFill="accent5"/>
            <w:hideMark/>
          </w:tcPr>
          <w:p w:rsidR="00F96D1A" w:rsidRPr="00296DA5" w:rsidRDefault="00F96D1A" w:rsidP="00BC2453">
            <w:pPr>
              <w:pStyle w:val="TableDataColumnHeading"/>
              <w:spacing w:before="76" w:after="76"/>
            </w:pPr>
            <w:r w:rsidRPr="00296DA5">
              <w:t>Respondents believing survey could affect housing</w:t>
            </w:r>
            <w:r>
              <w:t>:</w:t>
            </w:r>
            <w:r>
              <w:br/>
            </w:r>
            <w:r w:rsidRPr="005F1159">
              <w:t>Buyers</w:t>
            </w:r>
            <w:r>
              <w:br/>
            </w:r>
            <w:r w:rsidRPr="005F1159">
              <w:t>n*=654</w:t>
            </w:r>
            <w:r>
              <w:br/>
              <w:t>($)</w:t>
            </w:r>
          </w:p>
        </w:tc>
        <w:tc>
          <w:tcPr>
            <w:tcW w:w="1134" w:type="dxa"/>
            <w:tcBorders>
              <w:top w:val="nil"/>
              <w:left w:val="nil"/>
              <w:bottom w:val="nil"/>
              <w:right w:val="nil"/>
            </w:tcBorders>
            <w:shd w:val="clear" w:color="auto" w:fill="6F6652" w:themeFill="accent5"/>
            <w:hideMark/>
          </w:tcPr>
          <w:p w:rsidR="00F96D1A" w:rsidRPr="00296DA5" w:rsidRDefault="00F96D1A" w:rsidP="00BC2453">
            <w:pPr>
              <w:pStyle w:val="TableDataColumnHeading"/>
              <w:spacing w:before="76" w:after="76"/>
            </w:pPr>
            <w:r w:rsidRPr="00296DA5">
              <w:t>Respondents believing survey could affect housing</w:t>
            </w:r>
            <w:r>
              <w:t>:</w:t>
            </w:r>
            <w:r>
              <w:br/>
            </w:r>
            <w:r w:rsidRPr="005F1159">
              <w:t>Renters</w:t>
            </w:r>
            <w:r>
              <w:br/>
            </w:r>
            <w:r w:rsidRPr="005F1159">
              <w:t>n*=493</w:t>
            </w:r>
            <w:r>
              <w:br/>
              <w:t>($ per week)</w:t>
            </w:r>
          </w:p>
        </w:tc>
        <w:tc>
          <w:tcPr>
            <w:tcW w:w="1189" w:type="dxa"/>
            <w:tcBorders>
              <w:top w:val="nil"/>
              <w:left w:val="nil"/>
              <w:bottom w:val="nil"/>
              <w:right w:val="nil"/>
            </w:tcBorders>
            <w:shd w:val="clear" w:color="auto" w:fill="6F6652" w:themeFill="accent5"/>
            <w:hideMark/>
          </w:tcPr>
          <w:p w:rsidR="00F96D1A" w:rsidRPr="00296DA5" w:rsidRDefault="00F96D1A" w:rsidP="00BC2453">
            <w:pPr>
              <w:pStyle w:val="TableDataColumnHeading"/>
              <w:spacing w:before="76" w:after="76"/>
            </w:pPr>
            <w:r w:rsidRPr="00AD3E69">
              <w:t>Respondents completing survey in more than 5 minutes</w:t>
            </w:r>
            <w:r>
              <w:t>:</w:t>
            </w:r>
            <w:r>
              <w:br/>
            </w:r>
            <w:r w:rsidRPr="005F1159">
              <w:t>Buyers</w:t>
            </w:r>
            <w:r>
              <w:br/>
            </w:r>
            <w:r w:rsidRPr="005F1159">
              <w:t>n*=1129</w:t>
            </w:r>
            <w:r>
              <w:br/>
              <w:t>($)</w:t>
            </w:r>
          </w:p>
        </w:tc>
        <w:tc>
          <w:tcPr>
            <w:tcW w:w="1134" w:type="dxa"/>
            <w:tcBorders>
              <w:top w:val="nil"/>
              <w:left w:val="nil"/>
              <w:bottom w:val="nil"/>
              <w:right w:val="nil"/>
            </w:tcBorders>
            <w:shd w:val="clear" w:color="auto" w:fill="6F6652" w:themeFill="accent5"/>
            <w:hideMark/>
          </w:tcPr>
          <w:p w:rsidR="00F96D1A" w:rsidRPr="00296DA5" w:rsidRDefault="00F96D1A" w:rsidP="00BC2453">
            <w:pPr>
              <w:pStyle w:val="TableDataColumnHeading"/>
              <w:spacing w:before="76" w:after="76"/>
            </w:pPr>
            <w:r w:rsidRPr="00AD3E69">
              <w:t>Respondents completing survey in more than 5 minutes</w:t>
            </w:r>
            <w:r>
              <w:t>:</w:t>
            </w:r>
            <w:r>
              <w:br/>
            </w:r>
            <w:r w:rsidRPr="005F1159">
              <w:t>Renters</w:t>
            </w:r>
            <w:r>
              <w:br/>
            </w:r>
            <w:r w:rsidRPr="005F1159">
              <w:t>n*=832</w:t>
            </w:r>
            <w:r>
              <w:br/>
              <w:t>($ per week)</w:t>
            </w:r>
          </w:p>
        </w:tc>
      </w:tr>
      <w:tr w:rsidR="00F96D1A" w:rsidRPr="00457478" w:rsidTr="00BC2453">
        <w:trPr>
          <w:trHeight w:val="250"/>
        </w:trPr>
        <w:tc>
          <w:tcPr>
            <w:tcW w:w="2195" w:type="dxa"/>
            <w:tcBorders>
              <w:top w:val="single" w:sz="8" w:space="0" w:color="FFFFFF" w:themeColor="background1"/>
              <w:left w:val="nil"/>
              <w:bottom w:val="single" w:sz="8" w:space="0" w:color="FFFFFF" w:themeColor="background1"/>
              <w:right w:val="nil"/>
            </w:tcBorders>
            <w:shd w:val="clear" w:color="auto" w:fill="E9E8E5" w:themeFill="background2"/>
            <w:hideMark/>
          </w:tcPr>
          <w:p w:rsidR="00F96D1A" w:rsidRPr="00457478" w:rsidRDefault="00F96D1A" w:rsidP="00BC2453">
            <w:pPr>
              <w:pStyle w:val="TableDataEntries"/>
              <w:spacing w:before="0" w:after="38"/>
              <w:jc w:val="left"/>
            </w:pPr>
            <w:r w:rsidRPr="005F1159">
              <w:t>Getting in and out: 'Several steps' to 'Single step'</w:t>
            </w:r>
          </w:p>
        </w:tc>
        <w:tc>
          <w:tcPr>
            <w:tcW w:w="923"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59 588</w:t>
            </w:r>
          </w:p>
        </w:tc>
        <w:tc>
          <w:tcPr>
            <w:tcW w:w="89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18.83</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60 498</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18.27</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45 289</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16.91</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64 900</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24.24</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58 378</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18.33</w:t>
            </w:r>
          </w:p>
        </w:tc>
      </w:tr>
      <w:tr w:rsidR="00F96D1A" w:rsidRPr="00457478" w:rsidTr="00BC2453">
        <w:trPr>
          <w:trHeight w:val="250"/>
        </w:trPr>
        <w:tc>
          <w:tcPr>
            <w:tcW w:w="2195" w:type="dxa"/>
            <w:tcBorders>
              <w:top w:val="single" w:sz="8" w:space="0" w:color="FFFFFF" w:themeColor="background1"/>
              <w:left w:val="nil"/>
              <w:bottom w:val="single" w:sz="8" w:space="0" w:color="FFFFFF" w:themeColor="background1"/>
              <w:right w:val="nil"/>
            </w:tcBorders>
            <w:shd w:val="clear" w:color="auto" w:fill="E9E8E5" w:themeFill="background2"/>
            <w:hideMark/>
          </w:tcPr>
          <w:p w:rsidR="00F96D1A" w:rsidRPr="00457478" w:rsidRDefault="00F96D1A" w:rsidP="00BC2453">
            <w:pPr>
              <w:pStyle w:val="TableDataEntries"/>
              <w:spacing w:before="0" w:after="38"/>
              <w:jc w:val="left"/>
            </w:pPr>
            <w:r w:rsidRPr="005F1159">
              <w:t>Getting in and out: 'Several steps' to 'Step-free'</w:t>
            </w:r>
          </w:p>
        </w:tc>
        <w:tc>
          <w:tcPr>
            <w:tcW w:w="923"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86 104</w:t>
            </w:r>
          </w:p>
        </w:tc>
        <w:tc>
          <w:tcPr>
            <w:tcW w:w="89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27.26</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86 612</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26.24</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65 666</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24.74</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96 371</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36.11</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83 776</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26.35</w:t>
            </w:r>
          </w:p>
        </w:tc>
      </w:tr>
      <w:tr w:rsidR="00F96D1A" w:rsidRPr="00457478" w:rsidTr="00BC2453">
        <w:trPr>
          <w:trHeight w:val="250"/>
        </w:trPr>
        <w:tc>
          <w:tcPr>
            <w:tcW w:w="2195" w:type="dxa"/>
            <w:tcBorders>
              <w:top w:val="single" w:sz="8" w:space="0" w:color="FFFFFF" w:themeColor="background1"/>
              <w:left w:val="nil"/>
              <w:bottom w:val="single" w:sz="8" w:space="0" w:color="FFFFFF" w:themeColor="background1"/>
              <w:right w:val="nil"/>
            </w:tcBorders>
            <w:shd w:val="clear" w:color="auto" w:fill="E9E8E5" w:themeFill="background2"/>
            <w:hideMark/>
          </w:tcPr>
          <w:p w:rsidR="00F96D1A" w:rsidRPr="00457478" w:rsidRDefault="00F96D1A" w:rsidP="00BC2453">
            <w:pPr>
              <w:pStyle w:val="TableDataEntries"/>
              <w:spacing w:before="0" w:after="38"/>
              <w:jc w:val="left"/>
            </w:pPr>
            <w:r w:rsidRPr="005F1159">
              <w:t>Moving around indoors: 'Regular space' to 'Wide spaces'</w:t>
            </w:r>
          </w:p>
        </w:tc>
        <w:tc>
          <w:tcPr>
            <w:tcW w:w="923"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25 884</w:t>
            </w:r>
          </w:p>
        </w:tc>
        <w:tc>
          <w:tcPr>
            <w:tcW w:w="89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8.35</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28 324</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8.86</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22 187</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8.57</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29 711</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11.29</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25 789</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8.25</w:t>
            </w:r>
          </w:p>
        </w:tc>
      </w:tr>
      <w:tr w:rsidR="00F96D1A" w:rsidRPr="00457478" w:rsidTr="00BC2453">
        <w:trPr>
          <w:trHeight w:val="250"/>
        </w:trPr>
        <w:tc>
          <w:tcPr>
            <w:tcW w:w="2195" w:type="dxa"/>
            <w:tcBorders>
              <w:top w:val="single" w:sz="8" w:space="0" w:color="FFFFFF" w:themeColor="background1"/>
              <w:left w:val="nil"/>
              <w:bottom w:val="single" w:sz="8" w:space="0" w:color="FFFFFF" w:themeColor="background1"/>
              <w:right w:val="nil"/>
            </w:tcBorders>
            <w:shd w:val="clear" w:color="auto" w:fill="E9E8E5" w:themeFill="background2"/>
            <w:hideMark/>
          </w:tcPr>
          <w:p w:rsidR="00F96D1A" w:rsidRPr="00457478" w:rsidRDefault="00F96D1A" w:rsidP="00BC2453">
            <w:pPr>
              <w:pStyle w:val="TableDataEntries"/>
              <w:spacing w:before="0" w:after="38"/>
              <w:jc w:val="left"/>
            </w:pPr>
            <w:r w:rsidRPr="005F1159">
              <w:t>Moving around indoors: 'Regular space' to 'Extra-wide spaces'</w:t>
            </w:r>
          </w:p>
        </w:tc>
        <w:tc>
          <w:tcPr>
            <w:tcW w:w="923"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38 807</w:t>
            </w:r>
          </w:p>
        </w:tc>
        <w:tc>
          <w:tcPr>
            <w:tcW w:w="89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12.41</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46 119</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14.17</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41 692</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15.73</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48 084</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18.25</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37 415</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11.86</w:t>
            </w:r>
          </w:p>
        </w:tc>
      </w:tr>
      <w:tr w:rsidR="00F96D1A" w:rsidRPr="00457478" w:rsidTr="00BC2453">
        <w:trPr>
          <w:trHeight w:val="500"/>
        </w:trPr>
        <w:tc>
          <w:tcPr>
            <w:tcW w:w="2195" w:type="dxa"/>
            <w:tcBorders>
              <w:top w:val="single" w:sz="8" w:space="0" w:color="FFFFFF" w:themeColor="background1"/>
              <w:left w:val="nil"/>
              <w:bottom w:val="single" w:sz="8" w:space="0" w:color="FFFFFF" w:themeColor="background1"/>
              <w:right w:val="nil"/>
            </w:tcBorders>
            <w:shd w:val="clear" w:color="auto" w:fill="E9E8E5" w:themeFill="background2"/>
            <w:hideMark/>
          </w:tcPr>
          <w:p w:rsidR="00F96D1A" w:rsidRPr="00457478" w:rsidRDefault="00F96D1A" w:rsidP="00BC2453">
            <w:pPr>
              <w:pStyle w:val="TableDataEntries"/>
              <w:spacing w:before="0" w:after="38"/>
              <w:jc w:val="left"/>
            </w:pPr>
            <w:r w:rsidRPr="005F1159">
              <w:t>Living on same level as entrance: 'Unsuitable' to 'Suitable for short visits'</w:t>
            </w:r>
          </w:p>
        </w:tc>
        <w:tc>
          <w:tcPr>
            <w:tcW w:w="923"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70 001</w:t>
            </w:r>
          </w:p>
        </w:tc>
        <w:tc>
          <w:tcPr>
            <w:tcW w:w="89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22.05</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75 619</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22.55</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63 779</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23.46</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84 280</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31.37</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69 838</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21.89</w:t>
            </w:r>
          </w:p>
        </w:tc>
      </w:tr>
      <w:tr w:rsidR="00F96D1A" w:rsidRPr="00457478" w:rsidTr="00BC2453">
        <w:trPr>
          <w:trHeight w:val="500"/>
        </w:trPr>
        <w:tc>
          <w:tcPr>
            <w:tcW w:w="2195" w:type="dxa"/>
            <w:tcBorders>
              <w:top w:val="single" w:sz="8" w:space="0" w:color="FFFFFF" w:themeColor="background1"/>
              <w:left w:val="nil"/>
              <w:bottom w:val="single" w:sz="8" w:space="0" w:color="FFFFFF" w:themeColor="background1"/>
              <w:right w:val="nil"/>
            </w:tcBorders>
            <w:shd w:val="clear" w:color="auto" w:fill="E9E8E5" w:themeFill="background2"/>
            <w:hideMark/>
          </w:tcPr>
          <w:p w:rsidR="00F96D1A" w:rsidRPr="00457478" w:rsidRDefault="00F96D1A" w:rsidP="00BC2453">
            <w:pPr>
              <w:pStyle w:val="TableDataEntries"/>
              <w:spacing w:before="0" w:after="38"/>
              <w:jc w:val="left"/>
            </w:pPr>
            <w:r w:rsidRPr="005F1159">
              <w:t>Living on same level as entrance: 'Unsuitable' to 'Suitable for living or overnight visits'</w:t>
            </w:r>
          </w:p>
        </w:tc>
        <w:tc>
          <w:tcPr>
            <w:tcW w:w="923"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119 298</w:t>
            </w:r>
          </w:p>
        </w:tc>
        <w:tc>
          <w:tcPr>
            <w:tcW w:w="89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37.49</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126 576</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37.72</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103 954</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38.16</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135 018</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50.28</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118 080</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36.92</w:t>
            </w:r>
          </w:p>
        </w:tc>
      </w:tr>
      <w:tr w:rsidR="00F96D1A" w:rsidRPr="00457478" w:rsidTr="00BC2453">
        <w:trPr>
          <w:trHeight w:val="250"/>
        </w:trPr>
        <w:tc>
          <w:tcPr>
            <w:tcW w:w="2195" w:type="dxa"/>
            <w:tcBorders>
              <w:top w:val="single" w:sz="8" w:space="0" w:color="FFFFFF" w:themeColor="background1"/>
              <w:left w:val="nil"/>
              <w:bottom w:val="single" w:sz="8" w:space="0" w:color="FFFFFF" w:themeColor="background1"/>
              <w:right w:val="nil"/>
            </w:tcBorders>
            <w:shd w:val="clear" w:color="auto" w:fill="E9E8E5" w:themeFill="background2"/>
            <w:hideMark/>
          </w:tcPr>
          <w:p w:rsidR="00F96D1A" w:rsidRPr="00457478" w:rsidRDefault="00F96D1A" w:rsidP="00BC2453">
            <w:pPr>
              <w:pStyle w:val="TableDataEntries"/>
              <w:spacing w:before="0" w:after="38"/>
              <w:jc w:val="left"/>
            </w:pPr>
            <w:r w:rsidRPr="005F1159">
              <w:t>Modification that would be needed: 'Significant' to 'Minimal'</w:t>
            </w:r>
          </w:p>
        </w:tc>
        <w:tc>
          <w:tcPr>
            <w:tcW w:w="923"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35 070</w:t>
            </w:r>
          </w:p>
        </w:tc>
        <w:tc>
          <w:tcPr>
            <w:tcW w:w="89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11.34</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38 342</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12.05</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35 835</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14.03</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36 725</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14.04</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36 145</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11.61</w:t>
            </w:r>
          </w:p>
        </w:tc>
      </w:tr>
      <w:tr w:rsidR="00F96D1A" w:rsidRPr="00457478" w:rsidTr="00BC2453">
        <w:trPr>
          <w:trHeight w:val="500"/>
        </w:trPr>
        <w:tc>
          <w:tcPr>
            <w:tcW w:w="2195" w:type="dxa"/>
            <w:tcBorders>
              <w:top w:val="single" w:sz="8" w:space="0" w:color="FFFFFF" w:themeColor="background1"/>
              <w:left w:val="nil"/>
              <w:bottom w:val="single" w:sz="8" w:space="0" w:color="FFFFFF" w:themeColor="background1"/>
              <w:right w:val="nil"/>
            </w:tcBorders>
            <w:shd w:val="clear" w:color="auto" w:fill="E9E8E5" w:themeFill="background2"/>
            <w:hideMark/>
          </w:tcPr>
          <w:p w:rsidR="00F96D1A" w:rsidRPr="00457478" w:rsidRDefault="00F96D1A" w:rsidP="00BC2453">
            <w:pPr>
              <w:pStyle w:val="TableDataEntries"/>
              <w:spacing w:before="0" w:after="38"/>
              <w:jc w:val="left"/>
            </w:pPr>
            <w:r w:rsidRPr="005F1159">
              <w:t>Total size of home compared to similar homes: 'Same' to '5% larger'</w:t>
            </w:r>
          </w:p>
        </w:tc>
        <w:tc>
          <w:tcPr>
            <w:tcW w:w="923"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11 037</w:t>
            </w:r>
          </w:p>
        </w:tc>
        <w:tc>
          <w:tcPr>
            <w:tcW w:w="89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3.56</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14 147</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4.39</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10 204</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3.92</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8 422</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3.12</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11 520</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3.70</w:t>
            </w:r>
          </w:p>
        </w:tc>
      </w:tr>
      <w:tr w:rsidR="00F96D1A" w:rsidRPr="00457478" w:rsidTr="00BC2453">
        <w:trPr>
          <w:trHeight w:val="500"/>
        </w:trPr>
        <w:tc>
          <w:tcPr>
            <w:tcW w:w="2195" w:type="dxa"/>
            <w:tcBorders>
              <w:top w:val="single" w:sz="8" w:space="0" w:color="FFFFFF" w:themeColor="background1"/>
              <w:left w:val="nil"/>
              <w:bottom w:val="single" w:sz="8" w:space="0" w:color="FFFFFF" w:themeColor="background1"/>
              <w:right w:val="nil"/>
            </w:tcBorders>
            <w:shd w:val="clear" w:color="auto" w:fill="E9E8E5" w:themeFill="background2"/>
            <w:hideMark/>
          </w:tcPr>
          <w:p w:rsidR="00F96D1A" w:rsidRPr="00457478" w:rsidRDefault="00F96D1A" w:rsidP="00BC2453">
            <w:pPr>
              <w:pStyle w:val="TableDataEntries"/>
              <w:spacing w:before="0" w:after="38"/>
              <w:jc w:val="left"/>
            </w:pPr>
            <w:r w:rsidRPr="005F1159">
              <w:t>Space used for corridors, bathroom, kitchen, laundry: 40% to 45%</w:t>
            </w:r>
          </w:p>
        </w:tc>
        <w:tc>
          <w:tcPr>
            <w:tcW w:w="923" w:type="dxa"/>
            <w:tcBorders>
              <w:top w:val="single" w:sz="8" w:space="0" w:color="FFFFFF" w:themeColor="background1"/>
              <w:left w:val="nil"/>
              <w:bottom w:val="single" w:sz="8" w:space="0" w:color="FFFFFF" w:themeColor="background1"/>
              <w:right w:val="nil"/>
            </w:tcBorders>
            <w:shd w:val="clear" w:color="auto" w:fill="E9E8E5" w:themeFill="background2"/>
            <w:hideMark/>
          </w:tcPr>
          <w:p w:rsidR="00F96D1A" w:rsidRPr="00EE6938" w:rsidRDefault="00F96D1A" w:rsidP="00BC2453">
            <w:pPr>
              <w:pStyle w:val="TableDataEntries"/>
              <w:spacing w:before="0" w:after="38"/>
              <w:rPr>
                <w:highlight w:val="yellow"/>
              </w:rPr>
            </w:pPr>
            <w:r w:rsidRPr="00CB5575">
              <w:t>-4 107</w:t>
            </w:r>
          </w:p>
        </w:tc>
        <w:tc>
          <w:tcPr>
            <w:tcW w:w="894" w:type="dxa"/>
            <w:tcBorders>
              <w:top w:val="single" w:sz="8" w:space="0" w:color="FFFFFF" w:themeColor="background1"/>
              <w:left w:val="nil"/>
              <w:bottom w:val="single" w:sz="8" w:space="0" w:color="FFFFFF" w:themeColor="background1"/>
              <w:right w:val="nil"/>
            </w:tcBorders>
            <w:shd w:val="clear" w:color="auto" w:fill="E9E8E5" w:themeFill="background2"/>
            <w:hideMark/>
          </w:tcPr>
          <w:p w:rsidR="00F96D1A" w:rsidRPr="00EE6938" w:rsidRDefault="00F96D1A" w:rsidP="00BC2453">
            <w:pPr>
              <w:pStyle w:val="TableDataEntries"/>
              <w:spacing w:before="0" w:after="38"/>
              <w:rPr>
                <w:highlight w:val="yellow"/>
              </w:rPr>
            </w:pPr>
            <w:r w:rsidRPr="00CB5575">
              <w:t>-1.45</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-5 271</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-1.81</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-88</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-0.08</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-2 154</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-1.03</w:t>
            </w:r>
          </w:p>
        </w:tc>
        <w:tc>
          <w:tcPr>
            <w:tcW w:w="1189"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-3 664</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-1.27</w:t>
            </w:r>
          </w:p>
        </w:tc>
      </w:tr>
      <w:tr w:rsidR="00F96D1A" w:rsidRPr="00457478" w:rsidTr="00BC2453">
        <w:trPr>
          <w:trHeight w:val="500"/>
        </w:trPr>
        <w:tc>
          <w:tcPr>
            <w:tcW w:w="2195" w:type="dxa"/>
            <w:tcBorders>
              <w:top w:val="single" w:sz="8" w:space="0" w:color="FFFFFF" w:themeColor="background1"/>
              <w:left w:val="nil"/>
              <w:bottom w:val="single" w:sz="4" w:space="0" w:color="6F6652" w:themeColor="accent5"/>
              <w:right w:val="nil"/>
            </w:tcBorders>
            <w:shd w:val="clear" w:color="auto" w:fill="E9E8E5" w:themeFill="background2"/>
            <w:hideMark/>
          </w:tcPr>
          <w:p w:rsidR="00F96D1A" w:rsidRPr="00457478" w:rsidRDefault="00F96D1A" w:rsidP="00BC2453">
            <w:pPr>
              <w:pStyle w:val="TableDataEntries"/>
              <w:spacing w:before="0" w:after="38"/>
              <w:jc w:val="left"/>
            </w:pPr>
            <w:r w:rsidRPr="005F1159">
              <w:t>Space used for corridors, bathroom, kitchen, laundry: 40% to 50%</w:t>
            </w:r>
          </w:p>
        </w:tc>
        <w:tc>
          <w:tcPr>
            <w:tcW w:w="923" w:type="dxa"/>
            <w:tcBorders>
              <w:top w:val="single" w:sz="8" w:space="0" w:color="FFFFFF" w:themeColor="background1"/>
              <w:left w:val="nil"/>
              <w:bottom w:val="single" w:sz="4" w:space="0" w:color="6F6652" w:themeColor="accent5"/>
              <w:right w:val="nil"/>
            </w:tcBorders>
            <w:shd w:val="clear" w:color="auto" w:fill="E9E8E5" w:themeFill="background2"/>
            <w:hideMark/>
          </w:tcPr>
          <w:p w:rsidR="00F96D1A" w:rsidRPr="00EE6938" w:rsidRDefault="00F96D1A" w:rsidP="00BC2453">
            <w:pPr>
              <w:pStyle w:val="TableDataEntries"/>
              <w:spacing w:before="0" w:after="38"/>
              <w:rPr>
                <w:highlight w:val="yellow"/>
              </w:rPr>
            </w:pPr>
            <w:r w:rsidRPr="00CB5575">
              <w:t>-6 775</w:t>
            </w:r>
          </w:p>
        </w:tc>
        <w:tc>
          <w:tcPr>
            <w:tcW w:w="894" w:type="dxa"/>
            <w:tcBorders>
              <w:top w:val="single" w:sz="8" w:space="0" w:color="FFFFFF" w:themeColor="background1"/>
              <w:left w:val="nil"/>
              <w:bottom w:val="single" w:sz="4" w:space="0" w:color="6F6652" w:themeColor="accent5"/>
              <w:right w:val="nil"/>
            </w:tcBorders>
            <w:shd w:val="clear" w:color="auto" w:fill="E9E8E5" w:themeFill="background2"/>
            <w:hideMark/>
          </w:tcPr>
          <w:p w:rsidR="00F96D1A" w:rsidRPr="00EE6938" w:rsidRDefault="00F96D1A" w:rsidP="00BC2453">
            <w:pPr>
              <w:pStyle w:val="TableDataEntries"/>
              <w:spacing w:before="0" w:after="38"/>
              <w:rPr>
                <w:highlight w:val="yellow"/>
              </w:rPr>
            </w:pPr>
            <w:r w:rsidRPr="00CB5575">
              <w:t>-2.28</w:t>
            </w:r>
          </w:p>
        </w:tc>
        <w:tc>
          <w:tcPr>
            <w:tcW w:w="1189" w:type="dxa"/>
            <w:tcBorders>
              <w:top w:val="single" w:sz="8" w:space="0" w:color="FFFFFF" w:themeColor="background1"/>
              <w:left w:val="nil"/>
              <w:bottom w:val="single" w:sz="4" w:space="0" w:color="6F6652" w:themeColor="accent5"/>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-8 295</w:t>
            </w:r>
          </w:p>
        </w:tc>
        <w:tc>
          <w:tcPr>
            <w:tcW w:w="1134" w:type="dxa"/>
            <w:tcBorders>
              <w:top w:val="single" w:sz="8" w:space="0" w:color="FFFFFF" w:themeColor="background1"/>
              <w:left w:val="nil"/>
              <w:bottom w:val="single" w:sz="4" w:space="0" w:color="6F6652" w:themeColor="accent5"/>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-2.77</w:t>
            </w:r>
          </w:p>
        </w:tc>
        <w:tc>
          <w:tcPr>
            <w:tcW w:w="1189" w:type="dxa"/>
            <w:tcBorders>
              <w:top w:val="single" w:sz="8" w:space="0" w:color="FFFFFF" w:themeColor="background1"/>
              <w:left w:val="nil"/>
              <w:bottom w:val="single" w:sz="4" w:space="0" w:color="6F6652" w:themeColor="accent5"/>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-4 130</w:t>
            </w:r>
          </w:p>
        </w:tc>
        <w:tc>
          <w:tcPr>
            <w:tcW w:w="1134" w:type="dxa"/>
            <w:tcBorders>
              <w:top w:val="single" w:sz="8" w:space="0" w:color="FFFFFF" w:themeColor="background1"/>
              <w:left w:val="nil"/>
              <w:bottom w:val="single" w:sz="4" w:space="0" w:color="6F6652" w:themeColor="accent5"/>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-1.63</w:t>
            </w:r>
          </w:p>
        </w:tc>
        <w:tc>
          <w:tcPr>
            <w:tcW w:w="1189" w:type="dxa"/>
            <w:tcBorders>
              <w:top w:val="single" w:sz="8" w:space="0" w:color="FFFFFF" w:themeColor="background1"/>
              <w:left w:val="nil"/>
              <w:bottom w:val="single" w:sz="4" w:space="0" w:color="6F6652" w:themeColor="accent5"/>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-3 862</w:t>
            </w:r>
          </w:p>
        </w:tc>
        <w:tc>
          <w:tcPr>
            <w:tcW w:w="1134" w:type="dxa"/>
            <w:tcBorders>
              <w:top w:val="single" w:sz="8" w:space="0" w:color="FFFFFF" w:themeColor="background1"/>
              <w:left w:val="nil"/>
              <w:bottom w:val="single" w:sz="4" w:space="0" w:color="6F6652" w:themeColor="accent5"/>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-1.51</w:t>
            </w:r>
          </w:p>
        </w:tc>
        <w:tc>
          <w:tcPr>
            <w:tcW w:w="1189" w:type="dxa"/>
            <w:tcBorders>
              <w:top w:val="single" w:sz="8" w:space="0" w:color="FFFFFF" w:themeColor="background1"/>
              <w:left w:val="nil"/>
              <w:bottom w:val="single" w:sz="4" w:space="0" w:color="6F6652" w:themeColor="accent5"/>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-7 472</w:t>
            </w:r>
          </w:p>
        </w:tc>
        <w:tc>
          <w:tcPr>
            <w:tcW w:w="1134" w:type="dxa"/>
            <w:tcBorders>
              <w:top w:val="single" w:sz="8" w:space="0" w:color="FFFFFF" w:themeColor="background1"/>
              <w:left w:val="nil"/>
              <w:bottom w:val="single" w:sz="4" w:space="0" w:color="6F6652" w:themeColor="accent5"/>
              <w:right w:val="nil"/>
            </w:tcBorders>
            <w:shd w:val="clear" w:color="auto" w:fill="E9E8E5" w:themeFill="background2"/>
          </w:tcPr>
          <w:p w:rsidR="00F96D1A" w:rsidRPr="00EE6938" w:rsidRDefault="00F96D1A" w:rsidP="00BC2453">
            <w:pPr>
              <w:pStyle w:val="TableDataEntries"/>
              <w:spacing w:before="0" w:after="38"/>
              <w:rPr>
                <w:highlight w:val="yellow"/>
              </w:rPr>
            </w:pPr>
            <w:r w:rsidRPr="00CB5575">
              <w:t>-2.48</w:t>
            </w:r>
          </w:p>
        </w:tc>
      </w:tr>
    </w:tbl>
    <w:p w:rsidR="00F96D1A" w:rsidRDefault="00F96D1A" w:rsidP="00F96D1A">
      <w:pPr>
        <w:pStyle w:val="Note"/>
      </w:pPr>
      <w:r w:rsidRPr="007D1B4F">
        <w:rPr>
          <w:i/>
        </w:rPr>
        <w:t>Note:</w:t>
      </w:r>
      <w:r w:rsidRPr="00E879B8">
        <w:t xml:space="preserve"> </w:t>
      </w:r>
      <w:r>
        <w:t>n* denotes sample size with reweighting applied, evaluated at reference price.</w:t>
      </w:r>
    </w:p>
    <w:p w:rsidR="00F96D1A" w:rsidRDefault="00F96D1A" w:rsidP="00F96D1A">
      <w:pPr>
        <w:pStyle w:val="Source"/>
      </w:pPr>
      <w:r>
        <w:rPr>
          <w:i/>
        </w:rPr>
        <w:t>Source</w:t>
      </w:r>
      <w:r w:rsidRPr="00E4232C">
        <w:rPr>
          <w:i/>
        </w:rPr>
        <w:t>:</w:t>
      </w:r>
      <w:r>
        <w:t xml:space="preserve"> CIE.</w:t>
      </w:r>
    </w:p>
    <w:p w:rsidR="00F96D1A" w:rsidRDefault="00F96D1A" w:rsidP="00F96D1A">
      <w:pPr>
        <w:sectPr w:rsidR="00F96D1A" w:rsidSect="00F96D1A">
          <w:headerReference w:type="even" r:id="rId62"/>
          <w:headerReference w:type="default" r:id="rId63"/>
          <w:footerReference w:type="even" r:id="rId64"/>
          <w:footerReference w:type="default" r:id="rId65"/>
          <w:pgSz w:w="16838" w:h="11906" w:orient="landscape" w:code="9"/>
          <w:pgMar w:top="1135" w:right="2268" w:bottom="993" w:left="1417" w:header="567" w:footer="624" w:gutter="0"/>
          <w:cols w:space="708"/>
          <w:docGrid w:linePitch="360"/>
        </w:sectPr>
      </w:pPr>
    </w:p>
    <w:p w:rsidR="007C6A5F" w:rsidRDefault="007C6A5F" w:rsidP="007C6A5F">
      <w:pPr>
        <w:pStyle w:val="Heading7"/>
        <w:numPr>
          <w:ilvl w:val="6"/>
          <w:numId w:val="5"/>
        </w:numPr>
        <w:spacing w:before="0"/>
        <w:rPr>
          <w:lang w:eastAsia="en-US"/>
        </w:rPr>
      </w:pPr>
      <w:r>
        <w:rPr>
          <w:lang w:eastAsia="en-US"/>
        </w:rPr>
        <w:lastRenderedPageBreak/>
        <w:t>Willingness to pay to improve housing outcomes for others</w:t>
      </w:r>
    </w:p>
    <w:p w:rsidR="007C6A5F" w:rsidRDefault="007C6A5F" w:rsidP="007C6A5F">
      <w:pPr>
        <w:pStyle w:val="BodyText"/>
        <w:rPr>
          <w:lang w:eastAsia="en-US"/>
        </w:rPr>
      </w:pPr>
      <w:r>
        <w:rPr>
          <w:lang w:eastAsia="en-US"/>
        </w:rPr>
        <w:t>Responses to the CV question resulted in a downward-sloping demand curve, with around 37 per cent of respondents asked at the $5 cost level indicating they would definitely vote for the policy, compared with 9 per cent of respondents asked at the $500 cost level.</w:t>
      </w:r>
    </w:p>
    <w:p w:rsidR="007C6A5F" w:rsidRDefault="007C6A5F" w:rsidP="007C6A5F">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w:instrText>
      </w:r>
      <w:r w:rsidRPr="00695C93">
        <w:fldChar w:fldCharType="separate"/>
      </w:r>
      <w:r>
        <w:rPr>
          <w:noProof/>
        </w:rPr>
        <w:instrText>K</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19</w:instrText>
      </w:r>
      <w:r w:rsidRPr="00695C93">
        <w:fldChar w:fldCharType="end"/>
      </w:r>
      <w:r w:rsidRPr="00695C93">
        <w:instrText xml:space="preserve">" "" </w:instrText>
      </w:r>
      <w:r w:rsidRPr="00695C93">
        <w:fldChar w:fldCharType="separate"/>
      </w:r>
      <w:bookmarkStart w:id="9603" w:name="_Caption5979"/>
      <w:bookmarkStart w:id="9604" w:name="_Caption9854"/>
      <w:bookmarkStart w:id="9605" w:name="_Caption8186"/>
      <w:bookmarkStart w:id="9606" w:name="_Caption8642"/>
      <w:bookmarkStart w:id="9607" w:name="_Toc44598649"/>
      <w:bookmarkStart w:id="9608" w:name="_Toc45654280"/>
      <w:r w:rsidR="00272AF3">
        <w:rPr>
          <w:noProof/>
        </w:rPr>
        <w:t>K</w:t>
      </w:r>
      <w:r w:rsidR="00272AF3" w:rsidRPr="00695C93">
        <w:rPr>
          <w:noProof/>
        </w:rPr>
        <w:t>.</w:t>
      </w:r>
      <w:r w:rsidR="00272AF3">
        <w:rPr>
          <w:noProof/>
        </w:rPr>
        <w:t>19</w:t>
      </w:r>
      <w:bookmarkEnd w:id="9603"/>
      <w:bookmarkEnd w:id="9604"/>
      <w:bookmarkEnd w:id="9605"/>
      <w:bookmarkEnd w:id="9606"/>
      <w:r w:rsidRPr="00695C93">
        <w:fldChar w:fldCharType="end"/>
      </w:r>
      <w:r w:rsidRPr="00695C93">
        <w:tab/>
      </w:r>
      <w:bookmarkStart w:id="9609" w:name="_Toc32321938"/>
      <w:r>
        <w:t>Responses to contingent valuation question</w:t>
      </w:r>
      <w:bookmarkEnd w:id="9607"/>
      <w:bookmarkEnd w:id="9608"/>
      <w:bookmarkEnd w:id="9609"/>
    </w:p>
    <w:p w:rsidR="007C6A5F" w:rsidRDefault="007C6A5F" w:rsidP="007C6A5F">
      <w:pPr>
        <w:pStyle w:val="Subtitlebox"/>
      </w:pPr>
      <w:r w:rsidRPr="002A441B">
        <w:rPr>
          <w:noProof/>
        </w:rPr>
        <w:drawing>
          <wp:inline distT="0" distB="0" distL="0" distR="0" wp14:anchorId="0F072DFA" wp14:editId="6BFEFDEF">
            <wp:extent cx="4971429" cy="2504762"/>
            <wp:effectExtent l="57150" t="57150" r="57785" b="48260"/>
            <wp:docPr id="54" name="Picture 54" descr="Chart K.19 - stribution of renter WTP to move from ‘regular spaces’ to ‘wide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71429" cy="2504762"/>
                    </a:xfrm>
                    <a:prstGeom prst="rect">
                      <a:avLst/>
                    </a:prstGeom>
                    <a:ln w="57150">
                      <a:solidFill>
                        <a:schemeClr val="bg2"/>
                      </a:solidFill>
                    </a:ln>
                  </pic:spPr>
                </pic:pic>
              </a:graphicData>
            </a:graphic>
          </wp:inline>
        </w:drawing>
      </w:r>
    </w:p>
    <w:p w:rsidR="007C6A5F" w:rsidRDefault="007C6A5F" w:rsidP="007C6A5F">
      <w:pPr>
        <w:pStyle w:val="Source"/>
      </w:pPr>
      <w:r>
        <w:rPr>
          <w:i/>
        </w:rPr>
        <w:t>Data source</w:t>
      </w:r>
      <w:r w:rsidRPr="00A67576">
        <w:rPr>
          <w:i/>
        </w:rPr>
        <w:t>:</w:t>
      </w:r>
      <w:r>
        <w:t xml:space="preserve"> CIE</w:t>
      </w:r>
      <w:r w:rsidR="00DE71A3">
        <w:t>.</w:t>
      </w:r>
    </w:p>
    <w:p w:rsidR="007C6A5F" w:rsidRDefault="007C6A5F" w:rsidP="007C6A5F">
      <w:pPr>
        <w:pStyle w:val="BodyText"/>
        <w:rPr>
          <w:lang w:eastAsia="en-US"/>
        </w:rPr>
      </w:pPr>
      <w:r>
        <w:rPr>
          <w:lang w:eastAsia="en-US"/>
        </w:rPr>
        <w:t>There was negligible correlation between cost and the extent to which respondents considered others, with average consideration of others of 7.0, 7.1, 7.1 and 7.0 across the $5, $20, $100 and $500 cost levels. There is therefore no need to apply a scaling factor for extent of consideration of others to individual observations in the calculation of WTP and we can instead apply the scaling factor to the final calculation of average WTP.</w:t>
      </w:r>
    </w:p>
    <w:p w:rsidR="007C6A5F" w:rsidRDefault="007C6A5F" w:rsidP="007C6A5F">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w:instrText>
      </w:r>
      <w:r w:rsidRPr="00695C93">
        <w:fldChar w:fldCharType="separate"/>
      </w:r>
      <w:r>
        <w:rPr>
          <w:b/>
          <w:bCs/>
          <w:noProof/>
          <w:lang w:val="en-US"/>
        </w:rPr>
        <w:instrText>Error! No text of specified style in document.</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w:instrText>
      </w:r>
      <w:r w:rsidRPr="00695C93">
        <w:fldChar w:fldCharType="separate"/>
      </w:r>
      <w:r>
        <w:rPr>
          <w:noProof/>
        </w:rPr>
        <w:instrText>K</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K</w:instrText>
      </w:r>
      <w:r>
        <w:rPr>
          <w:noProof/>
        </w:rPr>
        <w:fldChar w:fldCharType="end"/>
      </w:r>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20</w:instrText>
      </w:r>
      <w:r w:rsidRPr="00695C93">
        <w:fldChar w:fldCharType="end"/>
      </w:r>
      <w:r w:rsidRPr="00695C93">
        <w:instrText xml:space="preserve">" "" </w:instrText>
      </w:r>
      <w:r w:rsidRPr="00695C93">
        <w:fldChar w:fldCharType="separate"/>
      </w:r>
      <w:bookmarkStart w:id="9610" w:name="_Caption9758"/>
      <w:bookmarkStart w:id="9611" w:name="_Caption2528"/>
      <w:bookmarkStart w:id="9612" w:name="_Caption8827"/>
      <w:bookmarkStart w:id="9613" w:name="_Caption6564"/>
      <w:bookmarkStart w:id="9614" w:name="_Caption2362"/>
      <w:bookmarkStart w:id="9615" w:name="_Caption2937"/>
      <w:bookmarkStart w:id="9616" w:name="_Caption9701"/>
      <w:bookmarkStart w:id="9617" w:name="_Caption9420"/>
      <w:bookmarkStart w:id="9618" w:name="_Caption4773"/>
      <w:bookmarkStart w:id="9619" w:name="_Caption1465"/>
      <w:bookmarkStart w:id="9620" w:name="_Caption8408"/>
      <w:bookmarkStart w:id="9621" w:name="_Caption8669"/>
      <w:bookmarkStart w:id="9622" w:name="_Caption4689"/>
      <w:bookmarkStart w:id="9623" w:name="_Caption9293"/>
      <w:bookmarkStart w:id="9624" w:name="_Caption8915"/>
      <w:bookmarkStart w:id="9625" w:name="_Caption5103"/>
      <w:bookmarkStart w:id="9626" w:name="_Caption6078"/>
      <w:bookmarkStart w:id="9627" w:name="_Caption1362"/>
      <w:bookmarkStart w:id="9628" w:name="_Caption6361"/>
      <w:bookmarkStart w:id="9629" w:name="_Caption2886"/>
      <w:bookmarkStart w:id="9630" w:name="_Caption8847"/>
      <w:bookmarkStart w:id="9631" w:name="_Caption8493"/>
      <w:bookmarkStart w:id="9632" w:name="_Caption3752"/>
      <w:bookmarkStart w:id="9633" w:name="_Caption4323"/>
      <w:bookmarkStart w:id="9634" w:name="_Caption8152"/>
      <w:bookmarkStart w:id="9635" w:name="_Caption6185"/>
      <w:bookmarkStart w:id="9636" w:name="_Caption6671"/>
      <w:bookmarkStart w:id="9637" w:name="_Caption1059"/>
      <w:bookmarkStart w:id="9638" w:name="_Caption2933"/>
      <w:bookmarkStart w:id="9639" w:name="_Caption8615"/>
      <w:bookmarkStart w:id="9640" w:name="_Caption3515"/>
      <w:bookmarkStart w:id="9641" w:name="_Caption6566"/>
      <w:bookmarkStart w:id="9642" w:name="_Caption0024"/>
      <w:bookmarkStart w:id="9643" w:name="_Caption8422"/>
      <w:bookmarkStart w:id="9644" w:name="_Caption2979"/>
      <w:bookmarkStart w:id="9645" w:name="_Caption4948"/>
      <w:bookmarkStart w:id="9646" w:name="_Caption0509"/>
      <w:bookmarkStart w:id="9647" w:name="_Caption7859"/>
      <w:bookmarkStart w:id="9648" w:name="_Caption1371"/>
      <w:bookmarkStart w:id="9649" w:name="_Caption5034"/>
      <w:bookmarkStart w:id="9650" w:name="_Caption2125"/>
      <w:bookmarkStart w:id="9651" w:name="_Caption7374"/>
      <w:bookmarkStart w:id="9652" w:name="_Caption4820"/>
      <w:bookmarkStart w:id="9653" w:name="_Caption0615"/>
      <w:bookmarkStart w:id="9654" w:name="_Caption3593"/>
      <w:bookmarkStart w:id="9655" w:name="_Caption3233"/>
      <w:bookmarkStart w:id="9656" w:name="_Caption9965"/>
      <w:bookmarkStart w:id="9657" w:name="_Caption8595"/>
      <w:bookmarkStart w:id="9658" w:name="_Caption9350"/>
      <w:bookmarkStart w:id="9659" w:name="_Caption2221"/>
      <w:bookmarkStart w:id="9660" w:name="_Caption1958"/>
      <w:bookmarkStart w:id="9661" w:name="_Caption0026"/>
      <w:bookmarkStart w:id="9662" w:name="_Caption4431"/>
      <w:bookmarkStart w:id="9663" w:name="_Caption2126"/>
      <w:bookmarkStart w:id="9664" w:name="_Caption0349"/>
      <w:bookmarkStart w:id="9665" w:name="_Caption4998"/>
      <w:bookmarkStart w:id="9666" w:name="_Caption4215"/>
      <w:bookmarkStart w:id="9667" w:name="_Caption0324"/>
      <w:bookmarkStart w:id="9668" w:name="_Caption4553"/>
      <w:bookmarkStart w:id="9669" w:name="_Caption5416"/>
      <w:bookmarkStart w:id="9670" w:name="_Caption6757"/>
      <w:bookmarkStart w:id="9671" w:name="_Caption6304"/>
      <w:bookmarkStart w:id="9672" w:name="_Caption3368"/>
      <w:bookmarkStart w:id="9673" w:name="_Caption4417"/>
      <w:bookmarkStart w:id="9674" w:name="_Caption6324"/>
      <w:bookmarkStart w:id="9675" w:name="_Caption5344"/>
      <w:bookmarkStart w:id="9676" w:name="_Caption3479"/>
      <w:bookmarkStart w:id="9677" w:name="_Caption5567"/>
      <w:bookmarkStart w:id="9678" w:name="_Caption1580"/>
      <w:bookmarkStart w:id="9679" w:name="_Caption2264"/>
      <w:bookmarkStart w:id="9680" w:name="_Caption9299"/>
      <w:bookmarkStart w:id="9681" w:name="_Caption9056"/>
      <w:bookmarkStart w:id="9682" w:name="_Caption1382"/>
      <w:bookmarkStart w:id="9683" w:name="_Caption0293"/>
      <w:bookmarkStart w:id="9684" w:name="_Caption0554"/>
      <w:bookmarkStart w:id="9685" w:name="_Caption5184"/>
      <w:bookmarkStart w:id="9686" w:name="_Caption0442"/>
      <w:bookmarkStart w:id="9687" w:name="_Caption5486"/>
      <w:bookmarkStart w:id="9688" w:name="_Caption4180"/>
      <w:bookmarkStart w:id="9689" w:name="_Caption2950"/>
      <w:bookmarkStart w:id="9690" w:name="_Caption7159"/>
      <w:bookmarkStart w:id="9691" w:name="_Caption4229"/>
      <w:bookmarkStart w:id="9692" w:name="_Caption1620"/>
      <w:bookmarkStart w:id="9693" w:name="_Caption7714"/>
      <w:bookmarkStart w:id="9694" w:name="_Caption6913"/>
      <w:bookmarkStart w:id="9695" w:name="_Caption3067"/>
      <w:bookmarkStart w:id="9696" w:name="_Caption0994"/>
      <w:bookmarkStart w:id="9697" w:name="_Caption1893"/>
      <w:bookmarkStart w:id="9698" w:name="_Caption2604"/>
      <w:bookmarkStart w:id="9699" w:name="_Caption7817"/>
      <w:bookmarkStart w:id="9700" w:name="_Caption5972"/>
      <w:bookmarkStart w:id="9701" w:name="_Toc32321939"/>
      <w:bookmarkStart w:id="9702" w:name="_Toc44598650"/>
      <w:bookmarkStart w:id="9703" w:name="_Toc45654281"/>
      <w:r w:rsidR="00272AF3">
        <w:rPr>
          <w:noProof/>
        </w:rPr>
        <w:t>K</w:t>
      </w:r>
      <w:r w:rsidR="00272AF3" w:rsidRPr="00695C93">
        <w:rPr>
          <w:noProof/>
        </w:rPr>
        <w:t>.</w:t>
      </w:r>
      <w:r w:rsidR="00272AF3">
        <w:rPr>
          <w:noProof/>
        </w:rPr>
        <w:t>20</w:t>
      </w:r>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r w:rsidRPr="00695C93">
        <w:fldChar w:fldCharType="end"/>
      </w:r>
      <w:r w:rsidRPr="00695C93">
        <w:tab/>
      </w:r>
      <w:r>
        <w:t>Consideration of others by cost level shown in contingent valuation question</w:t>
      </w:r>
      <w:bookmarkEnd w:id="9701"/>
      <w:bookmarkEnd w:id="9702"/>
      <w:bookmarkEnd w:id="9703"/>
    </w:p>
    <w:p w:rsidR="007C6A5F" w:rsidRDefault="007C6A5F" w:rsidP="007C6A5F">
      <w:pPr>
        <w:pStyle w:val="Subtitlebox"/>
      </w:pPr>
      <w:r w:rsidRPr="002A441B">
        <w:rPr>
          <w:noProof/>
        </w:rPr>
        <w:drawing>
          <wp:inline distT="0" distB="0" distL="0" distR="0" wp14:anchorId="1CB331E7" wp14:editId="6595AF23">
            <wp:extent cx="5019048" cy="2504762"/>
            <wp:effectExtent l="57150" t="57150" r="48260" b="48260"/>
            <wp:docPr id="55" name="Picture 55" descr="Chart K.20 - Consideration of others by cost level shown in contingent valuation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19048" cy="2504762"/>
                    </a:xfrm>
                    <a:prstGeom prst="rect">
                      <a:avLst/>
                    </a:prstGeom>
                    <a:ln w="57150">
                      <a:solidFill>
                        <a:schemeClr val="bg2"/>
                      </a:solidFill>
                    </a:ln>
                  </pic:spPr>
                </pic:pic>
              </a:graphicData>
            </a:graphic>
          </wp:inline>
        </w:drawing>
      </w:r>
    </w:p>
    <w:p w:rsidR="007C6A5F" w:rsidRDefault="007C6A5F" w:rsidP="007C6A5F">
      <w:pPr>
        <w:pStyle w:val="Source"/>
      </w:pPr>
      <w:r>
        <w:rPr>
          <w:i/>
        </w:rPr>
        <w:t>Data source</w:t>
      </w:r>
      <w:r w:rsidRPr="00A67576">
        <w:rPr>
          <w:i/>
        </w:rPr>
        <w:t>:</w:t>
      </w:r>
      <w:r>
        <w:t xml:space="preserve"> CIE.</w:t>
      </w:r>
    </w:p>
    <w:p w:rsidR="007C6A5F" w:rsidRDefault="007C6A5F" w:rsidP="007C6A5F">
      <w:pPr>
        <w:pStyle w:val="BodyText"/>
        <w:rPr>
          <w:lang w:eastAsia="en-US"/>
        </w:rPr>
      </w:pPr>
      <w:r>
        <w:rPr>
          <w:lang w:eastAsia="en-US"/>
        </w:rPr>
        <w:lastRenderedPageBreak/>
        <w:t>The Turnbull lower bound of expected mean WTP is $58 per year after accounting for the sample reweighting. This is a conservative estimate calculated by treating ‘probably yes’ responses as ‘no’ votes, consistent with the approach typically used for certainty scales in environmental valuation where ‘yea saying’ is a concern. A less conservative approach in which ‘probably yes’ votes are treated as ‘definitely yes’ votes at the next-lowest level in the cost vector gives a Turnbull lower bound expected mean WTP of $100 per year.</w:t>
      </w:r>
    </w:p>
    <w:p w:rsidR="007C6A5F" w:rsidRDefault="007C6A5F" w:rsidP="007C6A5F">
      <w:pPr>
        <w:pStyle w:val="BodyText"/>
        <w:rPr>
          <w:lang w:eastAsia="en-US"/>
        </w:rPr>
      </w:pPr>
      <w:r>
        <w:rPr>
          <w:lang w:eastAsia="en-US"/>
        </w:rPr>
        <w:t>Multiplying the $58 figure discussed above by the survey completion rate of 97 per cent and the average extent to which responses were based on consideration of others of 71 per cent gives an adjusted estimate of average WTP of $40 per year.</w:t>
      </w:r>
    </w:p>
    <w:p w:rsidR="007C6A5F" w:rsidRDefault="007C6A5F" w:rsidP="007C6A5F">
      <w:pPr>
        <w:pStyle w:val="Heading7"/>
        <w:numPr>
          <w:ilvl w:val="6"/>
          <w:numId w:val="5"/>
        </w:numPr>
        <w:spacing w:before="480"/>
        <w:rPr>
          <w:lang w:eastAsia="en-US"/>
        </w:rPr>
      </w:pPr>
      <w:r>
        <w:rPr>
          <w:lang w:eastAsia="en-US"/>
        </w:rPr>
        <w:t>Debriefing questions</w:t>
      </w:r>
    </w:p>
    <w:p w:rsidR="007C6A5F" w:rsidRDefault="007C6A5F" w:rsidP="007C6A5F">
      <w:pPr>
        <w:pStyle w:val="BodyText"/>
        <w:rPr>
          <w:lang w:eastAsia="en-US"/>
        </w:rPr>
      </w:pPr>
      <w:r>
        <w:rPr>
          <w:lang w:eastAsia="en-US"/>
        </w:rPr>
        <w:t xml:space="preserve">Respondents that did not indicate they would definitely or probably vote for the policy to increase accessible housing were asked the reason for their decision. The most common reasons given were that governments should deliver the outcomes without imposing a cost on the respondent and a concern that governments may not deliver the outcomes. There is a question as to whether the responses to the valuation question by these respondents should be excluded as ‘protest responses’ that are not a true measure of the respondent’s preferences over delivered outcomes. We prefer to retain these responses, as excluding them may bias the results where there is correlation between underlying WTP and mistrust of governments. </w:t>
      </w:r>
    </w:p>
    <w:p w:rsidR="007C6A5F" w:rsidRDefault="007C6A5F" w:rsidP="007C6A5F">
      <w:pPr>
        <w:pStyle w:val="Caption"/>
        <w:spacing w:before="240"/>
      </w:pPr>
      <w:r w:rsidRPr="00017849">
        <w:fldChar w:fldCharType="begin"/>
      </w:r>
      <w:r w:rsidRPr="00017849">
        <w:instrText xml:space="preserve"> IF 1 = 1 "</w:instrText>
      </w:r>
      <w:r w:rsidRPr="00017849">
        <w:fldChar w:fldCharType="begin"/>
      </w:r>
      <w:r w:rsidRPr="00017849">
        <w:instrText xml:space="preserve"> IF </w:instrText>
      </w:r>
      <w:r w:rsidRPr="00017849">
        <w:rPr>
          <w:noProof/>
        </w:rPr>
        <w:fldChar w:fldCharType="begin"/>
      </w:r>
      <w:r w:rsidRPr="00017849">
        <w:rPr>
          <w:noProof/>
        </w:rPr>
        <w:instrText xml:space="preserve"> STYLEREF "Heading 6" \l \n </w:instrText>
      </w:r>
      <w:r w:rsidRPr="00017849">
        <w:rPr>
          <w:noProof/>
        </w:rPr>
        <w:fldChar w:fldCharType="separate"/>
      </w:r>
      <w:r w:rsidRPr="00017849">
        <w:rPr>
          <w:noProof/>
        </w:rPr>
        <w:instrText>K</w:instrText>
      </w:r>
      <w:r w:rsidRPr="00017849">
        <w:rPr>
          <w:noProof/>
        </w:rPr>
        <w:fldChar w:fldCharType="end"/>
      </w:r>
      <w:r w:rsidRPr="00017849">
        <w:instrText xml:space="preserve"> = 0 "</w:instrText>
      </w:r>
      <w:r w:rsidRPr="00017849">
        <w:fldChar w:fldCharType="begin"/>
      </w:r>
      <w:r w:rsidRPr="00017849">
        <w:instrText xml:space="preserve"> IF </w:instrText>
      </w:r>
      <w:r w:rsidRPr="00017849">
        <w:rPr>
          <w:noProof/>
        </w:rPr>
        <w:fldChar w:fldCharType="begin"/>
      </w:r>
      <w:r w:rsidRPr="00017849">
        <w:rPr>
          <w:noProof/>
        </w:rPr>
        <w:instrText xml:space="preserve"> STYLEREF "Heading 1" \l \n </w:instrText>
      </w:r>
      <w:r w:rsidRPr="00017849">
        <w:rPr>
          <w:noProof/>
        </w:rPr>
        <w:fldChar w:fldCharType="separate"/>
      </w:r>
      <w:r w:rsidRPr="00017849">
        <w:rPr>
          <w:noProof/>
        </w:rPr>
        <w:instrText>0</w:instrText>
      </w:r>
      <w:r w:rsidRPr="00017849">
        <w:rPr>
          <w:noProof/>
        </w:rPr>
        <w:fldChar w:fldCharType="end"/>
      </w:r>
      <w:r w:rsidRPr="00017849">
        <w:instrText xml:space="preserve"> = 0 "" "</w:instrText>
      </w:r>
      <w:r w:rsidRPr="00017849">
        <w:rPr>
          <w:noProof/>
        </w:rPr>
        <w:fldChar w:fldCharType="begin"/>
      </w:r>
      <w:r w:rsidRPr="00017849">
        <w:rPr>
          <w:noProof/>
        </w:rPr>
        <w:instrText xml:space="preserve"> STYLEREF "Heading 1" \l \n </w:instrText>
      </w:r>
      <w:r w:rsidRPr="00017849">
        <w:rPr>
          <w:noProof/>
        </w:rPr>
        <w:fldChar w:fldCharType="separate"/>
      </w:r>
      <w:r w:rsidRPr="00017849">
        <w:rPr>
          <w:noProof/>
        </w:rPr>
        <w:instrText>2</w:instrText>
      </w:r>
      <w:r w:rsidRPr="00017849">
        <w:rPr>
          <w:noProof/>
        </w:rPr>
        <w:fldChar w:fldCharType="end"/>
      </w:r>
      <w:r w:rsidRPr="00017849">
        <w:instrText xml:space="preserve">." </w:instrText>
      </w:r>
      <w:r w:rsidRPr="00017849">
        <w:fldChar w:fldCharType="end"/>
      </w:r>
      <w:r w:rsidRPr="00017849">
        <w:instrText>" "</w:instrText>
      </w:r>
      <w:r w:rsidRPr="00017849">
        <w:rPr>
          <w:noProof/>
        </w:rPr>
        <w:fldChar w:fldCharType="begin"/>
      </w:r>
      <w:r w:rsidRPr="00017849">
        <w:rPr>
          <w:noProof/>
        </w:rPr>
        <w:instrText xml:space="preserve"> STYLEREF "Heading 6" \l \n </w:instrText>
      </w:r>
      <w:r w:rsidRPr="00017849">
        <w:rPr>
          <w:noProof/>
        </w:rPr>
        <w:fldChar w:fldCharType="separate"/>
      </w:r>
      <w:r w:rsidRPr="00017849">
        <w:rPr>
          <w:noProof/>
        </w:rPr>
        <w:instrText>K</w:instrText>
      </w:r>
      <w:r w:rsidRPr="00017849">
        <w:rPr>
          <w:noProof/>
        </w:rPr>
        <w:fldChar w:fldCharType="end"/>
      </w:r>
      <w:r w:rsidRPr="00017849">
        <w:instrText xml:space="preserve">." </w:instrText>
      </w:r>
      <w:r w:rsidRPr="00017849">
        <w:fldChar w:fldCharType="separate"/>
      </w:r>
      <w:r w:rsidRPr="00017849">
        <w:rPr>
          <w:noProof/>
        </w:rPr>
        <w:instrText>K.</w:instrText>
      </w:r>
      <w:r w:rsidRPr="00017849">
        <w:fldChar w:fldCharType="end"/>
      </w:r>
      <w:r w:rsidRPr="00017849">
        <w:fldChar w:fldCharType="begin"/>
      </w:r>
      <w:r w:rsidRPr="00017849">
        <w:instrText xml:space="preserve"> SEQ Item \* ARABIC \s </w:instrText>
      </w:r>
      <w:r w:rsidRPr="00017849">
        <w:fldChar w:fldCharType="begin"/>
      </w:r>
      <w:r w:rsidRPr="00017849">
        <w:instrText xml:space="preserve"> IF </w:instrText>
      </w:r>
      <w:r w:rsidRPr="00017849">
        <w:rPr>
          <w:noProof/>
        </w:rPr>
        <w:fldChar w:fldCharType="begin"/>
      </w:r>
      <w:r w:rsidRPr="00017849">
        <w:rPr>
          <w:noProof/>
        </w:rPr>
        <w:instrText xml:space="preserve"> STYLEREF "Heading 6" \l \n </w:instrText>
      </w:r>
      <w:r w:rsidRPr="00017849">
        <w:rPr>
          <w:noProof/>
        </w:rPr>
        <w:fldChar w:fldCharType="separate"/>
      </w:r>
      <w:r w:rsidRPr="00017849">
        <w:rPr>
          <w:noProof/>
        </w:rPr>
        <w:instrText>K</w:instrText>
      </w:r>
      <w:r w:rsidRPr="00017849">
        <w:rPr>
          <w:noProof/>
        </w:rPr>
        <w:fldChar w:fldCharType="end"/>
      </w:r>
      <w:r w:rsidRPr="00017849">
        <w:instrText xml:space="preserve"> = 0 "</w:instrText>
      </w:r>
      <w:r w:rsidRPr="00017849">
        <w:fldChar w:fldCharType="begin"/>
      </w:r>
      <w:r w:rsidRPr="00017849">
        <w:instrText xml:space="preserve"> IF </w:instrText>
      </w:r>
      <w:r w:rsidRPr="00017849">
        <w:rPr>
          <w:noProof/>
        </w:rPr>
        <w:fldChar w:fldCharType="begin"/>
      </w:r>
      <w:r w:rsidRPr="00017849">
        <w:rPr>
          <w:noProof/>
        </w:rPr>
        <w:instrText xml:space="preserve"> STYLEREF "Heading 1" \l \n </w:instrText>
      </w:r>
      <w:r w:rsidRPr="00017849">
        <w:rPr>
          <w:noProof/>
        </w:rPr>
        <w:fldChar w:fldCharType="separate"/>
      </w:r>
      <w:r w:rsidRPr="00017849">
        <w:rPr>
          <w:noProof/>
        </w:rPr>
        <w:instrText>0</w:instrText>
      </w:r>
      <w:r w:rsidRPr="00017849">
        <w:rPr>
          <w:noProof/>
        </w:rPr>
        <w:fldChar w:fldCharType="end"/>
      </w:r>
      <w:r w:rsidRPr="00017849">
        <w:instrText xml:space="preserve"> = 0 "" "1" </w:instrText>
      </w:r>
      <w:r w:rsidRPr="00017849">
        <w:fldChar w:fldCharType="end"/>
      </w:r>
      <w:r w:rsidRPr="00017849">
        <w:instrText xml:space="preserve">" "6" </w:instrText>
      </w:r>
      <w:r w:rsidRPr="00017849">
        <w:fldChar w:fldCharType="separate"/>
      </w:r>
      <w:r w:rsidRPr="00017849">
        <w:rPr>
          <w:noProof/>
        </w:rPr>
        <w:instrText>6</w:instrText>
      </w:r>
      <w:r w:rsidRPr="00017849">
        <w:fldChar w:fldCharType="end"/>
      </w:r>
      <w:r w:rsidRPr="00017849">
        <w:instrText xml:space="preserve"> </w:instrText>
      </w:r>
      <w:r w:rsidRPr="00017849">
        <w:fldChar w:fldCharType="separate"/>
      </w:r>
      <w:r w:rsidRPr="00017849">
        <w:rPr>
          <w:noProof/>
        </w:rPr>
        <w:instrText>21</w:instrText>
      </w:r>
      <w:r w:rsidRPr="00017849">
        <w:fldChar w:fldCharType="end"/>
      </w:r>
      <w:r w:rsidRPr="00017849">
        <w:instrText xml:space="preserve">" "" </w:instrText>
      </w:r>
      <w:r w:rsidRPr="00017849">
        <w:fldChar w:fldCharType="separate"/>
      </w:r>
      <w:bookmarkStart w:id="9704" w:name="_Caption6874"/>
      <w:bookmarkStart w:id="9705" w:name="_Caption3743"/>
      <w:bookmarkStart w:id="9706" w:name="_Caption2664"/>
      <w:bookmarkStart w:id="9707" w:name="_Caption9208"/>
      <w:bookmarkStart w:id="9708" w:name="_Caption8594"/>
      <w:bookmarkStart w:id="9709" w:name="_Caption8116"/>
      <w:bookmarkStart w:id="9710" w:name="_Caption2906"/>
      <w:bookmarkStart w:id="9711" w:name="_Caption6747"/>
      <w:bookmarkStart w:id="9712" w:name="_Caption2397"/>
      <w:bookmarkStart w:id="9713" w:name="_Caption6864"/>
      <w:bookmarkStart w:id="9714" w:name="_Caption9303"/>
      <w:bookmarkStart w:id="9715" w:name="_Caption8629"/>
      <w:bookmarkStart w:id="9716" w:name="_Caption9389"/>
      <w:bookmarkStart w:id="9717" w:name="_Caption5098"/>
      <w:bookmarkStart w:id="9718" w:name="_Caption1224"/>
      <w:bookmarkStart w:id="9719" w:name="_Caption4997"/>
      <w:bookmarkStart w:id="9720" w:name="_Caption2273"/>
      <w:bookmarkStart w:id="9721" w:name="_Caption5421"/>
      <w:bookmarkStart w:id="9722" w:name="_Caption5039"/>
      <w:bookmarkStart w:id="9723" w:name="_Caption6065"/>
      <w:bookmarkStart w:id="9724" w:name="_Caption4254"/>
      <w:bookmarkStart w:id="9725" w:name="_Caption1632"/>
      <w:bookmarkStart w:id="9726" w:name="_Caption0267"/>
      <w:bookmarkStart w:id="9727" w:name="_Caption3229"/>
      <w:bookmarkStart w:id="9728" w:name="_Caption8940"/>
      <w:bookmarkStart w:id="9729" w:name="_Caption0476"/>
      <w:bookmarkStart w:id="9730" w:name="_Caption1050"/>
      <w:bookmarkStart w:id="9731" w:name="_Caption1766"/>
      <w:bookmarkStart w:id="9732" w:name="_Caption4174"/>
      <w:bookmarkStart w:id="9733" w:name="_Caption5731"/>
      <w:bookmarkStart w:id="9734" w:name="_Caption4477"/>
      <w:bookmarkStart w:id="9735" w:name="_Caption6326"/>
      <w:bookmarkStart w:id="9736" w:name="_Caption0130"/>
      <w:bookmarkStart w:id="9737" w:name="_Caption7608"/>
      <w:bookmarkStart w:id="9738" w:name="_Caption7358"/>
      <w:bookmarkStart w:id="9739" w:name="_Caption4201"/>
      <w:bookmarkStart w:id="9740" w:name="_Caption9415"/>
      <w:bookmarkStart w:id="9741" w:name="_Caption1664"/>
      <w:bookmarkStart w:id="9742" w:name="_Caption2774"/>
      <w:bookmarkStart w:id="9743" w:name="_Caption4566"/>
      <w:bookmarkStart w:id="9744" w:name="_Caption1804"/>
      <w:bookmarkStart w:id="9745" w:name="_Caption6562"/>
      <w:bookmarkStart w:id="9746" w:name="_Caption0125"/>
      <w:bookmarkStart w:id="9747" w:name="_Caption0742"/>
      <w:bookmarkStart w:id="9748" w:name="_Caption9367"/>
      <w:bookmarkStart w:id="9749" w:name="_Caption6266"/>
      <w:bookmarkStart w:id="9750" w:name="_Caption1324"/>
      <w:bookmarkStart w:id="9751" w:name="_Caption1631"/>
      <w:bookmarkStart w:id="9752" w:name="_Caption6389"/>
      <w:bookmarkStart w:id="9753" w:name="_Caption3961"/>
      <w:bookmarkStart w:id="9754" w:name="_Caption0911"/>
      <w:bookmarkStart w:id="9755" w:name="_Caption5006"/>
      <w:bookmarkStart w:id="9756" w:name="_Caption6960"/>
      <w:bookmarkStart w:id="9757" w:name="_Caption3415"/>
      <w:bookmarkStart w:id="9758" w:name="_Caption2910"/>
      <w:bookmarkStart w:id="9759" w:name="_Caption4170"/>
      <w:bookmarkStart w:id="9760" w:name="_Caption1498"/>
      <w:bookmarkStart w:id="9761" w:name="_Caption8118"/>
      <w:bookmarkStart w:id="9762" w:name="_Caption5603"/>
      <w:bookmarkStart w:id="9763" w:name="_Caption1285"/>
      <w:bookmarkStart w:id="9764" w:name="_Caption7997"/>
      <w:bookmarkStart w:id="9765" w:name="_Caption0384"/>
      <w:bookmarkStart w:id="9766" w:name="_Caption0256"/>
      <w:bookmarkStart w:id="9767" w:name="_Caption1257"/>
      <w:bookmarkStart w:id="9768" w:name="_Caption6039"/>
      <w:bookmarkStart w:id="9769" w:name="_Caption9870"/>
      <w:bookmarkStart w:id="9770" w:name="_Caption6604"/>
      <w:bookmarkStart w:id="9771" w:name="_Caption4275"/>
      <w:bookmarkStart w:id="9772" w:name="_Caption9261"/>
      <w:bookmarkStart w:id="9773" w:name="_Caption7504"/>
      <w:bookmarkStart w:id="9774" w:name="_Caption9963"/>
      <w:bookmarkStart w:id="9775" w:name="_Caption7844"/>
      <w:bookmarkStart w:id="9776" w:name="_Caption0528"/>
      <w:bookmarkStart w:id="9777" w:name="_Caption6732"/>
      <w:bookmarkStart w:id="9778" w:name="_Caption6336"/>
      <w:bookmarkStart w:id="9779" w:name="_Caption3777"/>
      <w:bookmarkStart w:id="9780" w:name="_Caption5574"/>
      <w:bookmarkStart w:id="9781" w:name="_Caption4263"/>
      <w:bookmarkStart w:id="9782" w:name="_Caption0762"/>
      <w:bookmarkStart w:id="9783" w:name="_Caption0212"/>
      <w:bookmarkStart w:id="9784" w:name="_Caption2619"/>
      <w:bookmarkStart w:id="9785" w:name="_Caption7863"/>
      <w:bookmarkStart w:id="9786" w:name="_Caption5424"/>
      <w:bookmarkStart w:id="9787" w:name="_Caption5297"/>
      <w:bookmarkStart w:id="9788" w:name="_Caption2769"/>
      <w:bookmarkStart w:id="9789" w:name="_Caption9694"/>
      <w:bookmarkStart w:id="9790" w:name="_Caption9529"/>
      <w:bookmarkStart w:id="9791" w:name="_Caption0651"/>
      <w:bookmarkStart w:id="9792" w:name="_Caption6935"/>
      <w:bookmarkStart w:id="9793" w:name="_Caption4710"/>
      <w:bookmarkStart w:id="9794" w:name="_Caption3819"/>
      <w:bookmarkStart w:id="9795" w:name="_Caption1942"/>
      <w:bookmarkStart w:id="9796" w:name="_Caption2118"/>
      <w:bookmarkStart w:id="9797" w:name="_Toc32321940"/>
      <w:bookmarkStart w:id="9798" w:name="_Toc44598651"/>
      <w:bookmarkStart w:id="9799" w:name="_Toc45654282"/>
      <w:r w:rsidR="00272AF3" w:rsidRPr="00017849">
        <w:rPr>
          <w:noProof/>
        </w:rPr>
        <w:t>K.21</w:t>
      </w:r>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r w:rsidRPr="00017849">
        <w:fldChar w:fldCharType="end"/>
      </w:r>
      <w:r w:rsidRPr="00017849">
        <w:tab/>
        <w:t>Reasons for not voting for the policy to increase accessible housing</w:t>
      </w:r>
      <w:bookmarkEnd w:id="9797"/>
      <w:bookmarkEnd w:id="9798"/>
      <w:bookmarkEnd w:id="9799"/>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21"/>
        <w:tblDescription w:val="Reasons for not voting for the policy to increase accessible housing"/>
      </w:tblPr>
      <w:tblGrid>
        <w:gridCol w:w="6521"/>
        <w:gridCol w:w="1416"/>
      </w:tblGrid>
      <w:tr w:rsidR="007C6A5F" w:rsidRPr="00B069EA" w:rsidTr="004E5F82">
        <w:trPr>
          <w:trHeight w:val="500"/>
          <w:tblHeader/>
        </w:trPr>
        <w:tc>
          <w:tcPr>
            <w:tcW w:w="6521" w:type="dxa"/>
            <w:shd w:val="clear" w:color="auto" w:fill="6F6652" w:themeFill="accent5"/>
            <w:hideMark/>
          </w:tcPr>
          <w:p w:rsidR="007C6A5F" w:rsidRPr="00B069EA" w:rsidRDefault="008F40B6" w:rsidP="00210FAE">
            <w:pPr>
              <w:pStyle w:val="TableDataColumnHeading"/>
              <w:jc w:val="left"/>
            </w:pPr>
            <w:r>
              <w:t xml:space="preserve">Answer to question: </w:t>
            </w:r>
            <w:r w:rsidR="00017849">
              <w:t>What were the main reasons for your decision?</w:t>
            </w:r>
          </w:p>
        </w:tc>
        <w:tc>
          <w:tcPr>
            <w:tcW w:w="1416" w:type="dxa"/>
            <w:shd w:val="clear" w:color="auto" w:fill="6F6652" w:themeFill="accent5"/>
            <w:hideMark/>
          </w:tcPr>
          <w:p w:rsidR="007C6A5F" w:rsidRDefault="007C6A5F" w:rsidP="00C36DA4">
            <w:pPr>
              <w:pStyle w:val="TableDataColumnHeading"/>
            </w:pPr>
            <w:r w:rsidRPr="00B069EA">
              <w:t>Sample reweighted</w:t>
            </w:r>
          </w:p>
          <w:p w:rsidR="00210FAE" w:rsidRPr="00B069EA" w:rsidRDefault="00210FAE" w:rsidP="00C36DA4">
            <w:pPr>
              <w:pStyle w:val="TableDataColumnHeading"/>
            </w:pPr>
            <w:r>
              <w:t>(per cent)</w:t>
            </w:r>
          </w:p>
        </w:tc>
      </w:tr>
      <w:tr w:rsidR="007C6A5F" w:rsidRPr="00B069EA" w:rsidTr="008F40B6">
        <w:trPr>
          <w:trHeight w:val="250"/>
        </w:trPr>
        <w:tc>
          <w:tcPr>
            <w:tcW w:w="6521" w:type="dxa"/>
            <w:tcBorders>
              <w:top w:val="single" w:sz="8" w:space="0" w:color="FFFFFF" w:themeColor="background1"/>
              <w:bottom w:val="single" w:sz="8" w:space="0" w:color="FFFFFF" w:themeColor="background1"/>
            </w:tcBorders>
            <w:shd w:val="clear" w:color="auto" w:fill="E9E8E5" w:themeFill="background2"/>
            <w:hideMark/>
          </w:tcPr>
          <w:p w:rsidR="007C6A5F" w:rsidRPr="00B069EA" w:rsidRDefault="007C6A5F" w:rsidP="00C36DA4">
            <w:pPr>
              <w:pStyle w:val="TableDataEntries"/>
              <w:jc w:val="left"/>
            </w:pPr>
            <w:r w:rsidRPr="00B069EA">
              <w:t>I would prefer to spend my money on something else</w:t>
            </w:r>
          </w:p>
        </w:tc>
        <w:tc>
          <w:tcPr>
            <w:tcW w:w="1416" w:type="dxa"/>
            <w:tcBorders>
              <w:top w:val="single" w:sz="8" w:space="0" w:color="FFFFFF" w:themeColor="background1"/>
              <w:bottom w:val="single" w:sz="8" w:space="0" w:color="FFFFFF" w:themeColor="background1"/>
            </w:tcBorders>
            <w:shd w:val="clear" w:color="auto" w:fill="E9E8E5" w:themeFill="background2"/>
            <w:hideMark/>
          </w:tcPr>
          <w:p w:rsidR="007C6A5F" w:rsidRPr="00B069EA" w:rsidRDefault="007C6A5F" w:rsidP="00C36DA4">
            <w:pPr>
              <w:pStyle w:val="TableDataEntries"/>
            </w:pPr>
            <w:r w:rsidRPr="00B069EA">
              <w:t>27.4%</w:t>
            </w:r>
          </w:p>
        </w:tc>
      </w:tr>
      <w:tr w:rsidR="007C6A5F" w:rsidRPr="00B069EA" w:rsidTr="008F40B6">
        <w:trPr>
          <w:trHeight w:val="250"/>
        </w:trPr>
        <w:tc>
          <w:tcPr>
            <w:tcW w:w="6521" w:type="dxa"/>
            <w:tcBorders>
              <w:top w:val="single" w:sz="8" w:space="0" w:color="FFFFFF" w:themeColor="background1"/>
              <w:bottom w:val="single" w:sz="8" w:space="0" w:color="FFFFFF" w:themeColor="background1"/>
            </w:tcBorders>
            <w:shd w:val="clear" w:color="auto" w:fill="E9E8E5" w:themeFill="background2"/>
            <w:hideMark/>
          </w:tcPr>
          <w:p w:rsidR="007C6A5F" w:rsidRPr="00B069EA" w:rsidRDefault="007C6A5F" w:rsidP="00C36DA4">
            <w:pPr>
              <w:pStyle w:val="TableDataEntries"/>
              <w:jc w:val="left"/>
            </w:pPr>
            <w:r w:rsidRPr="00B069EA">
              <w:t>The question was confusing</w:t>
            </w:r>
          </w:p>
        </w:tc>
        <w:tc>
          <w:tcPr>
            <w:tcW w:w="1416" w:type="dxa"/>
            <w:tcBorders>
              <w:top w:val="single" w:sz="8" w:space="0" w:color="FFFFFF" w:themeColor="background1"/>
              <w:bottom w:val="single" w:sz="8" w:space="0" w:color="FFFFFF" w:themeColor="background1"/>
            </w:tcBorders>
            <w:shd w:val="clear" w:color="auto" w:fill="E9E8E5" w:themeFill="background2"/>
            <w:hideMark/>
          </w:tcPr>
          <w:p w:rsidR="007C6A5F" w:rsidRPr="00B069EA" w:rsidRDefault="007C6A5F" w:rsidP="00C36DA4">
            <w:pPr>
              <w:pStyle w:val="TableDataEntries"/>
            </w:pPr>
            <w:r w:rsidRPr="00B069EA">
              <w:t>6.5%</w:t>
            </w:r>
          </w:p>
        </w:tc>
      </w:tr>
      <w:tr w:rsidR="007C6A5F" w:rsidRPr="00B069EA" w:rsidTr="008F40B6">
        <w:trPr>
          <w:trHeight w:val="250"/>
        </w:trPr>
        <w:tc>
          <w:tcPr>
            <w:tcW w:w="6521" w:type="dxa"/>
            <w:tcBorders>
              <w:top w:val="single" w:sz="8" w:space="0" w:color="FFFFFF" w:themeColor="background1"/>
              <w:bottom w:val="single" w:sz="8" w:space="0" w:color="FFFFFF" w:themeColor="background1"/>
            </w:tcBorders>
            <w:shd w:val="clear" w:color="auto" w:fill="E9E8E5" w:themeFill="background2"/>
            <w:hideMark/>
          </w:tcPr>
          <w:p w:rsidR="007C6A5F" w:rsidRPr="00B069EA" w:rsidRDefault="007C6A5F" w:rsidP="00C36DA4">
            <w:pPr>
              <w:pStyle w:val="TableDataEntries"/>
              <w:jc w:val="left"/>
            </w:pPr>
            <w:r w:rsidRPr="00B069EA">
              <w:t>I didn’t have enough information about the policy</w:t>
            </w:r>
          </w:p>
        </w:tc>
        <w:tc>
          <w:tcPr>
            <w:tcW w:w="1416" w:type="dxa"/>
            <w:tcBorders>
              <w:top w:val="single" w:sz="8" w:space="0" w:color="FFFFFF" w:themeColor="background1"/>
              <w:bottom w:val="single" w:sz="8" w:space="0" w:color="FFFFFF" w:themeColor="background1"/>
            </w:tcBorders>
            <w:shd w:val="clear" w:color="auto" w:fill="E9E8E5" w:themeFill="background2"/>
            <w:hideMark/>
          </w:tcPr>
          <w:p w:rsidR="007C6A5F" w:rsidRPr="00B069EA" w:rsidRDefault="007C6A5F" w:rsidP="00C36DA4">
            <w:pPr>
              <w:pStyle w:val="TableDataEntries"/>
            </w:pPr>
            <w:r w:rsidRPr="00B069EA">
              <w:t>21.5%</w:t>
            </w:r>
          </w:p>
        </w:tc>
      </w:tr>
      <w:tr w:rsidR="007C6A5F" w:rsidRPr="00B069EA" w:rsidTr="008F40B6">
        <w:trPr>
          <w:trHeight w:val="48"/>
        </w:trPr>
        <w:tc>
          <w:tcPr>
            <w:tcW w:w="6521" w:type="dxa"/>
            <w:tcBorders>
              <w:top w:val="single" w:sz="8" w:space="0" w:color="FFFFFF" w:themeColor="background1"/>
              <w:bottom w:val="single" w:sz="8" w:space="0" w:color="FFFFFF" w:themeColor="background1"/>
            </w:tcBorders>
            <w:shd w:val="clear" w:color="auto" w:fill="E9E8E5" w:themeFill="background2"/>
            <w:hideMark/>
          </w:tcPr>
          <w:p w:rsidR="007C6A5F" w:rsidRPr="00B069EA" w:rsidRDefault="007C6A5F" w:rsidP="00C36DA4">
            <w:pPr>
              <w:pStyle w:val="TableDataEntries"/>
              <w:jc w:val="left"/>
            </w:pPr>
            <w:r w:rsidRPr="00B069EA">
              <w:t>I’m concerned that governments might put taxes up without improving accessible housing</w:t>
            </w:r>
          </w:p>
        </w:tc>
        <w:tc>
          <w:tcPr>
            <w:tcW w:w="1416" w:type="dxa"/>
            <w:tcBorders>
              <w:top w:val="single" w:sz="8" w:space="0" w:color="FFFFFF" w:themeColor="background1"/>
              <w:bottom w:val="single" w:sz="8" w:space="0" w:color="FFFFFF" w:themeColor="background1"/>
            </w:tcBorders>
            <w:shd w:val="clear" w:color="auto" w:fill="E9E8E5" w:themeFill="background2"/>
            <w:hideMark/>
          </w:tcPr>
          <w:p w:rsidR="007C6A5F" w:rsidRPr="00B069EA" w:rsidRDefault="007C6A5F" w:rsidP="00C36DA4">
            <w:pPr>
              <w:pStyle w:val="TableDataEntries"/>
            </w:pPr>
            <w:r w:rsidRPr="00B069EA">
              <w:t>37.3%</w:t>
            </w:r>
          </w:p>
        </w:tc>
      </w:tr>
      <w:tr w:rsidR="007C6A5F" w:rsidRPr="00B069EA" w:rsidTr="008F40B6">
        <w:trPr>
          <w:trHeight w:val="48"/>
        </w:trPr>
        <w:tc>
          <w:tcPr>
            <w:tcW w:w="6521" w:type="dxa"/>
            <w:tcBorders>
              <w:top w:val="single" w:sz="8" w:space="0" w:color="FFFFFF" w:themeColor="background1"/>
              <w:bottom w:val="single" w:sz="8" w:space="0" w:color="FFFFFF" w:themeColor="background1"/>
            </w:tcBorders>
            <w:shd w:val="clear" w:color="auto" w:fill="E9E8E5" w:themeFill="background2"/>
            <w:hideMark/>
          </w:tcPr>
          <w:p w:rsidR="007C6A5F" w:rsidRPr="00B069EA" w:rsidRDefault="007C6A5F" w:rsidP="00C36DA4">
            <w:pPr>
              <w:pStyle w:val="TableDataEntries"/>
              <w:jc w:val="left"/>
            </w:pPr>
            <w:r w:rsidRPr="00B069EA">
              <w:t>I think governments should improve accessible housing without increasing taxes</w:t>
            </w:r>
          </w:p>
        </w:tc>
        <w:tc>
          <w:tcPr>
            <w:tcW w:w="1416" w:type="dxa"/>
            <w:tcBorders>
              <w:top w:val="single" w:sz="8" w:space="0" w:color="FFFFFF" w:themeColor="background1"/>
              <w:bottom w:val="single" w:sz="8" w:space="0" w:color="FFFFFF" w:themeColor="background1"/>
            </w:tcBorders>
            <w:shd w:val="clear" w:color="auto" w:fill="E9E8E5" w:themeFill="background2"/>
            <w:hideMark/>
          </w:tcPr>
          <w:p w:rsidR="007C6A5F" w:rsidRPr="00B069EA" w:rsidRDefault="007C6A5F" w:rsidP="00C36DA4">
            <w:pPr>
              <w:pStyle w:val="TableDataEntries"/>
            </w:pPr>
            <w:r w:rsidRPr="00B069EA">
              <w:t>41.5%</w:t>
            </w:r>
          </w:p>
        </w:tc>
      </w:tr>
      <w:tr w:rsidR="007C6A5F" w:rsidRPr="00B069EA" w:rsidTr="008F40B6">
        <w:trPr>
          <w:trHeight w:val="250"/>
        </w:trPr>
        <w:tc>
          <w:tcPr>
            <w:tcW w:w="6521" w:type="dxa"/>
            <w:tcBorders>
              <w:top w:val="single" w:sz="8" w:space="0" w:color="FFFFFF" w:themeColor="background1"/>
              <w:bottom w:val="single" w:sz="8" w:space="0" w:color="FFFFFF" w:themeColor="background1"/>
            </w:tcBorders>
            <w:shd w:val="clear" w:color="auto" w:fill="E9E8E5" w:themeFill="background2"/>
            <w:hideMark/>
          </w:tcPr>
          <w:p w:rsidR="007C6A5F" w:rsidRPr="00B069EA" w:rsidRDefault="007C6A5F" w:rsidP="00C36DA4">
            <w:pPr>
              <w:pStyle w:val="TableDataEntries"/>
              <w:jc w:val="left"/>
            </w:pPr>
            <w:r w:rsidRPr="00B069EA">
              <w:t>Other peoples’ housing should not be my problem</w:t>
            </w:r>
          </w:p>
        </w:tc>
        <w:tc>
          <w:tcPr>
            <w:tcW w:w="1416" w:type="dxa"/>
            <w:tcBorders>
              <w:top w:val="single" w:sz="8" w:space="0" w:color="FFFFFF" w:themeColor="background1"/>
              <w:bottom w:val="single" w:sz="8" w:space="0" w:color="FFFFFF" w:themeColor="background1"/>
            </w:tcBorders>
            <w:shd w:val="clear" w:color="auto" w:fill="E9E8E5" w:themeFill="background2"/>
            <w:hideMark/>
          </w:tcPr>
          <w:p w:rsidR="007C6A5F" w:rsidRPr="00B069EA" w:rsidRDefault="007C6A5F" w:rsidP="00C36DA4">
            <w:pPr>
              <w:pStyle w:val="TableDataEntries"/>
            </w:pPr>
            <w:r w:rsidRPr="00B069EA">
              <w:t>15.7%</w:t>
            </w:r>
          </w:p>
        </w:tc>
      </w:tr>
      <w:tr w:rsidR="007C6A5F" w:rsidRPr="00B069EA" w:rsidTr="008F40B6">
        <w:trPr>
          <w:trHeight w:val="250"/>
        </w:trPr>
        <w:tc>
          <w:tcPr>
            <w:tcW w:w="6521" w:type="dxa"/>
            <w:tcBorders>
              <w:top w:val="single" w:sz="8" w:space="0" w:color="FFFFFF" w:themeColor="background1"/>
              <w:bottom w:val="single" w:sz="4" w:space="0" w:color="6F6652" w:themeColor="accent5"/>
            </w:tcBorders>
            <w:shd w:val="clear" w:color="auto" w:fill="E9E8E5" w:themeFill="background2"/>
            <w:hideMark/>
          </w:tcPr>
          <w:p w:rsidR="007C6A5F" w:rsidRPr="00B069EA" w:rsidRDefault="007C6A5F" w:rsidP="00C36DA4">
            <w:pPr>
              <w:pStyle w:val="TableDataEntries"/>
              <w:jc w:val="left"/>
            </w:pPr>
            <w:r w:rsidRPr="00B069EA">
              <w:t>Other (Please specify:)</w:t>
            </w:r>
          </w:p>
        </w:tc>
        <w:tc>
          <w:tcPr>
            <w:tcW w:w="1416" w:type="dxa"/>
            <w:tcBorders>
              <w:top w:val="single" w:sz="8" w:space="0" w:color="FFFFFF" w:themeColor="background1"/>
              <w:bottom w:val="single" w:sz="4" w:space="0" w:color="6F6652" w:themeColor="accent5"/>
            </w:tcBorders>
            <w:shd w:val="clear" w:color="auto" w:fill="E9E8E5" w:themeFill="background2"/>
            <w:hideMark/>
          </w:tcPr>
          <w:p w:rsidR="007C6A5F" w:rsidRPr="00B069EA" w:rsidRDefault="007C6A5F" w:rsidP="00C36DA4">
            <w:pPr>
              <w:pStyle w:val="TableDataEntries"/>
            </w:pPr>
            <w:r w:rsidRPr="00B069EA">
              <w:t>6.3%</w:t>
            </w:r>
          </w:p>
        </w:tc>
      </w:tr>
    </w:tbl>
    <w:p w:rsidR="007C6A5F" w:rsidRDefault="007C6A5F" w:rsidP="007C6A5F">
      <w:pPr>
        <w:pStyle w:val="Source"/>
      </w:pPr>
      <w:r>
        <w:rPr>
          <w:i/>
        </w:rPr>
        <w:t>Source</w:t>
      </w:r>
      <w:r w:rsidRPr="00E4232C">
        <w:rPr>
          <w:i/>
        </w:rPr>
        <w:t>:</w:t>
      </w:r>
      <w:r>
        <w:t xml:space="preserve"> CIE</w:t>
      </w:r>
      <w:r w:rsidR="00DE71A3">
        <w:t>.</w:t>
      </w:r>
    </w:p>
    <w:p w:rsidR="007C6A5F" w:rsidRDefault="007C6A5F" w:rsidP="007C6A5F">
      <w:pPr>
        <w:pStyle w:val="BodyText"/>
        <w:rPr>
          <w:lang w:eastAsia="en-US"/>
        </w:rPr>
      </w:pPr>
      <w:r>
        <w:rPr>
          <w:lang w:eastAsia="en-US"/>
        </w:rPr>
        <w:t>Roughly six in ten respondents believed the survey would be at least somewhat likely to affect government action on accessible housing and the rates and taxes they pay. Models run with and without the respondents that did not believe the survey would be consequential did not find a dramatic difference in stated preferences. The estimated mean WTP was slightly higher for respondents indicating they believed the survey would be at least somewhat likely to affect the rates and taxes they pay.</w:t>
      </w:r>
    </w:p>
    <w:p w:rsidR="007C6A5F" w:rsidRDefault="007C6A5F" w:rsidP="007C6A5F">
      <w:pPr>
        <w:pStyle w:val="Caption"/>
      </w:pPr>
      <w:r w:rsidRPr="00CC5E74">
        <w:lastRenderedPageBreak/>
        <w:fldChar w:fldCharType="begin"/>
      </w:r>
      <w:r w:rsidRPr="00CC5E74">
        <w:instrText xml:space="preserve"> IF 1 = 1 "</w:instrText>
      </w:r>
      <w:r w:rsidRPr="00CC5E74">
        <w:fldChar w:fldCharType="begin"/>
      </w:r>
      <w:r w:rsidRPr="00CC5E74">
        <w:instrText xml:space="preserve"> IF </w:instrText>
      </w:r>
      <w:r w:rsidRPr="00CC5E74">
        <w:rPr>
          <w:noProof/>
        </w:rPr>
        <w:fldChar w:fldCharType="begin"/>
      </w:r>
      <w:r w:rsidRPr="00CC5E74">
        <w:rPr>
          <w:noProof/>
        </w:rPr>
        <w:instrText xml:space="preserve"> STYLEREF "Heading 6" \l \n </w:instrText>
      </w:r>
      <w:r w:rsidRPr="00CC5E74">
        <w:rPr>
          <w:noProof/>
        </w:rPr>
        <w:fldChar w:fldCharType="separate"/>
      </w:r>
      <w:r w:rsidRPr="00CC5E74">
        <w:rPr>
          <w:noProof/>
        </w:rPr>
        <w:instrText>K</w:instrText>
      </w:r>
      <w:r w:rsidRPr="00CC5E74">
        <w:rPr>
          <w:noProof/>
        </w:rPr>
        <w:fldChar w:fldCharType="end"/>
      </w:r>
      <w:r w:rsidRPr="00CC5E74">
        <w:instrText xml:space="preserve"> = 0 "</w:instrText>
      </w:r>
      <w:r w:rsidRPr="00CC5E74">
        <w:fldChar w:fldCharType="begin"/>
      </w:r>
      <w:r w:rsidRPr="00CC5E74">
        <w:instrText xml:space="preserve"> IF </w:instrText>
      </w:r>
      <w:r w:rsidRPr="00CC5E74">
        <w:rPr>
          <w:noProof/>
        </w:rPr>
        <w:fldChar w:fldCharType="begin"/>
      </w:r>
      <w:r w:rsidRPr="00CC5E74">
        <w:rPr>
          <w:noProof/>
        </w:rPr>
        <w:instrText xml:space="preserve"> STYLEREF "Heading 1" \l \n </w:instrText>
      </w:r>
      <w:r w:rsidRPr="00CC5E74">
        <w:rPr>
          <w:noProof/>
        </w:rPr>
        <w:fldChar w:fldCharType="separate"/>
      </w:r>
      <w:r w:rsidRPr="00CC5E74">
        <w:rPr>
          <w:noProof/>
        </w:rPr>
        <w:instrText>0</w:instrText>
      </w:r>
      <w:r w:rsidRPr="00CC5E74">
        <w:rPr>
          <w:noProof/>
        </w:rPr>
        <w:fldChar w:fldCharType="end"/>
      </w:r>
      <w:r w:rsidRPr="00CC5E74">
        <w:instrText xml:space="preserve"> = 0 "" "</w:instrText>
      </w:r>
      <w:r w:rsidRPr="00CC5E74">
        <w:rPr>
          <w:noProof/>
        </w:rPr>
        <w:fldChar w:fldCharType="begin"/>
      </w:r>
      <w:r w:rsidRPr="00CC5E74">
        <w:rPr>
          <w:noProof/>
        </w:rPr>
        <w:instrText xml:space="preserve"> STYLEREF "Heading 1" \l \n </w:instrText>
      </w:r>
      <w:r w:rsidRPr="00CC5E74">
        <w:rPr>
          <w:noProof/>
        </w:rPr>
        <w:fldChar w:fldCharType="separate"/>
      </w:r>
      <w:r w:rsidRPr="00CC5E74">
        <w:rPr>
          <w:noProof/>
        </w:rPr>
        <w:instrText>2</w:instrText>
      </w:r>
      <w:r w:rsidRPr="00CC5E74">
        <w:rPr>
          <w:noProof/>
        </w:rPr>
        <w:fldChar w:fldCharType="end"/>
      </w:r>
      <w:r w:rsidRPr="00CC5E74">
        <w:instrText xml:space="preserve">." </w:instrText>
      </w:r>
      <w:r w:rsidRPr="00CC5E74">
        <w:fldChar w:fldCharType="end"/>
      </w:r>
      <w:r w:rsidRPr="00CC5E74">
        <w:instrText>" "</w:instrText>
      </w:r>
      <w:r w:rsidRPr="00CC5E74">
        <w:rPr>
          <w:noProof/>
        </w:rPr>
        <w:fldChar w:fldCharType="begin"/>
      </w:r>
      <w:r w:rsidRPr="00CC5E74">
        <w:rPr>
          <w:noProof/>
        </w:rPr>
        <w:instrText xml:space="preserve"> STYLEREF "Heading 6" \l \n </w:instrText>
      </w:r>
      <w:r w:rsidRPr="00CC5E74">
        <w:rPr>
          <w:noProof/>
        </w:rPr>
        <w:fldChar w:fldCharType="separate"/>
      </w:r>
      <w:r w:rsidRPr="00CC5E74">
        <w:rPr>
          <w:noProof/>
        </w:rPr>
        <w:instrText>K</w:instrText>
      </w:r>
      <w:r w:rsidRPr="00CC5E74">
        <w:rPr>
          <w:noProof/>
        </w:rPr>
        <w:fldChar w:fldCharType="end"/>
      </w:r>
      <w:r w:rsidRPr="00CC5E74">
        <w:instrText xml:space="preserve">." </w:instrText>
      </w:r>
      <w:r w:rsidRPr="00CC5E74">
        <w:fldChar w:fldCharType="separate"/>
      </w:r>
      <w:r w:rsidRPr="00CC5E74">
        <w:rPr>
          <w:noProof/>
        </w:rPr>
        <w:instrText>K.</w:instrText>
      </w:r>
      <w:r w:rsidRPr="00CC5E74">
        <w:fldChar w:fldCharType="end"/>
      </w:r>
      <w:r w:rsidRPr="00CC5E74">
        <w:fldChar w:fldCharType="begin"/>
      </w:r>
      <w:r w:rsidRPr="00CC5E74">
        <w:instrText xml:space="preserve"> SEQ Item \* ARABIC \s </w:instrText>
      </w:r>
      <w:r w:rsidRPr="00CC5E74">
        <w:fldChar w:fldCharType="begin"/>
      </w:r>
      <w:r w:rsidRPr="00CC5E74">
        <w:instrText xml:space="preserve"> IF </w:instrText>
      </w:r>
      <w:r w:rsidRPr="00CC5E74">
        <w:rPr>
          <w:noProof/>
        </w:rPr>
        <w:fldChar w:fldCharType="begin"/>
      </w:r>
      <w:r w:rsidRPr="00CC5E74">
        <w:rPr>
          <w:noProof/>
        </w:rPr>
        <w:instrText xml:space="preserve"> STYLEREF "Heading 6" \l \n </w:instrText>
      </w:r>
      <w:r w:rsidRPr="00CC5E74">
        <w:rPr>
          <w:noProof/>
        </w:rPr>
        <w:fldChar w:fldCharType="separate"/>
      </w:r>
      <w:r w:rsidRPr="00CC5E74">
        <w:rPr>
          <w:noProof/>
        </w:rPr>
        <w:instrText>K</w:instrText>
      </w:r>
      <w:r w:rsidRPr="00CC5E74">
        <w:rPr>
          <w:noProof/>
        </w:rPr>
        <w:fldChar w:fldCharType="end"/>
      </w:r>
      <w:r w:rsidRPr="00CC5E74">
        <w:instrText xml:space="preserve"> = 0 "</w:instrText>
      </w:r>
      <w:r w:rsidRPr="00CC5E74">
        <w:fldChar w:fldCharType="begin"/>
      </w:r>
      <w:r w:rsidRPr="00CC5E74">
        <w:instrText xml:space="preserve"> IF </w:instrText>
      </w:r>
      <w:r w:rsidRPr="00CC5E74">
        <w:rPr>
          <w:noProof/>
        </w:rPr>
        <w:fldChar w:fldCharType="begin"/>
      </w:r>
      <w:r w:rsidRPr="00CC5E74">
        <w:rPr>
          <w:noProof/>
        </w:rPr>
        <w:instrText xml:space="preserve"> STYLEREF "Heading 1" \l \n </w:instrText>
      </w:r>
      <w:r w:rsidRPr="00CC5E74">
        <w:rPr>
          <w:noProof/>
        </w:rPr>
        <w:fldChar w:fldCharType="separate"/>
      </w:r>
      <w:r w:rsidRPr="00CC5E74">
        <w:rPr>
          <w:noProof/>
        </w:rPr>
        <w:instrText>0</w:instrText>
      </w:r>
      <w:r w:rsidRPr="00CC5E74">
        <w:rPr>
          <w:noProof/>
        </w:rPr>
        <w:fldChar w:fldCharType="end"/>
      </w:r>
      <w:r w:rsidRPr="00CC5E74">
        <w:instrText xml:space="preserve"> = 0 "" "1" </w:instrText>
      </w:r>
      <w:r w:rsidRPr="00CC5E74">
        <w:fldChar w:fldCharType="end"/>
      </w:r>
      <w:r w:rsidRPr="00CC5E74">
        <w:instrText xml:space="preserve">" "6" </w:instrText>
      </w:r>
      <w:r w:rsidRPr="00CC5E74">
        <w:fldChar w:fldCharType="separate"/>
      </w:r>
      <w:r w:rsidRPr="00CC5E74">
        <w:rPr>
          <w:noProof/>
        </w:rPr>
        <w:instrText>6</w:instrText>
      </w:r>
      <w:r w:rsidRPr="00CC5E74">
        <w:fldChar w:fldCharType="end"/>
      </w:r>
      <w:r w:rsidRPr="00CC5E74">
        <w:instrText xml:space="preserve"> </w:instrText>
      </w:r>
      <w:r w:rsidRPr="00CC5E74">
        <w:fldChar w:fldCharType="separate"/>
      </w:r>
      <w:r w:rsidRPr="00CC5E74">
        <w:rPr>
          <w:noProof/>
        </w:rPr>
        <w:instrText>22</w:instrText>
      </w:r>
      <w:r w:rsidRPr="00CC5E74">
        <w:fldChar w:fldCharType="end"/>
      </w:r>
      <w:r w:rsidRPr="00CC5E74">
        <w:instrText xml:space="preserve">" "" </w:instrText>
      </w:r>
      <w:r w:rsidRPr="00CC5E74">
        <w:fldChar w:fldCharType="separate"/>
      </w:r>
      <w:bookmarkStart w:id="9800" w:name="_Caption7143"/>
      <w:bookmarkStart w:id="9801" w:name="_Caption7574"/>
      <w:bookmarkStart w:id="9802" w:name="_Caption5153"/>
      <w:bookmarkStart w:id="9803" w:name="_Caption7747"/>
      <w:bookmarkStart w:id="9804" w:name="_Caption1559"/>
      <w:bookmarkStart w:id="9805" w:name="_Caption8392"/>
      <w:bookmarkStart w:id="9806" w:name="_Caption5458"/>
      <w:bookmarkStart w:id="9807" w:name="_Caption6250"/>
      <w:bookmarkStart w:id="9808" w:name="_Caption4424"/>
      <w:bookmarkStart w:id="9809" w:name="_Caption1829"/>
      <w:bookmarkStart w:id="9810" w:name="_Caption5539"/>
      <w:bookmarkStart w:id="9811" w:name="_Caption3075"/>
      <w:bookmarkStart w:id="9812" w:name="_Caption7787"/>
      <w:bookmarkStart w:id="9813" w:name="_Caption6634"/>
      <w:bookmarkStart w:id="9814" w:name="_Caption4469"/>
      <w:bookmarkStart w:id="9815" w:name="_Caption1062"/>
      <w:bookmarkStart w:id="9816" w:name="_Caption6973"/>
      <w:bookmarkStart w:id="9817" w:name="_Caption8989"/>
      <w:bookmarkStart w:id="9818" w:name="_Caption1323"/>
      <w:bookmarkStart w:id="9819" w:name="_Caption7052"/>
      <w:bookmarkStart w:id="9820" w:name="_Caption9753"/>
      <w:bookmarkStart w:id="9821" w:name="_Caption1738"/>
      <w:bookmarkStart w:id="9822" w:name="_Caption7505"/>
      <w:bookmarkStart w:id="9823" w:name="_Caption1200"/>
      <w:bookmarkStart w:id="9824" w:name="_Caption3920"/>
      <w:bookmarkStart w:id="9825" w:name="_Caption7352"/>
      <w:bookmarkStart w:id="9826" w:name="_Caption7912"/>
      <w:bookmarkStart w:id="9827" w:name="_Caption7612"/>
      <w:bookmarkStart w:id="9828" w:name="_Caption6244"/>
      <w:bookmarkStart w:id="9829" w:name="_Caption3115"/>
      <w:bookmarkStart w:id="9830" w:name="_Caption1633"/>
      <w:bookmarkStart w:id="9831" w:name="_Caption4389"/>
      <w:bookmarkStart w:id="9832" w:name="_Caption3427"/>
      <w:bookmarkStart w:id="9833" w:name="_Caption3615"/>
      <w:bookmarkStart w:id="9834" w:name="_Caption8946"/>
      <w:bookmarkStart w:id="9835" w:name="_Caption3788"/>
      <w:bookmarkStart w:id="9836" w:name="_Caption3483"/>
      <w:bookmarkStart w:id="9837" w:name="_Caption8058"/>
      <w:bookmarkStart w:id="9838" w:name="_Caption6148"/>
      <w:bookmarkStart w:id="9839" w:name="_Caption9408"/>
      <w:bookmarkStart w:id="9840" w:name="_Caption0110"/>
      <w:bookmarkStart w:id="9841" w:name="_Caption6749"/>
      <w:bookmarkStart w:id="9842" w:name="_Caption9839"/>
      <w:bookmarkStart w:id="9843" w:name="_Caption4521"/>
      <w:bookmarkStart w:id="9844" w:name="_Caption9939"/>
      <w:bookmarkStart w:id="9845" w:name="_Caption7473"/>
      <w:bookmarkStart w:id="9846" w:name="_Caption3347"/>
      <w:bookmarkStart w:id="9847" w:name="_Caption2018"/>
      <w:bookmarkStart w:id="9848" w:name="_Caption5273"/>
      <w:bookmarkStart w:id="9849" w:name="_Caption9622"/>
      <w:bookmarkStart w:id="9850" w:name="_Caption8882"/>
      <w:bookmarkStart w:id="9851" w:name="_Caption0049"/>
      <w:bookmarkStart w:id="9852" w:name="_Caption2739"/>
      <w:bookmarkStart w:id="9853" w:name="_Caption6199"/>
      <w:bookmarkStart w:id="9854" w:name="_Caption6884"/>
      <w:bookmarkStart w:id="9855" w:name="_Caption3956"/>
      <w:bookmarkStart w:id="9856" w:name="_Caption7507"/>
      <w:bookmarkStart w:id="9857" w:name="_Caption5783"/>
      <w:bookmarkStart w:id="9858" w:name="_Caption4257"/>
      <w:bookmarkStart w:id="9859" w:name="_Caption7676"/>
      <w:bookmarkStart w:id="9860" w:name="_Caption2353"/>
      <w:bookmarkStart w:id="9861" w:name="_Caption9504"/>
      <w:bookmarkStart w:id="9862" w:name="_Caption6532"/>
      <w:bookmarkStart w:id="9863" w:name="_Caption5891"/>
      <w:bookmarkStart w:id="9864" w:name="_Caption1994"/>
      <w:bookmarkStart w:id="9865" w:name="_Caption9284"/>
      <w:bookmarkStart w:id="9866" w:name="_Caption9664"/>
      <w:bookmarkStart w:id="9867" w:name="_Caption2006"/>
      <w:bookmarkStart w:id="9868" w:name="_Caption3121"/>
      <w:bookmarkStart w:id="9869" w:name="_Caption3220"/>
      <w:bookmarkStart w:id="9870" w:name="_Caption8453"/>
      <w:bookmarkStart w:id="9871" w:name="_Caption6415"/>
      <w:bookmarkStart w:id="9872" w:name="_Caption1940"/>
      <w:bookmarkStart w:id="9873" w:name="_Caption2246"/>
      <w:bookmarkStart w:id="9874" w:name="_Caption6281"/>
      <w:bookmarkStart w:id="9875" w:name="_Caption8757"/>
      <w:bookmarkStart w:id="9876" w:name="_Caption8934"/>
      <w:bookmarkStart w:id="9877" w:name="_Caption4049"/>
      <w:bookmarkStart w:id="9878" w:name="_Caption3433"/>
      <w:bookmarkStart w:id="9879" w:name="_Caption0399"/>
      <w:bookmarkStart w:id="9880" w:name="_Caption2703"/>
      <w:bookmarkStart w:id="9881" w:name="_Caption3720"/>
      <w:bookmarkStart w:id="9882" w:name="_Caption3568"/>
      <w:bookmarkStart w:id="9883" w:name="_Caption0465"/>
      <w:bookmarkStart w:id="9884" w:name="_Caption9481"/>
      <w:bookmarkStart w:id="9885" w:name="_Caption1749"/>
      <w:bookmarkStart w:id="9886" w:name="_Caption7459"/>
      <w:bookmarkStart w:id="9887" w:name="_Caption6938"/>
      <w:bookmarkStart w:id="9888" w:name="_Caption5160"/>
      <w:bookmarkStart w:id="9889" w:name="_Caption7355"/>
      <w:bookmarkStart w:id="9890" w:name="_Caption7890"/>
      <w:bookmarkStart w:id="9891" w:name="_Caption5909"/>
      <w:bookmarkStart w:id="9892" w:name="_Caption7592"/>
      <w:bookmarkStart w:id="9893" w:name="_Toc32321941"/>
      <w:bookmarkStart w:id="9894" w:name="_Toc44598652"/>
      <w:bookmarkStart w:id="9895" w:name="_Toc45654283"/>
      <w:r w:rsidR="00272AF3" w:rsidRPr="00CC5E74">
        <w:rPr>
          <w:noProof/>
        </w:rPr>
        <w:t>K.22</w:t>
      </w:r>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r w:rsidRPr="00CC5E74">
        <w:fldChar w:fldCharType="end"/>
      </w:r>
      <w:r w:rsidRPr="00CC5E74">
        <w:tab/>
        <w:t>Consequentiality of the survey</w:t>
      </w:r>
      <w:bookmarkEnd w:id="9893"/>
      <w:bookmarkEnd w:id="9894"/>
      <w:bookmarkEnd w:id="9895"/>
    </w:p>
    <w:tbl>
      <w:tblPr>
        <w:tblStyle w:val="TableGridLight"/>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22"/>
        <w:tblDescription w:val="Consequentiality of the survey"/>
      </w:tblPr>
      <w:tblGrid>
        <w:gridCol w:w="1276"/>
        <w:gridCol w:w="5360"/>
        <w:gridCol w:w="1301"/>
      </w:tblGrid>
      <w:tr w:rsidR="00CC5E74" w:rsidRPr="00DE63DE" w:rsidTr="004E5F82">
        <w:trPr>
          <w:trHeight w:val="500"/>
          <w:tblHeader/>
        </w:trPr>
        <w:tc>
          <w:tcPr>
            <w:tcW w:w="1276" w:type="dxa"/>
            <w:shd w:val="clear" w:color="auto" w:fill="6F6652" w:themeFill="accent5"/>
            <w:hideMark/>
          </w:tcPr>
          <w:p w:rsidR="00CC5E74" w:rsidRPr="00DE63DE" w:rsidRDefault="00CC5E74" w:rsidP="00EF4A2E">
            <w:pPr>
              <w:pStyle w:val="TableDataColumnHeading"/>
              <w:jc w:val="left"/>
            </w:pPr>
            <w:r>
              <w:t>Question</w:t>
            </w:r>
          </w:p>
        </w:tc>
        <w:tc>
          <w:tcPr>
            <w:tcW w:w="5360" w:type="dxa"/>
            <w:shd w:val="clear" w:color="auto" w:fill="6F6652" w:themeFill="accent5"/>
          </w:tcPr>
          <w:p w:rsidR="00CC5E74" w:rsidRPr="00DE63DE" w:rsidRDefault="00CC5E74" w:rsidP="00EF4A2E">
            <w:pPr>
              <w:pStyle w:val="TableDataColumnHeading"/>
              <w:jc w:val="left"/>
            </w:pPr>
            <w:r>
              <w:t>Answer</w:t>
            </w:r>
          </w:p>
        </w:tc>
        <w:tc>
          <w:tcPr>
            <w:tcW w:w="1301" w:type="dxa"/>
            <w:shd w:val="clear" w:color="auto" w:fill="6F6652" w:themeFill="accent5"/>
            <w:hideMark/>
          </w:tcPr>
          <w:p w:rsidR="00CC5E74" w:rsidRDefault="00CC5E74" w:rsidP="00C36DA4">
            <w:pPr>
              <w:pStyle w:val="TableDataColumnHeading"/>
            </w:pPr>
            <w:r w:rsidRPr="00DE63DE">
              <w:t>Sample reweighted</w:t>
            </w:r>
          </w:p>
          <w:p w:rsidR="00CC5E74" w:rsidRPr="00DE63DE" w:rsidRDefault="00CC5E74" w:rsidP="00C36DA4">
            <w:pPr>
              <w:pStyle w:val="TableDataColumnHeading"/>
            </w:pPr>
            <w:r>
              <w:t>(per cent)</w:t>
            </w:r>
          </w:p>
        </w:tc>
      </w:tr>
      <w:tr w:rsidR="00CC5E74" w:rsidRPr="00DE63DE" w:rsidTr="00CC5E74">
        <w:trPr>
          <w:trHeight w:val="250"/>
        </w:trPr>
        <w:tc>
          <w:tcPr>
            <w:tcW w:w="1276" w:type="dxa"/>
            <w:tcBorders>
              <w:top w:val="single" w:sz="8" w:space="0" w:color="FFFFFF" w:themeColor="background1"/>
              <w:bottom w:val="single" w:sz="8" w:space="0" w:color="FFFFFF" w:themeColor="background1"/>
            </w:tcBorders>
            <w:shd w:val="clear" w:color="auto" w:fill="E9E8E5" w:themeFill="background2"/>
          </w:tcPr>
          <w:p w:rsidR="00CC5E74" w:rsidRPr="00DE63DE" w:rsidRDefault="00CC5E74" w:rsidP="00CC5E74">
            <w:pPr>
              <w:pStyle w:val="TableDataEntries"/>
              <w:jc w:val="left"/>
            </w:pPr>
            <w:r>
              <w:t>Q1</w:t>
            </w:r>
          </w:p>
        </w:tc>
        <w:tc>
          <w:tcPr>
            <w:tcW w:w="5360" w:type="dxa"/>
            <w:tcBorders>
              <w:top w:val="single" w:sz="8" w:space="0" w:color="FFFFFF" w:themeColor="background1"/>
              <w:bottom w:val="single" w:sz="8" w:space="0" w:color="FFFFFF" w:themeColor="background1"/>
            </w:tcBorders>
            <w:shd w:val="clear" w:color="auto" w:fill="E9E8E5" w:themeFill="background2"/>
          </w:tcPr>
          <w:p w:rsidR="00CC5E74" w:rsidRPr="00DE63DE" w:rsidRDefault="00CC5E74" w:rsidP="00CC5E74">
            <w:pPr>
              <w:pStyle w:val="TableDataEntries"/>
              <w:jc w:val="left"/>
            </w:pPr>
            <w:r w:rsidRPr="00DE63DE">
              <w:t>I believe it is very likely the survey will affect government action</w:t>
            </w:r>
          </w:p>
        </w:tc>
        <w:tc>
          <w:tcPr>
            <w:tcW w:w="1301" w:type="dxa"/>
            <w:tcBorders>
              <w:top w:val="single" w:sz="8" w:space="0" w:color="FFFFFF" w:themeColor="background1"/>
              <w:bottom w:val="single" w:sz="8" w:space="0" w:color="FFFFFF" w:themeColor="background1"/>
            </w:tcBorders>
            <w:shd w:val="clear" w:color="auto" w:fill="E9E8E5" w:themeFill="background2"/>
            <w:hideMark/>
          </w:tcPr>
          <w:p w:rsidR="00CC5E74" w:rsidRPr="00DE63DE" w:rsidRDefault="00CC5E74" w:rsidP="00CC5E74">
            <w:pPr>
              <w:pStyle w:val="TableDataEntries"/>
            </w:pPr>
            <w:r w:rsidRPr="00DE63DE">
              <w:t>13.3%</w:t>
            </w:r>
          </w:p>
        </w:tc>
      </w:tr>
      <w:tr w:rsidR="00CC5E74" w:rsidRPr="00DE63DE" w:rsidTr="00CC5E74">
        <w:trPr>
          <w:trHeight w:val="67"/>
        </w:trPr>
        <w:tc>
          <w:tcPr>
            <w:tcW w:w="1276" w:type="dxa"/>
            <w:tcBorders>
              <w:top w:val="single" w:sz="8" w:space="0" w:color="FFFFFF" w:themeColor="background1"/>
              <w:bottom w:val="single" w:sz="8" w:space="0" w:color="FFFFFF" w:themeColor="background1"/>
            </w:tcBorders>
            <w:shd w:val="clear" w:color="auto" w:fill="E9E8E5" w:themeFill="background2"/>
          </w:tcPr>
          <w:p w:rsidR="00CC5E74" w:rsidRPr="00DE63DE" w:rsidRDefault="00CC5E74" w:rsidP="00CC5E74">
            <w:pPr>
              <w:pStyle w:val="TableDataEntries"/>
              <w:jc w:val="left"/>
            </w:pPr>
            <w:r w:rsidRPr="00BC22CE">
              <w:t>Q1</w:t>
            </w:r>
          </w:p>
        </w:tc>
        <w:tc>
          <w:tcPr>
            <w:tcW w:w="5360" w:type="dxa"/>
            <w:tcBorders>
              <w:top w:val="single" w:sz="8" w:space="0" w:color="FFFFFF" w:themeColor="background1"/>
              <w:bottom w:val="single" w:sz="8" w:space="0" w:color="FFFFFF" w:themeColor="background1"/>
            </w:tcBorders>
            <w:shd w:val="clear" w:color="auto" w:fill="E9E8E5" w:themeFill="background2"/>
          </w:tcPr>
          <w:p w:rsidR="00CC5E74" w:rsidRPr="00DE63DE" w:rsidRDefault="00CC5E74" w:rsidP="00CC5E74">
            <w:pPr>
              <w:pStyle w:val="TableDataEntries"/>
              <w:jc w:val="left"/>
            </w:pPr>
            <w:r w:rsidRPr="00DE63DE">
              <w:t>I believe it is somewhat likely the survey will affect government action</w:t>
            </w:r>
          </w:p>
        </w:tc>
        <w:tc>
          <w:tcPr>
            <w:tcW w:w="1301" w:type="dxa"/>
            <w:tcBorders>
              <w:top w:val="single" w:sz="8" w:space="0" w:color="FFFFFF" w:themeColor="background1"/>
              <w:bottom w:val="single" w:sz="8" w:space="0" w:color="FFFFFF" w:themeColor="background1"/>
            </w:tcBorders>
            <w:shd w:val="clear" w:color="auto" w:fill="E9E8E5" w:themeFill="background2"/>
            <w:hideMark/>
          </w:tcPr>
          <w:p w:rsidR="00CC5E74" w:rsidRPr="00DE63DE" w:rsidRDefault="00CC5E74" w:rsidP="00CC5E74">
            <w:pPr>
              <w:pStyle w:val="TableDataEntries"/>
            </w:pPr>
            <w:r w:rsidRPr="00DE63DE">
              <w:t>42.4%</w:t>
            </w:r>
          </w:p>
        </w:tc>
      </w:tr>
      <w:tr w:rsidR="00CC5E74" w:rsidRPr="00DE63DE" w:rsidTr="00CC5E74">
        <w:trPr>
          <w:trHeight w:val="250"/>
        </w:trPr>
        <w:tc>
          <w:tcPr>
            <w:tcW w:w="1276" w:type="dxa"/>
            <w:tcBorders>
              <w:top w:val="single" w:sz="8" w:space="0" w:color="FFFFFF" w:themeColor="background1"/>
              <w:bottom w:val="single" w:sz="8" w:space="0" w:color="FFFFFF" w:themeColor="background1"/>
            </w:tcBorders>
            <w:shd w:val="clear" w:color="auto" w:fill="E9E8E5" w:themeFill="background2"/>
          </w:tcPr>
          <w:p w:rsidR="00CC5E74" w:rsidRPr="00DE63DE" w:rsidRDefault="00CC5E74" w:rsidP="00CC5E74">
            <w:pPr>
              <w:pStyle w:val="TableDataEntries"/>
              <w:jc w:val="left"/>
            </w:pPr>
            <w:r w:rsidRPr="00BC22CE">
              <w:t>Q1</w:t>
            </w:r>
          </w:p>
        </w:tc>
        <w:tc>
          <w:tcPr>
            <w:tcW w:w="5360" w:type="dxa"/>
            <w:tcBorders>
              <w:top w:val="single" w:sz="8" w:space="0" w:color="FFFFFF" w:themeColor="background1"/>
              <w:bottom w:val="single" w:sz="8" w:space="0" w:color="FFFFFF" w:themeColor="background1"/>
            </w:tcBorders>
            <w:shd w:val="clear" w:color="auto" w:fill="E9E8E5" w:themeFill="background2"/>
          </w:tcPr>
          <w:p w:rsidR="00CC5E74" w:rsidRPr="00DE63DE" w:rsidRDefault="00CC5E74" w:rsidP="00CC5E74">
            <w:pPr>
              <w:pStyle w:val="TableDataEntries"/>
              <w:jc w:val="left"/>
            </w:pPr>
            <w:r w:rsidRPr="00DE63DE">
              <w:t>I don’t think the survey will affect government action</w:t>
            </w:r>
          </w:p>
        </w:tc>
        <w:tc>
          <w:tcPr>
            <w:tcW w:w="1301" w:type="dxa"/>
            <w:tcBorders>
              <w:top w:val="single" w:sz="8" w:space="0" w:color="FFFFFF" w:themeColor="background1"/>
              <w:bottom w:val="single" w:sz="8" w:space="0" w:color="FFFFFF" w:themeColor="background1"/>
            </w:tcBorders>
            <w:shd w:val="clear" w:color="auto" w:fill="E9E8E5" w:themeFill="background2"/>
            <w:hideMark/>
          </w:tcPr>
          <w:p w:rsidR="00CC5E74" w:rsidRPr="00DE63DE" w:rsidRDefault="00CC5E74" w:rsidP="00CC5E74">
            <w:pPr>
              <w:pStyle w:val="TableDataEntries"/>
            </w:pPr>
            <w:r w:rsidRPr="00DE63DE">
              <w:t>44.3%</w:t>
            </w:r>
          </w:p>
        </w:tc>
      </w:tr>
      <w:tr w:rsidR="00CC5E74" w:rsidRPr="00DE63DE" w:rsidTr="00CC5E74">
        <w:trPr>
          <w:trHeight w:val="250"/>
        </w:trPr>
        <w:tc>
          <w:tcPr>
            <w:tcW w:w="1276" w:type="dxa"/>
            <w:tcBorders>
              <w:top w:val="single" w:sz="8" w:space="0" w:color="FFFFFF" w:themeColor="background1"/>
              <w:bottom w:val="single" w:sz="8" w:space="0" w:color="FFFFFF" w:themeColor="background1"/>
            </w:tcBorders>
            <w:shd w:val="clear" w:color="auto" w:fill="E9E8E5" w:themeFill="background2"/>
          </w:tcPr>
          <w:p w:rsidR="00CC5E74" w:rsidRPr="00DE63DE" w:rsidRDefault="00CC5E74" w:rsidP="00CC5E74">
            <w:pPr>
              <w:pStyle w:val="TableDataEntries"/>
              <w:jc w:val="left"/>
            </w:pPr>
            <w:r w:rsidRPr="00BC22CE">
              <w:t>Q</w:t>
            </w:r>
            <w:r>
              <w:t>2</w:t>
            </w:r>
          </w:p>
        </w:tc>
        <w:tc>
          <w:tcPr>
            <w:tcW w:w="5360" w:type="dxa"/>
            <w:tcBorders>
              <w:top w:val="single" w:sz="8" w:space="0" w:color="FFFFFF" w:themeColor="background1"/>
              <w:bottom w:val="single" w:sz="8" w:space="0" w:color="FFFFFF" w:themeColor="background1"/>
            </w:tcBorders>
            <w:shd w:val="clear" w:color="auto" w:fill="E9E8E5" w:themeFill="background2"/>
          </w:tcPr>
          <w:p w:rsidR="00CC5E74" w:rsidRPr="00DE63DE" w:rsidRDefault="00CC5E74" w:rsidP="00CC5E74">
            <w:pPr>
              <w:pStyle w:val="TableDataEntries"/>
              <w:jc w:val="left"/>
            </w:pPr>
            <w:r w:rsidRPr="00DE63DE">
              <w:t>I believe it is very likely the survey will affect my rates and taxes</w:t>
            </w:r>
          </w:p>
        </w:tc>
        <w:tc>
          <w:tcPr>
            <w:tcW w:w="1301" w:type="dxa"/>
            <w:tcBorders>
              <w:top w:val="single" w:sz="8" w:space="0" w:color="FFFFFF" w:themeColor="background1"/>
              <w:bottom w:val="single" w:sz="8" w:space="0" w:color="FFFFFF" w:themeColor="background1"/>
            </w:tcBorders>
            <w:shd w:val="clear" w:color="auto" w:fill="E9E8E5" w:themeFill="background2"/>
            <w:hideMark/>
          </w:tcPr>
          <w:p w:rsidR="00CC5E74" w:rsidRPr="00DE63DE" w:rsidRDefault="00CC5E74" w:rsidP="00CC5E74">
            <w:pPr>
              <w:pStyle w:val="TableDataEntries"/>
            </w:pPr>
            <w:r w:rsidRPr="00DE63DE">
              <w:t>13.9%</w:t>
            </w:r>
          </w:p>
        </w:tc>
      </w:tr>
      <w:tr w:rsidR="00CC5E74" w:rsidRPr="00DE63DE" w:rsidTr="00CC5E74">
        <w:trPr>
          <w:trHeight w:val="48"/>
        </w:trPr>
        <w:tc>
          <w:tcPr>
            <w:tcW w:w="1276" w:type="dxa"/>
            <w:tcBorders>
              <w:top w:val="single" w:sz="8" w:space="0" w:color="FFFFFF" w:themeColor="background1"/>
              <w:bottom w:val="single" w:sz="8" w:space="0" w:color="FFFFFF" w:themeColor="background1"/>
            </w:tcBorders>
            <w:shd w:val="clear" w:color="auto" w:fill="E9E8E5" w:themeFill="background2"/>
          </w:tcPr>
          <w:p w:rsidR="00CC5E74" w:rsidRPr="00DE63DE" w:rsidRDefault="00CC5E74" w:rsidP="00CC5E74">
            <w:pPr>
              <w:pStyle w:val="TableDataEntries"/>
              <w:jc w:val="left"/>
            </w:pPr>
            <w:r w:rsidRPr="007C587E">
              <w:t>Q2</w:t>
            </w:r>
          </w:p>
        </w:tc>
        <w:tc>
          <w:tcPr>
            <w:tcW w:w="5360" w:type="dxa"/>
            <w:tcBorders>
              <w:top w:val="single" w:sz="8" w:space="0" w:color="FFFFFF" w:themeColor="background1"/>
              <w:bottom w:val="single" w:sz="8" w:space="0" w:color="FFFFFF" w:themeColor="background1"/>
            </w:tcBorders>
            <w:shd w:val="clear" w:color="auto" w:fill="E9E8E5" w:themeFill="background2"/>
          </w:tcPr>
          <w:p w:rsidR="00CC5E74" w:rsidRPr="00DE63DE" w:rsidRDefault="00CC5E74" w:rsidP="00CC5E74">
            <w:pPr>
              <w:pStyle w:val="TableDataEntries"/>
              <w:jc w:val="left"/>
            </w:pPr>
            <w:r w:rsidRPr="00DE63DE">
              <w:t>I believe it is somewhat likely the survey will affect my rates and taxes</w:t>
            </w:r>
          </w:p>
        </w:tc>
        <w:tc>
          <w:tcPr>
            <w:tcW w:w="1301" w:type="dxa"/>
            <w:tcBorders>
              <w:top w:val="single" w:sz="8" w:space="0" w:color="FFFFFF" w:themeColor="background1"/>
              <w:bottom w:val="single" w:sz="8" w:space="0" w:color="FFFFFF" w:themeColor="background1"/>
            </w:tcBorders>
            <w:shd w:val="clear" w:color="auto" w:fill="E9E8E5" w:themeFill="background2"/>
            <w:hideMark/>
          </w:tcPr>
          <w:p w:rsidR="00CC5E74" w:rsidRPr="00DE63DE" w:rsidRDefault="00CC5E74" w:rsidP="00CC5E74">
            <w:pPr>
              <w:pStyle w:val="TableDataEntries"/>
            </w:pPr>
            <w:r w:rsidRPr="00DE63DE">
              <w:t>44.2%</w:t>
            </w:r>
          </w:p>
        </w:tc>
      </w:tr>
      <w:tr w:rsidR="00CC5E74" w:rsidRPr="00DE63DE" w:rsidTr="00CC5E74">
        <w:trPr>
          <w:trHeight w:val="250"/>
        </w:trPr>
        <w:tc>
          <w:tcPr>
            <w:tcW w:w="1276" w:type="dxa"/>
            <w:tcBorders>
              <w:top w:val="single" w:sz="8" w:space="0" w:color="FFFFFF" w:themeColor="background1"/>
              <w:bottom w:val="single" w:sz="4" w:space="0" w:color="6F6652" w:themeColor="accent5"/>
            </w:tcBorders>
            <w:shd w:val="clear" w:color="auto" w:fill="E9E8E5" w:themeFill="background2"/>
          </w:tcPr>
          <w:p w:rsidR="00CC5E74" w:rsidRPr="00DE63DE" w:rsidRDefault="00CC5E74" w:rsidP="00CC5E74">
            <w:pPr>
              <w:pStyle w:val="TableDataEntries"/>
              <w:jc w:val="left"/>
            </w:pPr>
            <w:r w:rsidRPr="007C587E">
              <w:t>Q2</w:t>
            </w:r>
          </w:p>
        </w:tc>
        <w:tc>
          <w:tcPr>
            <w:tcW w:w="5360" w:type="dxa"/>
            <w:tcBorders>
              <w:top w:val="single" w:sz="8" w:space="0" w:color="FFFFFF" w:themeColor="background1"/>
              <w:bottom w:val="single" w:sz="4" w:space="0" w:color="6F6652" w:themeColor="accent5"/>
            </w:tcBorders>
            <w:shd w:val="clear" w:color="auto" w:fill="E9E8E5" w:themeFill="background2"/>
          </w:tcPr>
          <w:p w:rsidR="00CC5E74" w:rsidRPr="00DE63DE" w:rsidRDefault="00CC5E74" w:rsidP="00CC5E74">
            <w:pPr>
              <w:pStyle w:val="TableDataEntries"/>
              <w:jc w:val="left"/>
            </w:pPr>
            <w:r w:rsidRPr="00DE63DE">
              <w:t>I don’t think the survey will affect my rates and taxes</w:t>
            </w:r>
          </w:p>
        </w:tc>
        <w:tc>
          <w:tcPr>
            <w:tcW w:w="1301" w:type="dxa"/>
            <w:tcBorders>
              <w:top w:val="single" w:sz="8" w:space="0" w:color="FFFFFF" w:themeColor="background1"/>
              <w:bottom w:val="single" w:sz="4" w:space="0" w:color="6F6652" w:themeColor="accent5"/>
            </w:tcBorders>
            <w:shd w:val="clear" w:color="auto" w:fill="E9E8E5" w:themeFill="background2"/>
            <w:hideMark/>
          </w:tcPr>
          <w:p w:rsidR="00CC5E74" w:rsidRPr="00DE63DE" w:rsidRDefault="00CC5E74" w:rsidP="00CC5E74">
            <w:pPr>
              <w:pStyle w:val="TableDataEntries"/>
            </w:pPr>
            <w:r w:rsidRPr="00DE63DE">
              <w:t>41.9%</w:t>
            </w:r>
          </w:p>
        </w:tc>
      </w:tr>
    </w:tbl>
    <w:p w:rsidR="00CC5E74" w:rsidRDefault="00CC5E74" w:rsidP="00CC5E74">
      <w:pPr>
        <w:pStyle w:val="Note"/>
        <w:rPr>
          <w:lang w:bidi="fa-IR"/>
        </w:rPr>
      </w:pPr>
      <w:r w:rsidRPr="007D1B4F">
        <w:rPr>
          <w:i/>
        </w:rPr>
        <w:t>Note:</w:t>
      </w:r>
      <w:r w:rsidRPr="00E879B8">
        <w:t xml:space="preserve"> </w:t>
      </w:r>
    </w:p>
    <w:p w:rsidR="00CC5E74" w:rsidRPr="00B23FB7" w:rsidRDefault="00CC5E74" w:rsidP="00CC5E74">
      <w:pPr>
        <w:pStyle w:val="TableListBullet"/>
      </w:pPr>
      <w:r w:rsidRPr="00743BC0">
        <w:t xml:space="preserve">Q1: </w:t>
      </w:r>
      <w:r w:rsidRPr="00135066">
        <w:t>To what degree do you expect the results of this survey will affect government action on accessible housing?</w:t>
      </w:r>
    </w:p>
    <w:p w:rsidR="00CC5E74" w:rsidRPr="00B23FB7" w:rsidRDefault="00CC5E74" w:rsidP="00CC5E74">
      <w:pPr>
        <w:pStyle w:val="TableListBullet"/>
      </w:pPr>
      <w:r w:rsidRPr="00743BC0">
        <w:t xml:space="preserve">Q2: </w:t>
      </w:r>
      <w:r w:rsidRPr="00135066">
        <w:t>To what degree do you expect the results of this survey will affect your rates and taxes?</w:t>
      </w:r>
    </w:p>
    <w:p w:rsidR="007C6A5F" w:rsidRDefault="007C6A5F" w:rsidP="007C6A5F">
      <w:pPr>
        <w:pStyle w:val="Source"/>
      </w:pPr>
      <w:r>
        <w:rPr>
          <w:i/>
        </w:rPr>
        <w:t>Source</w:t>
      </w:r>
      <w:r w:rsidRPr="00E4232C">
        <w:rPr>
          <w:i/>
        </w:rPr>
        <w:t>:</w:t>
      </w:r>
      <w:r>
        <w:t xml:space="preserve"> CIE</w:t>
      </w:r>
      <w:r w:rsidR="00DE71A3">
        <w:t>.</w:t>
      </w:r>
    </w:p>
    <w:p w:rsidR="007C6A5F" w:rsidRDefault="007C6A5F" w:rsidP="007C6A5F">
      <w:pPr>
        <w:pStyle w:val="Heading6"/>
        <w:numPr>
          <w:ilvl w:val="5"/>
          <w:numId w:val="5"/>
        </w:numPr>
        <w:rPr>
          <w:lang w:eastAsia="en-US"/>
        </w:rPr>
      </w:pPr>
      <w:bookmarkStart w:id="9896" w:name="_Toc32321784"/>
      <w:bookmarkStart w:id="9897" w:name="_Toc44598474"/>
      <w:bookmarkStart w:id="9898" w:name="_Toc45654105"/>
      <w:r>
        <w:rPr>
          <w:lang w:eastAsia="en-US"/>
        </w:rPr>
        <w:lastRenderedPageBreak/>
        <w:t>Survey questionnaire</w:t>
      </w:r>
      <w:bookmarkEnd w:id="9896"/>
      <w:bookmarkEnd w:id="9897"/>
      <w:bookmarkEnd w:id="9898"/>
    </w:p>
    <w:p w:rsidR="007C6A5F" w:rsidRDefault="007C6A5F" w:rsidP="007C6A5F">
      <w:pPr>
        <w:rPr>
          <w:rStyle w:val="DraftingNote"/>
        </w:rPr>
      </w:pPr>
      <w:r>
        <w:rPr>
          <w:rStyle w:val="DraftingNote"/>
        </w:rPr>
        <w:t>FOR COMPLETION ON DESKTOP ONLY</w:t>
      </w:r>
    </w:p>
    <w:p w:rsidR="007C6A5F" w:rsidRDefault="007C6A5F" w:rsidP="007C6A5F">
      <w:pPr>
        <w:pStyle w:val="Heading8"/>
        <w:numPr>
          <w:ilvl w:val="7"/>
          <w:numId w:val="5"/>
        </w:numPr>
      </w:pPr>
      <w:r>
        <w:t>Welcome...</w:t>
      </w:r>
    </w:p>
    <w:p w:rsidR="007C6A5F" w:rsidRDefault="007C6A5F" w:rsidP="007C6A5F">
      <w:pPr>
        <w:pStyle w:val="BodyText"/>
      </w:pPr>
      <w:r>
        <w:t>Thank you for participating in this survey, which is being run by Pureprofile and the Centre for International Economics on behalf of the Australian Building Codes Board.</w:t>
      </w:r>
    </w:p>
    <w:p w:rsidR="007C6A5F" w:rsidRDefault="007C6A5F" w:rsidP="007C6A5F">
      <w:pPr>
        <w:pStyle w:val="BodyText"/>
      </w:pPr>
      <w:r>
        <w:t>This survey is about housing features. Your input is very important and will affect the ways that houses are built.</w:t>
      </w:r>
    </w:p>
    <w:p w:rsidR="007C6A5F" w:rsidRDefault="007C6A5F" w:rsidP="007C6A5F">
      <w:pPr>
        <w:pStyle w:val="BodyText"/>
      </w:pPr>
      <w:r>
        <w:t>This questionnaire will take around 15 minutes to complete.</w:t>
      </w:r>
    </w:p>
    <w:p w:rsidR="007C6A5F" w:rsidRDefault="007C6A5F" w:rsidP="007C6A5F">
      <w:pPr>
        <w:pStyle w:val="BodyText"/>
      </w:pPr>
      <w:r>
        <w:t>We wish to reassure you that this is genuine market research and, as always, your individual survey responses will remain confidential and anonymous at all times.</w:t>
      </w:r>
    </w:p>
    <w:p w:rsidR="007C6A5F" w:rsidRDefault="007C6A5F" w:rsidP="007C6A5F">
      <w:pPr>
        <w:pStyle w:val="BodyText"/>
      </w:pPr>
      <w:r>
        <w:t>In the unlikely event of any technical difficulties please click on the technical support e-mail link.</w:t>
      </w:r>
    </w:p>
    <w:p w:rsidR="007C6A5F" w:rsidRDefault="007C6A5F" w:rsidP="007C6A5F">
      <w:pPr>
        <w:pStyle w:val="Heading8"/>
        <w:numPr>
          <w:ilvl w:val="7"/>
          <w:numId w:val="5"/>
        </w:numPr>
      </w:pPr>
      <w:r>
        <w:t>Please Keep In Mind...</w:t>
      </w:r>
    </w:p>
    <w:p w:rsidR="007C6A5F" w:rsidRDefault="007C6A5F" w:rsidP="007C6A5F">
      <w:pPr>
        <w:pStyle w:val="BodyText"/>
      </w:pPr>
      <w:r>
        <w:t>Do not use your Back or Forward browser buttons while you are taking this survey. Once you answer a question, you will not be able to go back and change your answer.</w:t>
      </w:r>
    </w:p>
    <w:p w:rsidR="007C6A5F" w:rsidRDefault="007C6A5F" w:rsidP="007C6A5F">
      <w:pPr>
        <w:pStyle w:val="BodyText"/>
      </w:pPr>
      <w:r>
        <w:t>Before we go through to the main study we would like to ask you some questions to make sure we are interviewing a good cross section of people.</w:t>
      </w:r>
    </w:p>
    <w:p w:rsidR="007C6A5F" w:rsidRDefault="007C6A5F" w:rsidP="007C6A5F">
      <w:pPr>
        <w:spacing w:before="140"/>
        <w:rPr>
          <w:rFonts w:asciiTheme="minorHAnsi" w:eastAsia="Times New Roman" w:hAnsiTheme="minorHAnsi"/>
        </w:rPr>
      </w:pPr>
      <w:r>
        <w:br w:type="page"/>
      </w:r>
    </w:p>
    <w:p w:rsidR="007C6A5F" w:rsidRDefault="007C6A5F" w:rsidP="005A6F87">
      <w:pPr>
        <w:pStyle w:val="BodyText"/>
        <w:numPr>
          <w:ilvl w:val="0"/>
          <w:numId w:val="19"/>
        </w:numPr>
      </w:pPr>
      <w:r>
        <w:lastRenderedPageBreak/>
        <w:t>Do you or a member of your household work in the market research industry or for the Australian Building Codes Board?</w:t>
      </w:r>
    </w:p>
    <w:p w:rsidR="007C6A5F" w:rsidRDefault="007C6A5F" w:rsidP="005A6F87">
      <w:pPr>
        <w:pStyle w:val="BodyText"/>
        <w:numPr>
          <w:ilvl w:val="1"/>
          <w:numId w:val="19"/>
        </w:numPr>
      </w:pPr>
      <w:r>
        <w:t xml:space="preserve">Yes </w:t>
      </w:r>
      <w:r>
        <w:rPr>
          <w:rStyle w:val="DraftingNote"/>
        </w:rPr>
        <w:t xml:space="preserve"> TERMINATE</w:t>
      </w:r>
    </w:p>
    <w:p w:rsidR="007C6A5F" w:rsidRDefault="007C6A5F" w:rsidP="005A6F87">
      <w:pPr>
        <w:pStyle w:val="BodyText"/>
        <w:numPr>
          <w:ilvl w:val="1"/>
          <w:numId w:val="19"/>
        </w:numPr>
      </w:pPr>
      <w:r>
        <w:t>No</w:t>
      </w:r>
    </w:p>
    <w:p w:rsidR="007C6A5F" w:rsidRDefault="007C6A5F" w:rsidP="007C6A5F">
      <w:pPr>
        <w:pStyle w:val="BodyText"/>
      </w:pPr>
    </w:p>
    <w:p w:rsidR="007C6A5F" w:rsidRDefault="007C6A5F" w:rsidP="007C6A5F">
      <w:pPr>
        <w:spacing w:before="140"/>
        <w:rPr>
          <w:rFonts w:asciiTheme="minorHAnsi" w:eastAsia="Times New Roman" w:hAnsiTheme="minorHAnsi"/>
        </w:rPr>
      </w:pPr>
      <w:r>
        <w:br w:type="page"/>
      </w:r>
    </w:p>
    <w:p w:rsidR="007C6A5F" w:rsidRDefault="007C6A5F" w:rsidP="005A6F87">
      <w:pPr>
        <w:pStyle w:val="BodyText"/>
        <w:numPr>
          <w:ilvl w:val="0"/>
          <w:numId w:val="19"/>
        </w:numPr>
      </w:pPr>
      <w:r>
        <w:lastRenderedPageBreak/>
        <w:t xml:space="preserve">What is the postcode of your home address? </w:t>
      </w:r>
      <w:r>
        <w:rPr>
          <w:rStyle w:val="DraftingNote"/>
        </w:rPr>
        <w:t>CHECK QUOTAS</w:t>
      </w:r>
    </w:p>
    <w:p w:rsidR="007C6A5F" w:rsidRDefault="007C6A5F" w:rsidP="007C6A5F">
      <w:pPr>
        <w:pStyle w:val="ListParagraph"/>
      </w:pPr>
    </w:p>
    <w:p w:rsidR="007C6A5F" w:rsidRDefault="007C6A5F" w:rsidP="007C6A5F">
      <w:pPr>
        <w:spacing w:before="140"/>
        <w:rPr>
          <w:rFonts w:asciiTheme="minorHAnsi" w:eastAsia="Times New Roman" w:hAnsiTheme="minorHAnsi"/>
        </w:rPr>
      </w:pPr>
      <w:r>
        <w:br w:type="page"/>
      </w:r>
    </w:p>
    <w:p w:rsidR="007C6A5F" w:rsidRDefault="007C6A5F" w:rsidP="005A6F87">
      <w:pPr>
        <w:pStyle w:val="BodyText"/>
        <w:numPr>
          <w:ilvl w:val="0"/>
          <w:numId w:val="19"/>
        </w:numPr>
      </w:pPr>
      <w:r>
        <w:lastRenderedPageBreak/>
        <w:t xml:space="preserve">Are you… </w:t>
      </w:r>
      <w:r>
        <w:rPr>
          <w:rStyle w:val="DraftingNote"/>
        </w:rPr>
        <w:t>CHECK QUOTAS</w:t>
      </w:r>
    </w:p>
    <w:p w:rsidR="007C6A5F" w:rsidRDefault="007C6A5F" w:rsidP="005A6F87">
      <w:pPr>
        <w:pStyle w:val="BodyText"/>
        <w:numPr>
          <w:ilvl w:val="1"/>
          <w:numId w:val="19"/>
        </w:numPr>
      </w:pPr>
      <w:r>
        <w:t>Male</w:t>
      </w:r>
    </w:p>
    <w:p w:rsidR="007C6A5F" w:rsidRDefault="007C6A5F" w:rsidP="005A6F87">
      <w:pPr>
        <w:pStyle w:val="BodyText"/>
        <w:numPr>
          <w:ilvl w:val="1"/>
          <w:numId w:val="19"/>
        </w:numPr>
      </w:pPr>
      <w:r>
        <w:t>Female</w:t>
      </w:r>
    </w:p>
    <w:p w:rsidR="007C6A5F" w:rsidRDefault="007C6A5F" w:rsidP="005A6F87">
      <w:pPr>
        <w:pStyle w:val="BodyText"/>
        <w:numPr>
          <w:ilvl w:val="1"/>
          <w:numId w:val="19"/>
        </w:numPr>
      </w:pPr>
      <w:r>
        <w:t>Non-binary</w:t>
      </w:r>
    </w:p>
    <w:p w:rsidR="007C6A5F" w:rsidRDefault="007C6A5F" w:rsidP="005A6F87">
      <w:pPr>
        <w:pStyle w:val="BodyText"/>
        <w:numPr>
          <w:ilvl w:val="1"/>
          <w:numId w:val="19"/>
        </w:numPr>
      </w:pPr>
      <w:r>
        <w:t>Prefer not to say</w:t>
      </w:r>
    </w:p>
    <w:p w:rsidR="007C6A5F" w:rsidRDefault="007C6A5F" w:rsidP="007C6A5F">
      <w:pPr>
        <w:pStyle w:val="BodyText"/>
      </w:pPr>
    </w:p>
    <w:p w:rsidR="007C6A5F" w:rsidRDefault="007C6A5F" w:rsidP="007C6A5F">
      <w:pPr>
        <w:spacing w:before="140"/>
        <w:rPr>
          <w:rFonts w:asciiTheme="minorHAnsi" w:eastAsia="Times New Roman" w:hAnsiTheme="minorHAnsi"/>
        </w:rPr>
      </w:pPr>
      <w:r>
        <w:br w:type="page"/>
      </w:r>
    </w:p>
    <w:p w:rsidR="007C6A5F" w:rsidRDefault="007C6A5F" w:rsidP="005A6F87">
      <w:pPr>
        <w:pStyle w:val="BodyText"/>
        <w:numPr>
          <w:ilvl w:val="0"/>
          <w:numId w:val="19"/>
        </w:numPr>
      </w:pPr>
      <w:r>
        <w:lastRenderedPageBreak/>
        <w:t xml:space="preserve">What is your age? </w:t>
      </w:r>
      <w:r>
        <w:rPr>
          <w:rStyle w:val="DraftingNote"/>
        </w:rPr>
        <w:t>CHECK QUOTAS</w:t>
      </w:r>
    </w:p>
    <w:p w:rsidR="007C6A5F" w:rsidRDefault="007C6A5F" w:rsidP="005A6F87">
      <w:pPr>
        <w:pStyle w:val="BodyText"/>
        <w:numPr>
          <w:ilvl w:val="1"/>
          <w:numId w:val="19"/>
        </w:numPr>
      </w:pPr>
      <w:r>
        <w:t xml:space="preserve">Less than 18 years </w:t>
      </w:r>
      <w:r>
        <w:rPr>
          <w:rStyle w:val="DraftingNote"/>
        </w:rPr>
        <w:t>TERMINATE</w:t>
      </w:r>
    </w:p>
    <w:p w:rsidR="007C6A5F" w:rsidRDefault="007C6A5F" w:rsidP="005A6F87">
      <w:pPr>
        <w:pStyle w:val="BodyText"/>
        <w:numPr>
          <w:ilvl w:val="1"/>
          <w:numId w:val="19"/>
        </w:numPr>
      </w:pPr>
      <w:r>
        <w:t>18-19 years</w:t>
      </w:r>
    </w:p>
    <w:p w:rsidR="007C6A5F" w:rsidRDefault="007C6A5F" w:rsidP="005A6F87">
      <w:pPr>
        <w:pStyle w:val="BodyText"/>
        <w:numPr>
          <w:ilvl w:val="1"/>
          <w:numId w:val="19"/>
        </w:numPr>
      </w:pPr>
      <w:r>
        <w:t>20-29 years</w:t>
      </w:r>
    </w:p>
    <w:p w:rsidR="007C6A5F" w:rsidRDefault="007C6A5F" w:rsidP="005A6F87">
      <w:pPr>
        <w:pStyle w:val="BodyText"/>
        <w:numPr>
          <w:ilvl w:val="1"/>
          <w:numId w:val="19"/>
        </w:numPr>
      </w:pPr>
      <w:r>
        <w:t>30-39 years</w:t>
      </w:r>
    </w:p>
    <w:p w:rsidR="007C6A5F" w:rsidRDefault="007C6A5F" w:rsidP="005A6F87">
      <w:pPr>
        <w:pStyle w:val="BodyText"/>
        <w:numPr>
          <w:ilvl w:val="1"/>
          <w:numId w:val="19"/>
        </w:numPr>
      </w:pPr>
      <w:r>
        <w:t>40-49 years</w:t>
      </w:r>
    </w:p>
    <w:p w:rsidR="007C6A5F" w:rsidRDefault="007C6A5F" w:rsidP="005A6F87">
      <w:pPr>
        <w:pStyle w:val="BodyText"/>
        <w:numPr>
          <w:ilvl w:val="1"/>
          <w:numId w:val="19"/>
        </w:numPr>
      </w:pPr>
      <w:r>
        <w:t>50-59 years</w:t>
      </w:r>
    </w:p>
    <w:p w:rsidR="007C6A5F" w:rsidRDefault="007C6A5F" w:rsidP="005A6F87">
      <w:pPr>
        <w:pStyle w:val="BodyText"/>
        <w:numPr>
          <w:ilvl w:val="1"/>
          <w:numId w:val="19"/>
        </w:numPr>
      </w:pPr>
      <w:r>
        <w:t>60-69 years</w:t>
      </w:r>
    </w:p>
    <w:p w:rsidR="007C6A5F" w:rsidRDefault="007C6A5F" w:rsidP="005A6F87">
      <w:pPr>
        <w:pStyle w:val="BodyText"/>
        <w:numPr>
          <w:ilvl w:val="1"/>
          <w:numId w:val="19"/>
        </w:numPr>
      </w:pPr>
      <w:r>
        <w:t>70-79 years</w:t>
      </w:r>
    </w:p>
    <w:p w:rsidR="007C6A5F" w:rsidRDefault="007C6A5F" w:rsidP="005A6F87">
      <w:pPr>
        <w:pStyle w:val="BodyText"/>
        <w:numPr>
          <w:ilvl w:val="1"/>
          <w:numId w:val="19"/>
        </w:numPr>
      </w:pPr>
      <w:r>
        <w:t>80 years or over</w:t>
      </w:r>
    </w:p>
    <w:p w:rsidR="007C6A5F" w:rsidRDefault="007C6A5F" w:rsidP="007C6A5F">
      <w:pPr>
        <w:pStyle w:val="BodyText"/>
      </w:pPr>
    </w:p>
    <w:p w:rsidR="007C6A5F" w:rsidRDefault="007C6A5F" w:rsidP="007C6A5F">
      <w:pPr>
        <w:spacing w:before="140"/>
        <w:rPr>
          <w:rStyle w:val="DraftingNote"/>
          <w:rFonts w:eastAsia="Times New Roman"/>
        </w:rPr>
      </w:pPr>
      <w:r>
        <w:rPr>
          <w:rStyle w:val="DraftingNote"/>
        </w:rPr>
        <w:br w:type="page"/>
      </w:r>
    </w:p>
    <w:p w:rsidR="007C6A5F" w:rsidRDefault="007C6A5F" w:rsidP="005A6F87">
      <w:pPr>
        <w:pStyle w:val="BodyText"/>
        <w:numPr>
          <w:ilvl w:val="0"/>
          <w:numId w:val="19"/>
        </w:numPr>
      </w:pPr>
      <w:r>
        <w:rPr>
          <w:rStyle w:val="DraftingNote"/>
        </w:rPr>
        <w:lastRenderedPageBreak/>
        <w:t xml:space="preserve">IF (b) OR (c) ABOVE </w:t>
      </w:r>
      <w:r>
        <w:t>For the home I live in, I pay…</w:t>
      </w:r>
    </w:p>
    <w:p w:rsidR="007C6A5F" w:rsidRDefault="007C6A5F" w:rsidP="005A6F87">
      <w:pPr>
        <w:pStyle w:val="BodyText"/>
        <w:numPr>
          <w:ilvl w:val="1"/>
          <w:numId w:val="19"/>
        </w:numPr>
      </w:pPr>
      <w:r>
        <w:t xml:space="preserve">Nothing, I live with my parent(s)/guardian </w:t>
      </w:r>
    </w:p>
    <w:p w:rsidR="007C6A5F" w:rsidRDefault="007C6A5F" w:rsidP="005A6F87">
      <w:pPr>
        <w:pStyle w:val="BodyText"/>
        <w:numPr>
          <w:ilvl w:val="1"/>
          <w:numId w:val="19"/>
        </w:numPr>
      </w:pPr>
      <w:r>
        <w:t>Nothing, my parent(s)/guardian pay for my accommodation</w:t>
      </w:r>
    </w:p>
    <w:p w:rsidR="007C6A5F" w:rsidRDefault="007C6A5F" w:rsidP="005A6F87">
      <w:pPr>
        <w:pStyle w:val="BodyText"/>
        <w:numPr>
          <w:ilvl w:val="1"/>
          <w:numId w:val="19"/>
        </w:numPr>
      </w:pPr>
      <w:r>
        <w:t>Board and lodging</w:t>
      </w:r>
    </w:p>
    <w:p w:rsidR="007C6A5F" w:rsidRDefault="007C6A5F" w:rsidP="005A6F87">
      <w:pPr>
        <w:pStyle w:val="BodyText"/>
        <w:numPr>
          <w:ilvl w:val="1"/>
          <w:numId w:val="19"/>
        </w:numPr>
      </w:pPr>
      <w:r>
        <w:t>A share of rent</w:t>
      </w:r>
    </w:p>
    <w:p w:rsidR="007C6A5F" w:rsidRDefault="007C6A5F" w:rsidP="005A6F87">
      <w:pPr>
        <w:pStyle w:val="BodyText"/>
        <w:numPr>
          <w:ilvl w:val="1"/>
          <w:numId w:val="19"/>
        </w:numPr>
      </w:pPr>
      <w:r>
        <w:t>Rent</w:t>
      </w:r>
    </w:p>
    <w:p w:rsidR="007C6A5F" w:rsidRDefault="007C6A5F" w:rsidP="005A6F87">
      <w:pPr>
        <w:pStyle w:val="BodyText"/>
        <w:numPr>
          <w:ilvl w:val="1"/>
          <w:numId w:val="19"/>
        </w:numPr>
      </w:pPr>
      <w:r>
        <w:t>A share of mortgage repayments</w:t>
      </w:r>
    </w:p>
    <w:p w:rsidR="007C6A5F" w:rsidRDefault="007C6A5F" w:rsidP="005A6F87">
      <w:pPr>
        <w:pStyle w:val="BodyText"/>
        <w:numPr>
          <w:ilvl w:val="1"/>
          <w:numId w:val="19"/>
        </w:numPr>
      </w:pPr>
      <w:r>
        <w:t>Mortgage repayments</w:t>
      </w:r>
    </w:p>
    <w:p w:rsidR="007C6A5F" w:rsidRDefault="007C6A5F" w:rsidP="005A6F87">
      <w:pPr>
        <w:pStyle w:val="BodyText"/>
        <w:numPr>
          <w:ilvl w:val="1"/>
          <w:numId w:val="19"/>
        </w:numPr>
      </w:pPr>
      <w:r>
        <w:t>I own the home outright</w:t>
      </w:r>
    </w:p>
    <w:p w:rsidR="007C6A5F" w:rsidRDefault="007C6A5F" w:rsidP="005A6F87">
      <w:pPr>
        <w:pStyle w:val="BodyText"/>
        <w:numPr>
          <w:ilvl w:val="1"/>
          <w:numId w:val="19"/>
        </w:numPr>
      </w:pPr>
      <w:r>
        <w:t>Other (please specify) ____________________</w:t>
      </w:r>
    </w:p>
    <w:p w:rsidR="007C6A5F" w:rsidRDefault="007C6A5F" w:rsidP="007C6A5F">
      <w:pPr>
        <w:pStyle w:val="BodyText"/>
      </w:pPr>
    </w:p>
    <w:p w:rsidR="007C6A5F" w:rsidRDefault="007C6A5F" w:rsidP="007C6A5F">
      <w:pPr>
        <w:spacing w:before="140"/>
        <w:rPr>
          <w:rFonts w:asciiTheme="minorHAnsi" w:eastAsia="Times New Roman" w:hAnsiTheme="minorHAnsi"/>
        </w:rPr>
      </w:pPr>
      <w:r>
        <w:br w:type="page"/>
      </w:r>
    </w:p>
    <w:p w:rsidR="007C6A5F" w:rsidRDefault="007C6A5F" w:rsidP="005A6F87">
      <w:pPr>
        <w:pStyle w:val="BodyText"/>
        <w:numPr>
          <w:ilvl w:val="0"/>
          <w:numId w:val="19"/>
        </w:numPr>
      </w:pPr>
      <w:r>
        <w:lastRenderedPageBreak/>
        <w:t>I have…</w:t>
      </w:r>
    </w:p>
    <w:p w:rsidR="007C6A5F" w:rsidRDefault="007C6A5F" w:rsidP="005A6F87">
      <w:pPr>
        <w:pStyle w:val="BodyText"/>
        <w:numPr>
          <w:ilvl w:val="1"/>
          <w:numId w:val="19"/>
        </w:numPr>
      </w:pPr>
      <w:r>
        <w:t>Australian citizenship</w:t>
      </w:r>
    </w:p>
    <w:p w:rsidR="007C6A5F" w:rsidRDefault="007C6A5F" w:rsidP="005A6F87">
      <w:pPr>
        <w:pStyle w:val="BodyText"/>
        <w:numPr>
          <w:ilvl w:val="1"/>
          <w:numId w:val="19"/>
        </w:numPr>
      </w:pPr>
      <w:r>
        <w:t>an Australian permanent resident visa</w:t>
      </w:r>
    </w:p>
    <w:p w:rsidR="007C6A5F" w:rsidRDefault="007C6A5F" w:rsidP="005A6F87">
      <w:pPr>
        <w:pStyle w:val="BodyText"/>
        <w:numPr>
          <w:ilvl w:val="1"/>
          <w:numId w:val="19"/>
        </w:numPr>
      </w:pPr>
      <w:r>
        <w:t xml:space="preserve">a temporary working visa </w:t>
      </w:r>
      <w:r>
        <w:rPr>
          <w:rStyle w:val="DraftingNote"/>
        </w:rPr>
        <w:t>TERMINATE</w:t>
      </w:r>
      <w:r>
        <w:t xml:space="preserve"> </w:t>
      </w:r>
    </w:p>
    <w:p w:rsidR="007C6A5F" w:rsidRDefault="007C6A5F" w:rsidP="005A6F87">
      <w:pPr>
        <w:pStyle w:val="BodyText"/>
        <w:numPr>
          <w:ilvl w:val="1"/>
          <w:numId w:val="19"/>
        </w:numPr>
      </w:pPr>
      <w:r>
        <w:t xml:space="preserve">a visitor/holiday/transit visa </w:t>
      </w:r>
      <w:r>
        <w:rPr>
          <w:rStyle w:val="DraftingNote"/>
        </w:rPr>
        <w:t>TERMINATE</w:t>
      </w:r>
    </w:p>
    <w:p w:rsidR="007C6A5F" w:rsidRDefault="007C6A5F" w:rsidP="005A6F87">
      <w:pPr>
        <w:pStyle w:val="BodyText"/>
        <w:numPr>
          <w:ilvl w:val="1"/>
          <w:numId w:val="19"/>
        </w:numPr>
      </w:pPr>
      <w:r>
        <w:t xml:space="preserve">a student/training visa </w:t>
      </w:r>
      <w:r>
        <w:rPr>
          <w:rStyle w:val="DraftingNote"/>
        </w:rPr>
        <w:t>TERMINATE</w:t>
      </w:r>
    </w:p>
    <w:p w:rsidR="007C6A5F" w:rsidRDefault="007C6A5F" w:rsidP="005A6F87">
      <w:pPr>
        <w:pStyle w:val="BodyText"/>
        <w:numPr>
          <w:ilvl w:val="1"/>
          <w:numId w:val="19"/>
        </w:numPr>
      </w:pPr>
      <w:r>
        <w:t xml:space="preserve">none of the above </w:t>
      </w:r>
      <w:r>
        <w:rPr>
          <w:rStyle w:val="DraftingNote"/>
        </w:rPr>
        <w:t>TERMINATE</w:t>
      </w:r>
    </w:p>
    <w:p w:rsidR="007C6A5F" w:rsidRDefault="007C6A5F" w:rsidP="007C6A5F">
      <w:pPr>
        <w:pStyle w:val="BodyText"/>
      </w:pPr>
    </w:p>
    <w:p w:rsidR="007C6A5F" w:rsidRDefault="007C6A5F" w:rsidP="007C6A5F">
      <w:pPr>
        <w:pStyle w:val="BodyText"/>
      </w:pPr>
    </w:p>
    <w:tbl>
      <w:tblPr>
        <w:tblStyle w:val="TableGrid"/>
        <w:tblW w:w="0" w:type="auto"/>
        <w:tblLook w:val="04A0" w:firstRow="1" w:lastRow="0" w:firstColumn="1" w:lastColumn="0" w:noHBand="0" w:noVBand="1"/>
        <w:tblCaption w:val="Instruction box"/>
        <w:tblDescription w:val="TERMINATE PAGE"/>
      </w:tblPr>
      <w:tblGrid>
        <w:gridCol w:w="7927"/>
      </w:tblGrid>
      <w:tr w:rsidR="007C6A5F" w:rsidTr="004E5F82">
        <w:trPr>
          <w:tblHeader/>
        </w:trPr>
        <w:tc>
          <w:tcPr>
            <w:tcW w:w="9060" w:type="dxa"/>
            <w:tcBorders>
              <w:top w:val="single" w:sz="4" w:space="0" w:color="auto"/>
              <w:left w:val="single" w:sz="4" w:space="0" w:color="auto"/>
              <w:bottom w:val="single" w:sz="4" w:space="0" w:color="auto"/>
              <w:right w:val="single" w:sz="4" w:space="0" w:color="auto"/>
            </w:tcBorders>
            <w:hideMark/>
          </w:tcPr>
          <w:p w:rsidR="007C6A5F" w:rsidRDefault="007C6A5F" w:rsidP="00C36DA4">
            <w:pPr>
              <w:pStyle w:val="BodyText"/>
              <w:rPr>
                <w:rStyle w:val="DraftingNote"/>
              </w:rPr>
            </w:pPr>
            <w:r>
              <w:rPr>
                <w:rStyle w:val="DraftingNote"/>
              </w:rPr>
              <w:t>TERMINATE PAGE</w:t>
            </w:r>
          </w:p>
          <w:p w:rsidR="007C6A5F" w:rsidRDefault="007C6A5F" w:rsidP="00C36DA4">
            <w:pPr>
              <w:pStyle w:val="BodyText"/>
            </w:pPr>
            <w:r>
              <w:t xml:space="preserve">Thank you for your patience in answering these questions. Unfortunately, we do not need you to participate in our research this time, but we sincerely appreciate your time and assistance today. </w:t>
            </w:r>
          </w:p>
        </w:tc>
      </w:tr>
    </w:tbl>
    <w:p w:rsidR="007C6A5F" w:rsidRDefault="007C6A5F" w:rsidP="007C6A5F">
      <w:pPr>
        <w:spacing w:before="140"/>
        <w:rPr>
          <w:rFonts w:asciiTheme="minorHAnsi" w:eastAsia="Times New Roman" w:hAnsiTheme="minorHAnsi"/>
        </w:rPr>
      </w:pPr>
      <w:r>
        <w:br w:type="page"/>
      </w:r>
    </w:p>
    <w:p w:rsidR="007C6A5F" w:rsidRDefault="007C6A5F" w:rsidP="007C6A5F">
      <w:pPr>
        <w:pStyle w:val="BodyText"/>
      </w:pPr>
      <w:r>
        <w:lastRenderedPageBreak/>
        <w:t>This questionnaire is about housing features that affect accessibility. More accessible houses may make it easier:</w:t>
      </w:r>
    </w:p>
    <w:p w:rsidR="007C6A5F" w:rsidRDefault="007C6A5F" w:rsidP="005A6F87">
      <w:pPr>
        <w:pStyle w:val="ListBullet"/>
        <w:numPr>
          <w:ilvl w:val="0"/>
          <w:numId w:val="17"/>
        </w:numPr>
      </w:pPr>
      <w:r w:rsidRPr="0095603C">
        <w:t>for parents to manoeuvre prams</w:t>
      </w:r>
    </w:p>
    <w:p w:rsidR="007C6A5F" w:rsidRDefault="007C6A5F" w:rsidP="005A6F87">
      <w:pPr>
        <w:pStyle w:val="ListBullet"/>
        <w:numPr>
          <w:ilvl w:val="0"/>
          <w:numId w:val="17"/>
        </w:numPr>
      </w:pPr>
      <w:r w:rsidRPr="0095603C">
        <w:t>to carry the shopping into the house</w:t>
      </w:r>
    </w:p>
    <w:p w:rsidR="007C6A5F" w:rsidRDefault="007C6A5F" w:rsidP="005A6F87">
      <w:pPr>
        <w:pStyle w:val="ListBullet"/>
        <w:numPr>
          <w:ilvl w:val="0"/>
          <w:numId w:val="17"/>
        </w:numPr>
      </w:pPr>
      <w:r w:rsidRPr="0095603C">
        <w:t xml:space="preserve">for people with disability or temporary injury to </w:t>
      </w:r>
      <w:r>
        <w:t>move</w:t>
      </w:r>
      <w:r w:rsidRPr="0095603C">
        <w:t xml:space="preserve"> around</w:t>
      </w:r>
      <w:r>
        <w:t xml:space="preserve"> without the assistance of a carer</w:t>
      </w:r>
    </w:p>
    <w:p w:rsidR="007C6A5F" w:rsidRDefault="007C6A5F" w:rsidP="005A6F87">
      <w:pPr>
        <w:pStyle w:val="ListBullet"/>
        <w:numPr>
          <w:ilvl w:val="0"/>
          <w:numId w:val="17"/>
        </w:numPr>
      </w:pPr>
      <w:r w:rsidRPr="0095603C">
        <w:t>to move furniture</w:t>
      </w:r>
      <w:r>
        <w:t>.</w:t>
      </w:r>
    </w:p>
    <w:p w:rsidR="007C6A5F" w:rsidRDefault="007C6A5F" w:rsidP="007C6A5F">
      <w:pPr>
        <w:spacing w:before="140"/>
        <w:rPr>
          <w:rFonts w:asciiTheme="minorHAnsi" w:eastAsia="Times New Roman" w:hAnsiTheme="minorHAnsi"/>
        </w:rPr>
      </w:pPr>
      <w:r>
        <w:br w:type="page"/>
      </w:r>
    </w:p>
    <w:p w:rsidR="007C6A5F" w:rsidRDefault="007C6A5F" w:rsidP="007C6A5F">
      <w:pPr>
        <w:pStyle w:val="BodyText"/>
      </w:pPr>
      <w:r>
        <w:lastRenderedPageBreak/>
        <w:t>The questionnaire has three parts:</w:t>
      </w:r>
    </w:p>
    <w:p w:rsidR="007C6A5F" w:rsidRDefault="007C6A5F" w:rsidP="005A6F87">
      <w:pPr>
        <w:pStyle w:val="ListBullet"/>
        <w:numPr>
          <w:ilvl w:val="0"/>
          <w:numId w:val="17"/>
        </w:numPr>
      </w:pPr>
      <w:r>
        <w:t>information about the features that make housing more accessible</w:t>
      </w:r>
    </w:p>
    <w:p w:rsidR="007C6A5F" w:rsidRDefault="007C6A5F" w:rsidP="005A6F87">
      <w:pPr>
        <w:pStyle w:val="ListBullet"/>
        <w:numPr>
          <w:ilvl w:val="0"/>
          <w:numId w:val="17"/>
        </w:numPr>
      </w:pPr>
      <w:r>
        <w:t>questions about the types of dwellings you prefer</w:t>
      </w:r>
    </w:p>
    <w:p w:rsidR="007C6A5F" w:rsidRDefault="007C6A5F" w:rsidP="005A6F87">
      <w:pPr>
        <w:pStyle w:val="ListBullet"/>
        <w:numPr>
          <w:ilvl w:val="0"/>
          <w:numId w:val="17"/>
        </w:numPr>
      </w:pPr>
      <w:r>
        <w:t>questions about you.</w:t>
      </w:r>
    </w:p>
    <w:p w:rsidR="007C6A5F" w:rsidRDefault="007C6A5F" w:rsidP="007C6A5F">
      <w:pPr>
        <w:spacing w:before="140"/>
      </w:pPr>
    </w:p>
    <w:p w:rsidR="007C6A5F" w:rsidRDefault="007C6A5F" w:rsidP="007C6A5F">
      <w:pPr>
        <w:spacing w:before="140"/>
        <w:rPr>
          <w:rFonts w:asciiTheme="minorHAnsi" w:eastAsia="Times New Roman" w:hAnsiTheme="minorHAnsi"/>
        </w:rPr>
      </w:pPr>
      <w:r>
        <w:br w:type="page"/>
      </w:r>
    </w:p>
    <w:p w:rsidR="007C6A5F" w:rsidRDefault="007C6A5F" w:rsidP="007C6A5F">
      <w:pPr>
        <w:pStyle w:val="BodyText"/>
      </w:pPr>
      <w:r>
        <w:lastRenderedPageBreak/>
        <w:t xml:space="preserve">Accessible housing is particularly important for people with limited mobility. </w:t>
      </w:r>
    </w:p>
    <w:p w:rsidR="007C6A5F" w:rsidRDefault="007C6A5F" w:rsidP="007C6A5F">
      <w:pPr>
        <w:pStyle w:val="BodyText"/>
      </w:pPr>
      <w:r w:rsidRPr="00641607">
        <w:t>These people have difficulty, use mobility aids (such as crutches, a walking stick or a wheelchair)</w:t>
      </w:r>
      <w:r>
        <w:t xml:space="preserve"> or require assistance doing one or more everyday tasks, such as:</w:t>
      </w:r>
    </w:p>
    <w:p w:rsidR="007C6A5F" w:rsidRDefault="007C6A5F" w:rsidP="005A6F87">
      <w:pPr>
        <w:pStyle w:val="ListBullet"/>
        <w:numPr>
          <w:ilvl w:val="0"/>
          <w:numId w:val="17"/>
        </w:numPr>
      </w:pPr>
      <w:r>
        <w:t>moving around the home</w:t>
      </w:r>
    </w:p>
    <w:p w:rsidR="007C6A5F" w:rsidRDefault="007C6A5F" w:rsidP="005A6F87">
      <w:pPr>
        <w:pStyle w:val="ListBullet"/>
        <w:numPr>
          <w:ilvl w:val="0"/>
          <w:numId w:val="17"/>
        </w:numPr>
      </w:pPr>
      <w:r>
        <w:t>moving away from home</w:t>
      </w:r>
    </w:p>
    <w:p w:rsidR="007C6A5F" w:rsidRDefault="007C6A5F" w:rsidP="005A6F87">
      <w:pPr>
        <w:pStyle w:val="ListBullet"/>
        <w:numPr>
          <w:ilvl w:val="0"/>
          <w:numId w:val="17"/>
        </w:numPr>
      </w:pPr>
      <w:r>
        <w:t>getting into or out of a bed or chair.</w:t>
      </w:r>
    </w:p>
    <w:p w:rsidR="007C6A5F" w:rsidRDefault="007C6A5F" w:rsidP="007C6A5F">
      <w:pPr>
        <w:pStyle w:val="BodyText"/>
      </w:pPr>
    </w:p>
    <w:p w:rsidR="007C6A5F" w:rsidRDefault="007C6A5F" w:rsidP="005A6F87">
      <w:pPr>
        <w:pStyle w:val="BodyText"/>
        <w:numPr>
          <w:ilvl w:val="0"/>
          <w:numId w:val="19"/>
        </w:numPr>
      </w:pPr>
      <w:bookmarkStart w:id="9899" w:name="_Ref26283436"/>
      <w:r>
        <w:t xml:space="preserve">Does anybody in your household have difficulty, use aids or require assistance with these tasks? </w:t>
      </w:r>
      <w:r>
        <w:rPr>
          <w:rStyle w:val="DraftingNote"/>
        </w:rPr>
        <w:t>MULTIPLE RESPONSE OR NO OR PREFER NOT TO SAY</w:t>
      </w:r>
      <w:bookmarkEnd w:id="9899"/>
    </w:p>
    <w:p w:rsidR="007C6A5F" w:rsidRDefault="007C6A5F" w:rsidP="005A6F87">
      <w:pPr>
        <w:pStyle w:val="BodyText"/>
        <w:numPr>
          <w:ilvl w:val="0"/>
          <w:numId w:val="26"/>
        </w:numPr>
      </w:pPr>
      <w:r>
        <w:t>Yes, I have a temporary (fewer than 6 months) mobility limitation</w:t>
      </w:r>
    </w:p>
    <w:p w:rsidR="007C6A5F" w:rsidRDefault="007C6A5F" w:rsidP="005A6F87">
      <w:pPr>
        <w:pStyle w:val="BodyText"/>
        <w:numPr>
          <w:ilvl w:val="0"/>
          <w:numId w:val="26"/>
        </w:numPr>
      </w:pPr>
      <w:r>
        <w:t>Yes, I have an ongoing mobility limitation</w:t>
      </w:r>
    </w:p>
    <w:p w:rsidR="007C6A5F" w:rsidRDefault="007C6A5F" w:rsidP="005A6F87">
      <w:pPr>
        <w:pStyle w:val="BodyText"/>
        <w:numPr>
          <w:ilvl w:val="0"/>
          <w:numId w:val="26"/>
        </w:numPr>
      </w:pPr>
      <w:r>
        <w:t>Yes, another person in my household has a temporary (fewer than 6 months) mobility limitation</w:t>
      </w:r>
    </w:p>
    <w:p w:rsidR="007C6A5F" w:rsidRDefault="007C6A5F" w:rsidP="005A6F87">
      <w:pPr>
        <w:pStyle w:val="BodyText"/>
        <w:numPr>
          <w:ilvl w:val="0"/>
          <w:numId w:val="26"/>
        </w:numPr>
      </w:pPr>
      <w:r>
        <w:t>Yes, another person in my household has an ongoing mobility limitation</w:t>
      </w:r>
    </w:p>
    <w:p w:rsidR="007C6A5F" w:rsidRDefault="007C6A5F" w:rsidP="005A6F87">
      <w:pPr>
        <w:pStyle w:val="BodyText"/>
        <w:numPr>
          <w:ilvl w:val="0"/>
          <w:numId w:val="26"/>
        </w:numPr>
      </w:pPr>
      <w:r>
        <w:t>No</w:t>
      </w:r>
    </w:p>
    <w:p w:rsidR="007C6A5F" w:rsidRDefault="007C6A5F" w:rsidP="005A6F87">
      <w:pPr>
        <w:pStyle w:val="BodyText"/>
        <w:numPr>
          <w:ilvl w:val="0"/>
          <w:numId w:val="26"/>
        </w:numPr>
      </w:pPr>
      <w:r>
        <w:t>Prefer not to say</w:t>
      </w:r>
    </w:p>
    <w:p w:rsidR="007C6A5F" w:rsidRDefault="007C6A5F" w:rsidP="007C6A5F">
      <w:pPr>
        <w:pStyle w:val="BodyText"/>
      </w:pPr>
    </w:p>
    <w:p w:rsidR="007C6A5F" w:rsidRDefault="007C6A5F" w:rsidP="007C6A5F">
      <w:pPr>
        <w:spacing w:before="140"/>
        <w:rPr>
          <w:rFonts w:asciiTheme="minorHAnsi" w:eastAsia="Times New Roman" w:hAnsiTheme="minorHAnsi"/>
        </w:rPr>
      </w:pPr>
      <w:r>
        <w:br w:type="page"/>
      </w:r>
    </w:p>
    <w:p w:rsidR="007C6A5F" w:rsidRDefault="007C6A5F" w:rsidP="005A6F87">
      <w:pPr>
        <w:pStyle w:val="BodyText"/>
        <w:numPr>
          <w:ilvl w:val="0"/>
          <w:numId w:val="19"/>
        </w:numPr>
      </w:pPr>
      <w:r>
        <w:lastRenderedPageBreak/>
        <w:t xml:space="preserve">Does anybody in your household have difficulty, use mobility aids or require assistance with personal care, including tasks such as showering, bathing, dressing or eating? </w:t>
      </w:r>
      <w:r>
        <w:rPr>
          <w:rStyle w:val="DraftingNote"/>
        </w:rPr>
        <w:t>MULTIPLE RESPONSE OR NO OR PREFER NOT TO SAY</w:t>
      </w:r>
    </w:p>
    <w:p w:rsidR="007C6A5F" w:rsidRDefault="007C6A5F" w:rsidP="005A6F87">
      <w:pPr>
        <w:pStyle w:val="BodyText"/>
        <w:numPr>
          <w:ilvl w:val="0"/>
          <w:numId w:val="39"/>
        </w:numPr>
      </w:pPr>
      <w:r>
        <w:t>Yes, I have a temporary (fewer than 6 months) personal care limitation</w:t>
      </w:r>
    </w:p>
    <w:p w:rsidR="007C6A5F" w:rsidRDefault="007C6A5F" w:rsidP="005A6F87">
      <w:pPr>
        <w:pStyle w:val="BodyText"/>
        <w:numPr>
          <w:ilvl w:val="0"/>
          <w:numId w:val="39"/>
        </w:numPr>
      </w:pPr>
      <w:r>
        <w:t>Yes, I have an ongoing personal care limitation</w:t>
      </w:r>
    </w:p>
    <w:p w:rsidR="007C6A5F" w:rsidRDefault="007C6A5F" w:rsidP="005A6F87">
      <w:pPr>
        <w:pStyle w:val="BodyText"/>
        <w:numPr>
          <w:ilvl w:val="0"/>
          <w:numId w:val="39"/>
        </w:numPr>
      </w:pPr>
      <w:r>
        <w:t>Yes, another person in my household has a temporary (fewer than 6 months) personal care limitation</w:t>
      </w:r>
    </w:p>
    <w:p w:rsidR="007C6A5F" w:rsidRDefault="007C6A5F" w:rsidP="005A6F87">
      <w:pPr>
        <w:pStyle w:val="BodyText"/>
        <w:numPr>
          <w:ilvl w:val="0"/>
          <w:numId w:val="39"/>
        </w:numPr>
      </w:pPr>
      <w:r>
        <w:t>Yes, another person in my household has an ongoing personal care limitation</w:t>
      </w:r>
    </w:p>
    <w:p w:rsidR="007C6A5F" w:rsidRDefault="007C6A5F" w:rsidP="005A6F87">
      <w:pPr>
        <w:pStyle w:val="BodyText"/>
        <w:numPr>
          <w:ilvl w:val="0"/>
          <w:numId w:val="39"/>
        </w:numPr>
      </w:pPr>
      <w:r>
        <w:t>No</w:t>
      </w:r>
    </w:p>
    <w:p w:rsidR="007C6A5F" w:rsidRDefault="007C6A5F" w:rsidP="005A6F87">
      <w:pPr>
        <w:pStyle w:val="BodyText"/>
        <w:numPr>
          <w:ilvl w:val="0"/>
          <w:numId w:val="39"/>
        </w:numPr>
      </w:pPr>
      <w:r>
        <w:t>Prefer not to say</w:t>
      </w:r>
    </w:p>
    <w:p w:rsidR="007C6A5F" w:rsidRDefault="007C6A5F" w:rsidP="007C6A5F">
      <w:pPr>
        <w:pStyle w:val="BodyText"/>
      </w:pPr>
    </w:p>
    <w:p w:rsidR="007C6A5F" w:rsidRDefault="007C6A5F" w:rsidP="007C6A5F">
      <w:pPr>
        <w:spacing w:before="140"/>
        <w:rPr>
          <w:rStyle w:val="DraftingNote"/>
          <w:rFonts w:eastAsia="Times New Roman"/>
        </w:rPr>
      </w:pPr>
      <w:r>
        <w:rPr>
          <w:rStyle w:val="DraftingNote"/>
        </w:rPr>
        <w:br w:type="page"/>
      </w:r>
    </w:p>
    <w:p w:rsidR="007C6A5F" w:rsidRDefault="007C6A5F" w:rsidP="005A6F87">
      <w:pPr>
        <w:pStyle w:val="BodyText"/>
        <w:numPr>
          <w:ilvl w:val="0"/>
          <w:numId w:val="19"/>
        </w:numPr>
      </w:pPr>
      <w:r>
        <w:rPr>
          <w:rStyle w:val="DraftingNote"/>
        </w:rPr>
        <w:lastRenderedPageBreak/>
        <w:t>IF a-d IN Q</w:t>
      </w:r>
      <w:r>
        <w:rPr>
          <w:rStyle w:val="DraftingNote"/>
        </w:rPr>
        <w:fldChar w:fldCharType="begin"/>
      </w:r>
      <w:r>
        <w:rPr>
          <w:rStyle w:val="DraftingNote"/>
        </w:rPr>
        <w:instrText xml:space="preserve"> REF _Ref26283436 \r \h </w:instrText>
      </w:r>
      <w:r>
        <w:rPr>
          <w:rStyle w:val="DraftingNote"/>
        </w:rPr>
      </w:r>
      <w:r>
        <w:rPr>
          <w:rStyle w:val="DraftingNote"/>
        </w:rPr>
        <w:fldChar w:fldCharType="separate"/>
      </w:r>
      <w:r>
        <w:rPr>
          <w:rStyle w:val="DraftingNote"/>
        </w:rPr>
        <w:t>7</w:t>
      </w:r>
      <w:r>
        <w:rPr>
          <w:rStyle w:val="DraftingNote"/>
        </w:rPr>
        <w:fldChar w:fldCharType="end"/>
      </w:r>
      <w:r>
        <w:rPr>
          <w:rStyle w:val="DraftingNote"/>
        </w:rPr>
        <w:t xml:space="preserve"> </w:t>
      </w:r>
      <w:r>
        <w:t xml:space="preserve">Which aids, if any, are used by people in your household? </w:t>
      </w:r>
      <w:r>
        <w:rPr>
          <w:rStyle w:val="DraftingNote"/>
        </w:rPr>
        <w:t>MULTIPLE RESPONSE OR NO OR PREFER NOT TO SAY</w:t>
      </w:r>
    </w:p>
    <w:p w:rsidR="007C6A5F" w:rsidRDefault="007C6A5F" w:rsidP="005A6F87">
      <w:pPr>
        <w:pStyle w:val="BodyText"/>
        <w:numPr>
          <w:ilvl w:val="0"/>
          <w:numId w:val="38"/>
        </w:numPr>
      </w:pPr>
      <w:r>
        <w:t>Cane</w:t>
      </w:r>
    </w:p>
    <w:p w:rsidR="007C6A5F" w:rsidRDefault="007C6A5F" w:rsidP="005A6F87">
      <w:pPr>
        <w:pStyle w:val="BodyText"/>
        <w:numPr>
          <w:ilvl w:val="0"/>
          <w:numId w:val="38"/>
        </w:numPr>
      </w:pPr>
      <w:r>
        <w:t>Crutches</w:t>
      </w:r>
    </w:p>
    <w:p w:rsidR="007C6A5F" w:rsidRDefault="007C6A5F" w:rsidP="005A6F87">
      <w:pPr>
        <w:pStyle w:val="BodyText"/>
        <w:numPr>
          <w:ilvl w:val="0"/>
          <w:numId w:val="38"/>
        </w:numPr>
      </w:pPr>
      <w:r>
        <w:t>Walking frame</w:t>
      </w:r>
    </w:p>
    <w:p w:rsidR="007C6A5F" w:rsidRDefault="007C6A5F" w:rsidP="005A6F87">
      <w:pPr>
        <w:pStyle w:val="BodyText"/>
        <w:numPr>
          <w:ilvl w:val="0"/>
          <w:numId w:val="38"/>
        </w:numPr>
      </w:pPr>
      <w:r>
        <w:t>Walking stick</w:t>
      </w:r>
    </w:p>
    <w:p w:rsidR="007C6A5F" w:rsidRDefault="007C6A5F" w:rsidP="005A6F87">
      <w:pPr>
        <w:pStyle w:val="BodyText"/>
        <w:numPr>
          <w:ilvl w:val="0"/>
          <w:numId w:val="38"/>
        </w:numPr>
      </w:pPr>
      <w:r>
        <w:t>Wheelchair (manual)</w:t>
      </w:r>
    </w:p>
    <w:p w:rsidR="007C6A5F" w:rsidRDefault="007C6A5F" w:rsidP="005A6F87">
      <w:pPr>
        <w:pStyle w:val="BodyText"/>
        <w:numPr>
          <w:ilvl w:val="0"/>
          <w:numId w:val="38"/>
        </w:numPr>
      </w:pPr>
      <w:r>
        <w:t>Wheelchair (electric)</w:t>
      </w:r>
    </w:p>
    <w:p w:rsidR="007C6A5F" w:rsidRDefault="007C6A5F" w:rsidP="005A6F87">
      <w:pPr>
        <w:pStyle w:val="BodyText"/>
        <w:numPr>
          <w:ilvl w:val="0"/>
          <w:numId w:val="38"/>
        </w:numPr>
      </w:pPr>
      <w:r>
        <w:t>Scooter/gopher</w:t>
      </w:r>
    </w:p>
    <w:p w:rsidR="007C6A5F" w:rsidRDefault="007C6A5F" w:rsidP="005A6F87">
      <w:pPr>
        <w:pStyle w:val="BodyText"/>
        <w:numPr>
          <w:ilvl w:val="0"/>
          <w:numId w:val="38"/>
        </w:numPr>
      </w:pPr>
      <w:r>
        <w:t>Modified car or car aid</w:t>
      </w:r>
    </w:p>
    <w:p w:rsidR="007C6A5F" w:rsidRDefault="007C6A5F" w:rsidP="005A6F87">
      <w:pPr>
        <w:pStyle w:val="BodyText"/>
        <w:numPr>
          <w:ilvl w:val="0"/>
          <w:numId w:val="38"/>
        </w:numPr>
      </w:pPr>
      <w:r>
        <w:t>Other</w:t>
      </w:r>
    </w:p>
    <w:p w:rsidR="007C6A5F" w:rsidRDefault="007C6A5F" w:rsidP="005A6F87">
      <w:pPr>
        <w:pStyle w:val="BodyText"/>
        <w:numPr>
          <w:ilvl w:val="0"/>
          <w:numId w:val="38"/>
        </w:numPr>
      </w:pPr>
      <w:r>
        <w:t>None</w:t>
      </w:r>
    </w:p>
    <w:p w:rsidR="007C6A5F" w:rsidRDefault="007C6A5F" w:rsidP="005A6F87">
      <w:pPr>
        <w:pStyle w:val="BodyText"/>
        <w:numPr>
          <w:ilvl w:val="0"/>
          <w:numId w:val="38"/>
        </w:numPr>
      </w:pPr>
      <w:r>
        <w:t>Prefer not to say</w:t>
      </w:r>
    </w:p>
    <w:p w:rsidR="007C6A5F" w:rsidRDefault="007C6A5F" w:rsidP="007C6A5F">
      <w:pPr>
        <w:pStyle w:val="BodyText"/>
      </w:pPr>
    </w:p>
    <w:p w:rsidR="007C6A5F" w:rsidRDefault="007C6A5F" w:rsidP="007C6A5F">
      <w:pPr>
        <w:spacing w:before="140"/>
        <w:rPr>
          <w:rStyle w:val="DraftingNote"/>
          <w:rFonts w:eastAsia="Times New Roman"/>
        </w:rPr>
      </w:pPr>
      <w:r>
        <w:rPr>
          <w:rStyle w:val="DraftingNote"/>
        </w:rPr>
        <w:br w:type="page"/>
      </w:r>
    </w:p>
    <w:p w:rsidR="007C6A5F" w:rsidRDefault="007C6A5F" w:rsidP="005A6F87">
      <w:pPr>
        <w:pStyle w:val="BodyText"/>
        <w:numPr>
          <w:ilvl w:val="0"/>
          <w:numId w:val="19"/>
        </w:numPr>
      </w:pPr>
      <w:r>
        <w:rPr>
          <w:rStyle w:val="DraftingNote"/>
        </w:rPr>
        <w:lastRenderedPageBreak/>
        <w:t>IF a-d IN Q</w:t>
      </w:r>
      <w:r>
        <w:rPr>
          <w:rStyle w:val="DraftingNote"/>
        </w:rPr>
        <w:fldChar w:fldCharType="begin"/>
      </w:r>
      <w:r>
        <w:rPr>
          <w:rStyle w:val="DraftingNote"/>
        </w:rPr>
        <w:instrText xml:space="preserve"> REF _Ref26283436 \r \h </w:instrText>
      </w:r>
      <w:r>
        <w:rPr>
          <w:rStyle w:val="DraftingNote"/>
        </w:rPr>
      </w:r>
      <w:r>
        <w:rPr>
          <w:rStyle w:val="DraftingNote"/>
        </w:rPr>
        <w:fldChar w:fldCharType="separate"/>
      </w:r>
      <w:r>
        <w:rPr>
          <w:rStyle w:val="DraftingNote"/>
        </w:rPr>
        <w:t>7</w:t>
      </w:r>
      <w:r>
        <w:rPr>
          <w:rStyle w:val="DraftingNote"/>
        </w:rPr>
        <w:fldChar w:fldCharType="end"/>
      </w:r>
      <w:r>
        <w:rPr>
          <w:rStyle w:val="DraftingNote"/>
        </w:rPr>
        <w:t xml:space="preserve"> </w:t>
      </w:r>
      <w:r>
        <w:t xml:space="preserve">Thinking about the person in your household whose mobility is most limited, what is the extent of their mobility limitation?  </w:t>
      </w:r>
    </w:p>
    <w:p w:rsidR="007C6A5F" w:rsidRDefault="007C6A5F" w:rsidP="005A6F87">
      <w:pPr>
        <w:pStyle w:val="BodyText"/>
        <w:numPr>
          <w:ilvl w:val="1"/>
          <w:numId w:val="19"/>
        </w:numPr>
      </w:pPr>
      <w:r>
        <w:t>Has no difficulty moving around with the use of a mobility aid, but cannot easily walk 200 metres, cannot use stairs without a handrail, or cannot bend to pick up an object from the floor</w:t>
      </w:r>
    </w:p>
    <w:p w:rsidR="007C6A5F" w:rsidRDefault="007C6A5F" w:rsidP="005A6F87">
      <w:pPr>
        <w:pStyle w:val="BodyText"/>
        <w:numPr>
          <w:ilvl w:val="1"/>
          <w:numId w:val="19"/>
        </w:numPr>
      </w:pPr>
      <w:r w:rsidRPr="00641607">
        <w:t>Has difficulty moving around, even with the use of a mobility aid, but doesn't need assistance from a carer</w:t>
      </w:r>
    </w:p>
    <w:p w:rsidR="007C6A5F" w:rsidRDefault="007C6A5F" w:rsidP="005A6F87">
      <w:pPr>
        <w:pStyle w:val="BodyText"/>
        <w:numPr>
          <w:ilvl w:val="1"/>
          <w:numId w:val="19"/>
        </w:numPr>
      </w:pPr>
      <w:r w:rsidRPr="00641607">
        <w:t>Sometimes needs assistance from a carer to move around, even with the use of a mobility aid</w:t>
      </w:r>
    </w:p>
    <w:p w:rsidR="007C6A5F" w:rsidRDefault="007C6A5F" w:rsidP="005A6F87">
      <w:pPr>
        <w:pStyle w:val="BodyText"/>
        <w:numPr>
          <w:ilvl w:val="1"/>
          <w:numId w:val="19"/>
        </w:numPr>
      </w:pPr>
      <w:r w:rsidRPr="00641607">
        <w:t>Always needs assistance from a carer to move around, even with the use of a mobility aid</w:t>
      </w:r>
    </w:p>
    <w:p w:rsidR="007C6A5F" w:rsidRDefault="007C6A5F" w:rsidP="005A6F87">
      <w:pPr>
        <w:pStyle w:val="BodyText"/>
        <w:numPr>
          <w:ilvl w:val="1"/>
          <w:numId w:val="19"/>
        </w:numPr>
      </w:pPr>
      <w:r>
        <w:t>Prefer not to say</w:t>
      </w:r>
    </w:p>
    <w:p w:rsidR="007C6A5F" w:rsidRDefault="007C6A5F" w:rsidP="007C6A5F">
      <w:pPr>
        <w:pStyle w:val="BodyText"/>
      </w:pPr>
    </w:p>
    <w:p w:rsidR="007C6A5F" w:rsidRDefault="007C6A5F" w:rsidP="007C6A5F">
      <w:pPr>
        <w:spacing w:before="140"/>
        <w:rPr>
          <w:rFonts w:asciiTheme="minorHAnsi" w:eastAsia="Times New Roman" w:hAnsiTheme="minorHAnsi"/>
        </w:rPr>
      </w:pPr>
      <w:r>
        <w:br w:type="page"/>
      </w:r>
    </w:p>
    <w:p w:rsidR="007C6A5F" w:rsidRDefault="007C6A5F" w:rsidP="007C6A5F">
      <w:pPr>
        <w:pStyle w:val="BodyText"/>
      </w:pPr>
      <w:r>
        <w:lastRenderedPageBreak/>
        <w:t xml:space="preserve">There are several features that affect the accessibility of a home. </w:t>
      </w:r>
    </w:p>
    <w:p w:rsidR="007C6A5F" w:rsidRPr="00C90235" w:rsidRDefault="007C6A5F" w:rsidP="007C6A5F">
      <w:pPr>
        <w:pStyle w:val="Heading8"/>
        <w:numPr>
          <w:ilvl w:val="7"/>
          <w:numId w:val="5"/>
        </w:numPr>
      </w:pPr>
      <w:r w:rsidRPr="00C90235">
        <w:t>Getting in and out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Instruction charts"/>
        <w:tblDescription w:val="Getting in and out with step free entrance, single step or several steps"/>
      </w:tblPr>
      <w:tblGrid>
        <w:gridCol w:w="2631"/>
        <w:gridCol w:w="2628"/>
        <w:gridCol w:w="2628"/>
      </w:tblGrid>
      <w:tr w:rsidR="007C6A5F" w:rsidTr="00E44C81">
        <w:trPr>
          <w:tblHeader/>
        </w:trPr>
        <w:tc>
          <w:tcPr>
            <w:tcW w:w="2631" w:type="dxa"/>
          </w:tcPr>
          <w:p w:rsidR="007C6A5F" w:rsidRDefault="007C6A5F" w:rsidP="00C36DA4">
            <w:pPr>
              <w:pStyle w:val="BodyText"/>
              <w:spacing w:after="120"/>
              <w:rPr>
                <w:noProof/>
              </w:rPr>
            </w:pPr>
            <w:r>
              <w:t>A step-free entrance and pathway from the street/parking</w:t>
            </w:r>
            <w:r>
              <w:rPr>
                <w:noProof/>
              </w:rPr>
              <w:t xml:space="preserve"> </w:t>
            </w:r>
            <w:r>
              <w:rPr>
                <w:noProof/>
              </w:rPr>
              <w:drawing>
                <wp:inline distT="0" distB="0" distL="0" distR="0" wp14:anchorId="649E1572" wp14:editId="1FA9B306">
                  <wp:extent cx="1522800" cy="1524367"/>
                  <wp:effectExtent l="0" t="0" r="1270" b="0"/>
                  <wp:docPr id="25" name="Picture 25" descr="Image 1 to represent features that affect accessibility  of a home - a step-free entrance and pathway from the street/par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Stock-1022762534 cropped edit.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22800" cy="1524367"/>
                          </a:xfrm>
                          <a:prstGeom prst="rect">
                            <a:avLst/>
                          </a:prstGeom>
                        </pic:spPr>
                      </pic:pic>
                    </a:graphicData>
                  </a:graphic>
                </wp:inline>
              </w:drawing>
            </w:r>
          </w:p>
        </w:tc>
        <w:tc>
          <w:tcPr>
            <w:tcW w:w="2628" w:type="dxa"/>
          </w:tcPr>
          <w:p w:rsidR="007C6A5F" w:rsidRDefault="007C6A5F" w:rsidP="00C36DA4">
            <w:pPr>
              <w:pStyle w:val="BodyText"/>
            </w:pPr>
          </w:p>
          <w:p w:rsidR="007C6A5F" w:rsidRDefault="007C6A5F" w:rsidP="00C36DA4">
            <w:pPr>
              <w:pStyle w:val="BodyText"/>
            </w:pPr>
          </w:p>
          <w:p w:rsidR="007C6A5F" w:rsidRDefault="007C6A5F" w:rsidP="00C36DA4">
            <w:pPr>
              <w:pStyle w:val="BodyText"/>
            </w:pPr>
            <w:r>
              <w:t>… rather than a single step</w:t>
            </w:r>
            <w:r>
              <w:rPr>
                <w:noProof/>
              </w:rPr>
              <w:t xml:space="preserve"> </w:t>
            </w:r>
            <w:r>
              <w:rPr>
                <w:noProof/>
              </w:rPr>
              <w:drawing>
                <wp:inline distT="0" distB="0" distL="0" distR="0" wp14:anchorId="4C45A347" wp14:editId="2695BA2E">
                  <wp:extent cx="1524000" cy="1524000"/>
                  <wp:effectExtent l="0" t="0" r="0" b="0"/>
                  <wp:docPr id="26" name="Picture 26" descr="Image 1 to represent features that affect accessibility  of a home - a single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841 crop.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tc>
        <w:tc>
          <w:tcPr>
            <w:tcW w:w="2628" w:type="dxa"/>
          </w:tcPr>
          <w:p w:rsidR="007C6A5F" w:rsidRDefault="007C6A5F" w:rsidP="00C36DA4">
            <w:pPr>
              <w:pStyle w:val="BodyText"/>
            </w:pPr>
          </w:p>
          <w:p w:rsidR="007C6A5F" w:rsidRDefault="007C6A5F" w:rsidP="00C36DA4">
            <w:pPr>
              <w:pStyle w:val="BodyText"/>
            </w:pPr>
          </w:p>
          <w:p w:rsidR="007C6A5F" w:rsidRDefault="007C6A5F" w:rsidP="00C36DA4">
            <w:pPr>
              <w:pStyle w:val="BodyText"/>
            </w:pPr>
          </w:p>
          <w:p w:rsidR="007C6A5F" w:rsidRDefault="007C6A5F" w:rsidP="00C36DA4">
            <w:pPr>
              <w:pStyle w:val="BodyText"/>
            </w:pPr>
            <w:r>
              <w:t>…or several steps</w:t>
            </w:r>
            <w:r>
              <w:rPr>
                <w:noProof/>
              </w:rPr>
              <w:t xml:space="preserve"> </w:t>
            </w:r>
            <w:r>
              <w:rPr>
                <w:noProof/>
              </w:rPr>
              <w:drawing>
                <wp:inline distT="0" distB="0" distL="0" distR="0" wp14:anchorId="591432F4" wp14:editId="76F395FA">
                  <wp:extent cx="1524000" cy="1524000"/>
                  <wp:effectExtent l="0" t="0" r="0" b="0"/>
                  <wp:docPr id="27" name="Picture 27" descr="Image 1 to represent features that affect accessibility  of a home - several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870.JPG"/>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1524000" cy="1524000"/>
                          </a:xfrm>
                          <a:prstGeom prst="rect">
                            <a:avLst/>
                          </a:prstGeom>
                        </pic:spPr>
                      </pic:pic>
                    </a:graphicData>
                  </a:graphic>
                </wp:inline>
              </w:drawing>
            </w:r>
          </w:p>
        </w:tc>
      </w:tr>
    </w:tbl>
    <w:p w:rsidR="007C6A5F" w:rsidRDefault="007C6A5F" w:rsidP="007C6A5F">
      <w:pPr>
        <w:pStyle w:val="BodyText"/>
      </w:pPr>
    </w:p>
    <w:p w:rsidR="007C6A5F" w:rsidRDefault="007C6A5F" w:rsidP="005A6F87">
      <w:pPr>
        <w:pStyle w:val="BodyText"/>
        <w:numPr>
          <w:ilvl w:val="0"/>
          <w:numId w:val="19"/>
        </w:numPr>
      </w:pPr>
      <w:r>
        <w:t xml:space="preserve">My current home has… </w:t>
      </w:r>
    </w:p>
    <w:p w:rsidR="007C6A5F" w:rsidRDefault="007C6A5F" w:rsidP="005A6F87">
      <w:pPr>
        <w:pStyle w:val="BodyText"/>
        <w:numPr>
          <w:ilvl w:val="1"/>
          <w:numId w:val="27"/>
        </w:numPr>
      </w:pPr>
      <w:r>
        <w:t>no steps between street/parking and the entrance</w:t>
      </w:r>
    </w:p>
    <w:p w:rsidR="007C6A5F" w:rsidRDefault="007C6A5F" w:rsidP="005A6F87">
      <w:pPr>
        <w:pStyle w:val="BodyText"/>
        <w:numPr>
          <w:ilvl w:val="1"/>
          <w:numId w:val="27"/>
        </w:numPr>
      </w:pPr>
      <w:r>
        <w:t>a single step between street/parking and the entrance</w:t>
      </w:r>
    </w:p>
    <w:p w:rsidR="007C6A5F" w:rsidRDefault="007C6A5F" w:rsidP="005A6F87">
      <w:pPr>
        <w:pStyle w:val="BodyText"/>
        <w:numPr>
          <w:ilvl w:val="1"/>
          <w:numId w:val="27"/>
        </w:numPr>
      </w:pPr>
      <w:r>
        <w:t>several steps between street/parking and the entrance</w:t>
      </w:r>
    </w:p>
    <w:p w:rsidR="007C6A5F" w:rsidRDefault="007C6A5F" w:rsidP="007C6A5F">
      <w:pPr>
        <w:pStyle w:val="BodyText"/>
      </w:pPr>
    </w:p>
    <w:p w:rsidR="007C6A5F" w:rsidRDefault="007C6A5F" w:rsidP="007C6A5F">
      <w:pPr>
        <w:pStyle w:val="BodyText"/>
      </w:pPr>
    </w:p>
    <w:p w:rsidR="007C6A5F" w:rsidRDefault="007C6A5F" w:rsidP="007C6A5F">
      <w:pPr>
        <w:pStyle w:val="BodyText"/>
      </w:pPr>
    </w:p>
    <w:p w:rsidR="007C6A5F" w:rsidRDefault="007C6A5F" w:rsidP="007C6A5F">
      <w:pPr>
        <w:spacing w:before="140"/>
        <w:rPr>
          <w:rFonts w:asciiTheme="minorHAnsi" w:eastAsia="Times New Roman" w:hAnsiTheme="minorHAnsi"/>
        </w:rPr>
      </w:pPr>
      <w:r>
        <w:br w:type="page"/>
      </w:r>
    </w:p>
    <w:p w:rsidR="007C6A5F" w:rsidRPr="00C90235" w:rsidRDefault="007C6A5F" w:rsidP="007C6A5F">
      <w:pPr>
        <w:pStyle w:val="Heading8"/>
        <w:numPr>
          <w:ilvl w:val="7"/>
          <w:numId w:val="5"/>
        </w:numPr>
      </w:pPr>
      <w:r w:rsidRPr="00C90235">
        <w:lastRenderedPageBreak/>
        <w:t>Moving around indoors</w:t>
      </w:r>
    </w:p>
    <w:p w:rsidR="007C6A5F" w:rsidRDefault="007C6A5F" w:rsidP="007C6A5F">
      <w:pPr>
        <w:pStyle w:val="BodyText"/>
      </w:pPr>
      <w:r>
        <w:t xml:space="preserve">Wider door openings (at least 850 mm wide, </w:t>
      </w:r>
      <w:r w:rsidRPr="00641607">
        <w:t>rather than the typical 820 mm for external doors and 720 mm for internal doors</w:t>
      </w:r>
      <w:r>
        <w:t>)</w:t>
      </w:r>
    </w:p>
    <w:p w:rsidR="007C6A5F" w:rsidRDefault="007C6A5F" w:rsidP="007C6A5F">
      <w:pPr>
        <w:pStyle w:val="BodyText"/>
      </w:pPr>
      <w:r>
        <w:rPr>
          <w:noProof/>
        </w:rPr>
        <w:drawing>
          <wp:inline distT="0" distB="0" distL="0" distR="0" wp14:anchorId="79CD81C4" wp14:editId="5BF83669">
            <wp:extent cx="1966003" cy="2444750"/>
            <wp:effectExtent l="0" t="0" r="0" b="0"/>
            <wp:docPr id="36" name="Picture 36" descr="Image to represent a door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ide doo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74547" cy="2455375"/>
                    </a:xfrm>
                    <a:prstGeom prst="rect">
                      <a:avLst/>
                    </a:prstGeom>
                  </pic:spPr>
                </pic:pic>
              </a:graphicData>
            </a:graphic>
          </wp:inline>
        </w:drawing>
      </w:r>
    </w:p>
    <w:p w:rsidR="007C6A5F" w:rsidRDefault="007C6A5F" w:rsidP="007C6A5F">
      <w:pPr>
        <w:pStyle w:val="BodyText"/>
      </w:pPr>
    </w:p>
    <w:p w:rsidR="007C6A5F" w:rsidRDefault="007C6A5F" w:rsidP="005A6F87">
      <w:pPr>
        <w:pStyle w:val="BodyText"/>
        <w:numPr>
          <w:ilvl w:val="0"/>
          <w:numId w:val="19"/>
        </w:numPr>
      </w:pPr>
      <w:r>
        <w:t xml:space="preserve">My current home has… </w:t>
      </w:r>
    </w:p>
    <w:p w:rsidR="007C6A5F" w:rsidRDefault="007C6A5F" w:rsidP="005A6F87">
      <w:pPr>
        <w:pStyle w:val="BodyText"/>
        <w:numPr>
          <w:ilvl w:val="0"/>
          <w:numId w:val="40"/>
        </w:numPr>
      </w:pPr>
      <w:r>
        <w:t>door openings similar to other homes</w:t>
      </w:r>
    </w:p>
    <w:p w:rsidR="007C6A5F" w:rsidRDefault="007C6A5F" w:rsidP="005A6F87">
      <w:pPr>
        <w:pStyle w:val="BodyText"/>
        <w:numPr>
          <w:ilvl w:val="0"/>
          <w:numId w:val="40"/>
        </w:numPr>
      </w:pPr>
      <w:r>
        <w:t>door openings wider than most other homes</w:t>
      </w:r>
    </w:p>
    <w:p w:rsidR="007C6A5F" w:rsidRDefault="007C6A5F" w:rsidP="005A6F87">
      <w:pPr>
        <w:pStyle w:val="BodyText"/>
        <w:numPr>
          <w:ilvl w:val="0"/>
          <w:numId w:val="40"/>
        </w:numPr>
      </w:pPr>
      <w:r>
        <w:t>Don’t know</w:t>
      </w:r>
    </w:p>
    <w:p w:rsidR="007C6A5F" w:rsidRDefault="007C6A5F" w:rsidP="007C6A5F">
      <w:pPr>
        <w:pStyle w:val="BodyText"/>
      </w:pPr>
    </w:p>
    <w:p w:rsidR="007C6A5F" w:rsidRDefault="007C6A5F" w:rsidP="007C6A5F">
      <w:pPr>
        <w:spacing w:before="140"/>
        <w:rPr>
          <w:rFonts w:asciiTheme="minorHAnsi" w:eastAsia="Times New Roman" w:hAnsiTheme="minorHAnsi"/>
        </w:rPr>
      </w:pPr>
      <w:r>
        <w:br w:type="page"/>
      </w:r>
    </w:p>
    <w:p w:rsidR="007C6A5F" w:rsidRPr="00C90235" w:rsidRDefault="007C6A5F" w:rsidP="007C6A5F">
      <w:pPr>
        <w:pStyle w:val="Heading8"/>
        <w:numPr>
          <w:ilvl w:val="7"/>
          <w:numId w:val="5"/>
        </w:numPr>
      </w:pPr>
      <w:r w:rsidRPr="00C90235">
        <w:lastRenderedPageBreak/>
        <w:t>Moving around indoors</w:t>
      </w:r>
    </w:p>
    <w:p w:rsidR="007C6A5F" w:rsidRDefault="007C6A5F" w:rsidP="007C6A5F">
      <w:pPr>
        <w:pStyle w:val="BodyText"/>
      </w:pPr>
      <w:r>
        <w:t xml:space="preserve">Adequate space in corridors, bathrooms, kitchen and laundry to enable circulation in a wheelchair. </w:t>
      </w:r>
    </w:p>
    <w:p w:rsidR="007C6A5F" w:rsidRDefault="007C6A5F" w:rsidP="007C6A5F">
      <w:pPr>
        <w:pStyle w:val="BodyText"/>
      </w:pPr>
      <w:r w:rsidRPr="00F81436">
        <w:t>Some building designs may need to be changed to achieve this. The changes could include increased building size, a more open-plan design, or decreased space in living areas and bedrooms (see indicative illustration below)</w:t>
      </w:r>
      <w: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Change in layout"/>
        <w:tblDescription w:val="Change in layout for moving around indoors"/>
      </w:tblPr>
      <w:tblGrid>
        <w:gridCol w:w="3050"/>
        <w:gridCol w:w="846"/>
        <w:gridCol w:w="3050"/>
      </w:tblGrid>
      <w:tr w:rsidR="007C6A5F" w:rsidTr="00E44C81">
        <w:trPr>
          <w:tblHeader/>
        </w:trPr>
        <w:tc>
          <w:tcPr>
            <w:tcW w:w="2263" w:type="dxa"/>
          </w:tcPr>
          <w:p w:rsidR="007C6A5F" w:rsidRDefault="007C6A5F" w:rsidP="00C36DA4">
            <w:pPr>
              <w:pStyle w:val="BodyText"/>
            </w:pPr>
            <w:r>
              <w:rPr>
                <w:noProof/>
              </w:rPr>
              <w:drawing>
                <wp:inline distT="0" distB="0" distL="0" distR="0" wp14:anchorId="5C4C3DDF" wp14:editId="73EE8B25">
                  <wp:extent cx="1800000" cy="3415960"/>
                  <wp:effectExtent l="0" t="0" r="0" b="0"/>
                  <wp:docPr id="29" name="Picture 29" descr="indicative illustration of a building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oor plan icon 1.png"/>
                          <pic:cNvPicPr/>
                        </pic:nvPicPr>
                        <pic:blipFill>
                          <a:blip r:embed="rId72">
                            <a:extLst>
                              <a:ext uri="{28A0092B-C50C-407E-A947-70E740481C1C}">
                                <a14:useLocalDpi xmlns:a14="http://schemas.microsoft.com/office/drawing/2010/main" val="0"/>
                              </a:ext>
                            </a:extLst>
                          </a:blip>
                          <a:stretch>
                            <a:fillRect/>
                          </a:stretch>
                        </pic:blipFill>
                        <pic:spPr>
                          <a:xfrm>
                            <a:off x="0" y="0"/>
                            <a:ext cx="1800000" cy="3415960"/>
                          </a:xfrm>
                          <a:prstGeom prst="rect">
                            <a:avLst/>
                          </a:prstGeom>
                        </pic:spPr>
                      </pic:pic>
                    </a:graphicData>
                  </a:graphic>
                </wp:inline>
              </w:drawing>
            </w:r>
          </w:p>
        </w:tc>
        <w:tc>
          <w:tcPr>
            <w:tcW w:w="709" w:type="dxa"/>
            <w:vAlign w:val="center"/>
          </w:tcPr>
          <w:p w:rsidR="007C6A5F" w:rsidRPr="00A46025" w:rsidRDefault="007C6A5F" w:rsidP="00C36DA4">
            <w:pPr>
              <w:pStyle w:val="BodyText"/>
              <w:jc w:val="center"/>
              <w:rPr>
                <w:b/>
              </w:rPr>
            </w:pPr>
            <w:r>
              <w:rPr>
                <w:b/>
                <w:noProof/>
              </w:rPr>
              <mc:AlternateContent>
                <mc:Choice Requires="wps">
                  <w:drawing>
                    <wp:inline distT="0" distB="0" distL="0" distR="0" wp14:anchorId="215D034E" wp14:editId="05C97376">
                      <wp:extent cx="393700" cy="412750"/>
                      <wp:effectExtent l="0" t="0" r="6350" b="6350"/>
                      <wp:docPr id="24" name="Arrow: Right 24" descr="Arrow to show the change from one layout to anoth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93700" cy="41275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0DF51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4" o:spid="_x0000_s1026" type="#_x0000_t13" alt="Arrow to show the change from one layout to another" style="width:31pt;height: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" adj="10800" fillcolor="black [3213]" stroked="f" strokeweight="2pt">
                      <w10:anchorlock/>
                    </v:shape>
                  </w:pict>
                </mc:Fallback>
              </mc:AlternateContent>
            </w:r>
          </w:p>
        </w:tc>
        <w:tc>
          <w:tcPr>
            <w:tcW w:w="2268" w:type="dxa"/>
          </w:tcPr>
          <w:p w:rsidR="007C6A5F" w:rsidRDefault="007C6A5F" w:rsidP="00C36DA4">
            <w:pPr>
              <w:pStyle w:val="BodyText"/>
            </w:pPr>
            <w:r>
              <w:rPr>
                <w:noProof/>
              </w:rPr>
              <w:drawing>
                <wp:inline distT="0" distB="0" distL="0" distR="0" wp14:anchorId="2BE71003" wp14:editId="5A5E0ED7">
                  <wp:extent cx="1800000" cy="3415960"/>
                  <wp:effectExtent l="0" t="0" r="0" b="0"/>
                  <wp:docPr id="30" name="Picture 30" descr="indicative illustration of a building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loor plan icon 2.png"/>
                          <pic:cNvPicPr/>
                        </pic:nvPicPr>
                        <pic:blipFill>
                          <a:blip r:embed="rId73">
                            <a:extLst>
                              <a:ext uri="{28A0092B-C50C-407E-A947-70E740481C1C}">
                                <a14:useLocalDpi xmlns:a14="http://schemas.microsoft.com/office/drawing/2010/main" val="0"/>
                              </a:ext>
                            </a:extLst>
                          </a:blip>
                          <a:stretch>
                            <a:fillRect/>
                          </a:stretch>
                        </pic:blipFill>
                        <pic:spPr>
                          <a:xfrm>
                            <a:off x="0" y="0"/>
                            <a:ext cx="1800000" cy="3415960"/>
                          </a:xfrm>
                          <a:prstGeom prst="rect">
                            <a:avLst/>
                          </a:prstGeom>
                        </pic:spPr>
                      </pic:pic>
                    </a:graphicData>
                  </a:graphic>
                </wp:inline>
              </w:drawing>
            </w:r>
          </w:p>
        </w:tc>
      </w:tr>
    </w:tbl>
    <w:p w:rsidR="007C6A5F" w:rsidRDefault="007C6A5F" w:rsidP="007C6A5F">
      <w:pPr>
        <w:pStyle w:val="BodyText"/>
      </w:pPr>
    </w:p>
    <w:p w:rsidR="007C6A5F" w:rsidRDefault="007C6A5F" w:rsidP="005A6F87">
      <w:pPr>
        <w:pStyle w:val="BodyText"/>
        <w:numPr>
          <w:ilvl w:val="0"/>
          <w:numId w:val="19"/>
        </w:numPr>
      </w:pPr>
      <w:r w:rsidRPr="00F81436">
        <w:t>Would you say your current home has enough space for turning a wheelchair in corridors, bathrooms, kitchen and laundry? (If unsure, please make an educated guess)</w:t>
      </w:r>
    </w:p>
    <w:p w:rsidR="007C6A5F" w:rsidRDefault="007C6A5F" w:rsidP="005A6F87">
      <w:pPr>
        <w:pStyle w:val="BodyText"/>
        <w:numPr>
          <w:ilvl w:val="0"/>
          <w:numId w:val="37"/>
        </w:numPr>
      </w:pPr>
      <w:r>
        <w:t>All of these spaces are large enough</w:t>
      </w:r>
    </w:p>
    <w:p w:rsidR="007C6A5F" w:rsidRDefault="007C6A5F" w:rsidP="005A6F87">
      <w:pPr>
        <w:pStyle w:val="BodyText"/>
        <w:numPr>
          <w:ilvl w:val="0"/>
          <w:numId w:val="37"/>
        </w:numPr>
      </w:pPr>
      <w:r>
        <w:t>Some of these spaces are large enough</w:t>
      </w:r>
    </w:p>
    <w:p w:rsidR="007C6A5F" w:rsidRDefault="007C6A5F" w:rsidP="005A6F87">
      <w:pPr>
        <w:pStyle w:val="BodyText"/>
        <w:numPr>
          <w:ilvl w:val="0"/>
          <w:numId w:val="37"/>
        </w:numPr>
      </w:pPr>
      <w:r>
        <w:t>None of these spaces are large enough</w:t>
      </w:r>
    </w:p>
    <w:p w:rsidR="007C6A5F" w:rsidRDefault="007C6A5F" w:rsidP="005A6F87">
      <w:pPr>
        <w:pStyle w:val="BodyText"/>
        <w:numPr>
          <w:ilvl w:val="0"/>
          <w:numId w:val="37"/>
        </w:numPr>
      </w:pPr>
      <w:r>
        <w:t>I can't make an educated guess</w:t>
      </w:r>
    </w:p>
    <w:p w:rsidR="007C6A5F" w:rsidRDefault="007C6A5F" w:rsidP="007C6A5F">
      <w:pPr>
        <w:pStyle w:val="BodyText"/>
      </w:pPr>
    </w:p>
    <w:p w:rsidR="007C6A5F" w:rsidRDefault="007C6A5F" w:rsidP="007C6A5F">
      <w:pPr>
        <w:pStyle w:val="BodyText"/>
      </w:pPr>
    </w:p>
    <w:p w:rsidR="007C6A5F" w:rsidRDefault="007C6A5F" w:rsidP="007C6A5F">
      <w:pPr>
        <w:spacing w:before="140"/>
        <w:rPr>
          <w:rFonts w:asciiTheme="minorHAnsi" w:eastAsia="Times New Roman" w:hAnsiTheme="minorHAnsi"/>
        </w:rPr>
      </w:pPr>
      <w:r>
        <w:br w:type="page"/>
      </w:r>
    </w:p>
    <w:p w:rsidR="007C6A5F" w:rsidRPr="00C90235" w:rsidRDefault="007C6A5F" w:rsidP="007C6A5F">
      <w:pPr>
        <w:pStyle w:val="Heading8"/>
        <w:numPr>
          <w:ilvl w:val="7"/>
          <w:numId w:val="5"/>
        </w:numPr>
      </w:pPr>
      <w:r w:rsidRPr="00C90235">
        <w:lastRenderedPageBreak/>
        <w:t>Moving around indoors</w:t>
      </w:r>
    </w:p>
    <w:p w:rsidR="007C6A5F" w:rsidRDefault="007C6A5F" w:rsidP="007C6A5F">
      <w:pPr>
        <w:pStyle w:val="BodyText"/>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Illustrative images"/>
        <w:tblDescription w:val="images showing a step free shower entry or a hob (kerb)"/>
      </w:tblPr>
      <w:tblGrid>
        <w:gridCol w:w="3963"/>
        <w:gridCol w:w="3964"/>
      </w:tblGrid>
      <w:tr w:rsidR="007C6A5F" w:rsidTr="00E44C81">
        <w:trPr>
          <w:tblHeader/>
        </w:trPr>
        <w:tc>
          <w:tcPr>
            <w:tcW w:w="3963" w:type="dxa"/>
          </w:tcPr>
          <w:p w:rsidR="007C6A5F" w:rsidRDefault="007C6A5F" w:rsidP="00C36DA4">
            <w:pPr>
              <w:pStyle w:val="BodyText"/>
            </w:pPr>
            <w:r>
              <w:t>A step-free shower entry to enable safe access and prevent trips and falls…</w:t>
            </w:r>
            <w:r>
              <w:rPr>
                <w:noProof/>
              </w:rPr>
              <w:drawing>
                <wp:inline distT="0" distB="0" distL="0" distR="0" wp14:anchorId="656C4072" wp14:editId="04F1364D">
                  <wp:extent cx="2037600" cy="2037600"/>
                  <wp:effectExtent l="0" t="0" r="1270" b="1270"/>
                  <wp:docPr id="31" name="Picture 31" descr="Image 1 to represent moving around indorors - a step-free shower entry to enable safe access and prevent trips and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849.JPG"/>
                          <pic:cNvPicPr/>
                        </pic:nvPicPr>
                        <pic:blipFill>
                          <a:blip r:embed="rId74" cstate="print">
                            <a:extLst>
                              <a:ext uri="{28A0092B-C50C-407E-A947-70E740481C1C}">
                                <a14:useLocalDpi xmlns:a14="http://schemas.microsoft.com/office/drawing/2010/main" val="0"/>
                              </a:ext>
                            </a:extLst>
                          </a:blip>
                          <a:stretch>
                            <a:fillRect/>
                          </a:stretch>
                        </pic:blipFill>
                        <pic:spPr>
                          <a:xfrm rot="5400000">
                            <a:off x="0" y="0"/>
                            <a:ext cx="2037600" cy="2037600"/>
                          </a:xfrm>
                          <a:prstGeom prst="rect">
                            <a:avLst/>
                          </a:prstGeom>
                        </pic:spPr>
                      </pic:pic>
                    </a:graphicData>
                  </a:graphic>
                </wp:inline>
              </w:drawing>
            </w:r>
          </w:p>
          <w:p w:rsidR="007C6A5F" w:rsidRDefault="007C6A5F" w:rsidP="00C36DA4">
            <w:pPr>
              <w:pStyle w:val="BodyText"/>
            </w:pPr>
          </w:p>
        </w:tc>
        <w:tc>
          <w:tcPr>
            <w:tcW w:w="3964" w:type="dxa"/>
          </w:tcPr>
          <w:p w:rsidR="007C6A5F" w:rsidRDefault="007C6A5F" w:rsidP="00C36DA4">
            <w:pPr>
              <w:pStyle w:val="BodyText"/>
            </w:pPr>
          </w:p>
          <w:p w:rsidR="007C6A5F" w:rsidRDefault="007C6A5F" w:rsidP="00C36DA4">
            <w:pPr>
              <w:pStyle w:val="BodyText"/>
              <w:rPr>
                <w:rStyle w:val="DraftingNote"/>
              </w:rPr>
            </w:pPr>
            <w:r>
              <w:t>…rather than a hob (kerb)</w:t>
            </w:r>
          </w:p>
          <w:p w:rsidR="007C6A5F" w:rsidRPr="002E7EF2" w:rsidRDefault="007C6A5F" w:rsidP="00C36DA4">
            <w:pPr>
              <w:pStyle w:val="BodyText"/>
              <w:rPr>
                <w:rStyle w:val="DraftingNote"/>
              </w:rPr>
            </w:pPr>
            <w:r>
              <w:rPr>
                <w:b/>
                <w:noProof/>
                <w:color w:val="0070C0"/>
                <w:u w:val="dotted"/>
              </w:rPr>
              <w:drawing>
                <wp:inline distT="0" distB="0" distL="0" distR="0" wp14:anchorId="34BCD621" wp14:editId="4B6F85A2">
                  <wp:extent cx="2036064" cy="2033016"/>
                  <wp:effectExtent l="0" t="0" r="2540" b="5715"/>
                  <wp:docPr id="32" name="Picture 32" descr="Image 2 to represent moving around indorors - a knob (kerb) into a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175008655 cropped.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36064" cy="2033016"/>
                          </a:xfrm>
                          <a:prstGeom prst="rect">
                            <a:avLst/>
                          </a:prstGeom>
                        </pic:spPr>
                      </pic:pic>
                    </a:graphicData>
                  </a:graphic>
                </wp:inline>
              </w:drawing>
            </w:r>
          </w:p>
          <w:p w:rsidR="007C6A5F" w:rsidRDefault="007C6A5F" w:rsidP="00C36DA4">
            <w:pPr>
              <w:pStyle w:val="BodyText"/>
            </w:pPr>
          </w:p>
        </w:tc>
      </w:tr>
    </w:tbl>
    <w:p w:rsidR="007C6A5F" w:rsidRDefault="007C6A5F" w:rsidP="007C6A5F">
      <w:pPr>
        <w:pStyle w:val="BodyText"/>
      </w:pPr>
    </w:p>
    <w:p w:rsidR="007C6A5F" w:rsidRDefault="007C6A5F" w:rsidP="005A6F87">
      <w:pPr>
        <w:pStyle w:val="BodyText"/>
        <w:numPr>
          <w:ilvl w:val="0"/>
          <w:numId w:val="19"/>
        </w:numPr>
      </w:pPr>
      <w:r>
        <w:t xml:space="preserve">My current home has… </w:t>
      </w:r>
      <w:r>
        <w:rPr>
          <w:rStyle w:val="DraftingNote"/>
        </w:rPr>
        <w:t>MULTIPLE SELECTION</w:t>
      </w:r>
    </w:p>
    <w:p w:rsidR="007C6A5F" w:rsidRDefault="007C6A5F" w:rsidP="005A6F87">
      <w:pPr>
        <w:pStyle w:val="BodyText"/>
        <w:numPr>
          <w:ilvl w:val="0"/>
          <w:numId w:val="41"/>
        </w:numPr>
      </w:pPr>
      <w:r>
        <w:t>Step-free shower entry</w:t>
      </w:r>
    </w:p>
    <w:p w:rsidR="007C6A5F" w:rsidRDefault="007C6A5F" w:rsidP="005A6F87">
      <w:pPr>
        <w:pStyle w:val="BodyText"/>
        <w:numPr>
          <w:ilvl w:val="0"/>
          <w:numId w:val="41"/>
        </w:numPr>
      </w:pPr>
      <w:r>
        <w:t>Hob/kerb shower entry</w:t>
      </w:r>
    </w:p>
    <w:p w:rsidR="007C6A5F" w:rsidRDefault="007C6A5F" w:rsidP="005A6F87">
      <w:pPr>
        <w:pStyle w:val="BodyText"/>
        <w:numPr>
          <w:ilvl w:val="0"/>
          <w:numId w:val="41"/>
        </w:numPr>
      </w:pPr>
      <w:r>
        <w:t>Stepped shower entry</w:t>
      </w:r>
    </w:p>
    <w:p w:rsidR="007C6A5F" w:rsidRDefault="007C6A5F" w:rsidP="005A6F87">
      <w:pPr>
        <w:pStyle w:val="BodyText"/>
        <w:numPr>
          <w:ilvl w:val="0"/>
          <w:numId w:val="41"/>
        </w:numPr>
      </w:pPr>
      <w:r>
        <w:t>Shower over bath</w:t>
      </w:r>
    </w:p>
    <w:p w:rsidR="007C6A5F" w:rsidRDefault="007C6A5F" w:rsidP="005A6F87">
      <w:pPr>
        <w:pStyle w:val="BodyText"/>
        <w:numPr>
          <w:ilvl w:val="0"/>
          <w:numId w:val="41"/>
        </w:numPr>
      </w:pPr>
      <w:r>
        <w:t>Don’t know</w:t>
      </w:r>
    </w:p>
    <w:p w:rsidR="007C6A5F" w:rsidRDefault="007C6A5F" w:rsidP="007C6A5F">
      <w:pPr>
        <w:pStyle w:val="BodyText"/>
      </w:pPr>
    </w:p>
    <w:p w:rsidR="007C6A5F" w:rsidRDefault="007C6A5F" w:rsidP="007C6A5F">
      <w:pPr>
        <w:spacing w:before="140"/>
        <w:rPr>
          <w:rFonts w:asciiTheme="minorHAnsi" w:eastAsia="Times New Roman" w:hAnsiTheme="minorHAnsi"/>
        </w:rPr>
      </w:pPr>
      <w:r>
        <w:br w:type="page"/>
      </w:r>
    </w:p>
    <w:p w:rsidR="007C6A5F" w:rsidRPr="00C90235" w:rsidRDefault="007C6A5F" w:rsidP="007C6A5F">
      <w:pPr>
        <w:pStyle w:val="Heading8"/>
        <w:numPr>
          <w:ilvl w:val="7"/>
          <w:numId w:val="5"/>
        </w:numPr>
      </w:pPr>
      <w:r>
        <w:lastRenderedPageBreak/>
        <w:t>Living on the same level as an entrance</w:t>
      </w:r>
    </w:p>
    <w:p w:rsidR="007C6A5F" w:rsidRDefault="007C6A5F" w:rsidP="005A6F87">
      <w:pPr>
        <w:pStyle w:val="ListBullet"/>
        <w:numPr>
          <w:ilvl w:val="0"/>
          <w:numId w:val="17"/>
        </w:numPr>
      </w:pPr>
      <w:r>
        <w:t>A toilet at entrance level to enable people with limited mobility to visit with dignity.</w:t>
      </w:r>
    </w:p>
    <w:p w:rsidR="007C6A5F" w:rsidRDefault="007C6A5F" w:rsidP="005A6F87">
      <w:pPr>
        <w:pStyle w:val="ListBullet"/>
        <w:numPr>
          <w:ilvl w:val="0"/>
          <w:numId w:val="17"/>
        </w:numPr>
      </w:pPr>
      <w:r>
        <w:t>A shower and bedroom at entrance level to enable people with limited mobility to live on a single level or stay overnight.</w:t>
      </w:r>
    </w:p>
    <w:p w:rsidR="007C6A5F" w:rsidRDefault="007C6A5F" w:rsidP="007C6A5F">
      <w:pPr>
        <w:pStyle w:val="BodyText"/>
      </w:pPr>
      <w:r>
        <w:rPr>
          <w:noProof/>
        </w:rPr>
        <w:drawing>
          <wp:inline distT="0" distB="0" distL="0" distR="0" wp14:anchorId="106662EF" wp14:editId="42EE1E73">
            <wp:extent cx="5039995" cy="2480310"/>
            <wp:effectExtent l="0" t="0" r="8255" b="0"/>
            <wp:docPr id="33" name="Picture 33" descr="Indicative illustration of a toilet/shower and bedroom on same level as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ntry toilet shower.png"/>
                    <pic:cNvPicPr/>
                  </pic:nvPicPr>
                  <pic:blipFill>
                    <a:blip r:embed="rId76">
                      <a:extLst>
                        <a:ext uri="{28A0092B-C50C-407E-A947-70E740481C1C}">
                          <a14:useLocalDpi xmlns:a14="http://schemas.microsoft.com/office/drawing/2010/main" val="0"/>
                        </a:ext>
                      </a:extLst>
                    </a:blip>
                    <a:stretch>
                      <a:fillRect/>
                    </a:stretch>
                  </pic:blipFill>
                  <pic:spPr>
                    <a:xfrm>
                      <a:off x="0" y="0"/>
                      <a:ext cx="5039995" cy="2480310"/>
                    </a:xfrm>
                    <a:prstGeom prst="rect">
                      <a:avLst/>
                    </a:prstGeom>
                  </pic:spPr>
                </pic:pic>
              </a:graphicData>
            </a:graphic>
          </wp:inline>
        </w:drawing>
      </w:r>
    </w:p>
    <w:p w:rsidR="007C6A5F" w:rsidRDefault="007C6A5F" w:rsidP="007C6A5F">
      <w:pPr>
        <w:pStyle w:val="BodyText"/>
      </w:pPr>
    </w:p>
    <w:p w:rsidR="007C6A5F" w:rsidRDefault="007C6A5F" w:rsidP="005A6F87">
      <w:pPr>
        <w:pStyle w:val="BodyText"/>
        <w:numPr>
          <w:ilvl w:val="0"/>
          <w:numId w:val="19"/>
        </w:numPr>
      </w:pPr>
      <w:r w:rsidRPr="00F81436">
        <w:t>Does your current home have a toilet on the same level as an entrance?</w:t>
      </w:r>
      <w:r>
        <w:t xml:space="preserve"> </w:t>
      </w:r>
    </w:p>
    <w:p w:rsidR="007C6A5F" w:rsidRDefault="007C6A5F" w:rsidP="005A6F87">
      <w:pPr>
        <w:pStyle w:val="BodyText"/>
        <w:numPr>
          <w:ilvl w:val="0"/>
          <w:numId w:val="42"/>
        </w:numPr>
      </w:pPr>
      <w:r>
        <w:t>Yes</w:t>
      </w:r>
    </w:p>
    <w:p w:rsidR="007C6A5F" w:rsidRDefault="007C6A5F" w:rsidP="005A6F87">
      <w:pPr>
        <w:pStyle w:val="BodyText"/>
        <w:numPr>
          <w:ilvl w:val="0"/>
          <w:numId w:val="42"/>
        </w:numPr>
      </w:pPr>
      <w:r>
        <w:t>No</w:t>
      </w:r>
    </w:p>
    <w:p w:rsidR="007C6A5F" w:rsidRDefault="007C6A5F" w:rsidP="005A6F87">
      <w:pPr>
        <w:pStyle w:val="BodyText"/>
        <w:numPr>
          <w:ilvl w:val="0"/>
          <w:numId w:val="42"/>
        </w:numPr>
      </w:pPr>
      <w:r>
        <w:t>Don’t know</w:t>
      </w:r>
    </w:p>
    <w:p w:rsidR="007C6A5F" w:rsidRDefault="007C6A5F" w:rsidP="007C6A5F">
      <w:pPr>
        <w:pStyle w:val="BodyText"/>
      </w:pPr>
    </w:p>
    <w:p w:rsidR="007C6A5F" w:rsidRDefault="007C6A5F" w:rsidP="007C6A5F">
      <w:pPr>
        <w:spacing w:before="140"/>
        <w:rPr>
          <w:rFonts w:asciiTheme="minorHAnsi" w:eastAsia="Times New Roman" w:hAnsiTheme="minorHAnsi"/>
        </w:rPr>
      </w:pPr>
      <w:r>
        <w:br w:type="page"/>
      </w:r>
    </w:p>
    <w:p w:rsidR="007C6A5F" w:rsidRDefault="007C6A5F" w:rsidP="005A6F87">
      <w:pPr>
        <w:pStyle w:val="BodyText"/>
        <w:numPr>
          <w:ilvl w:val="0"/>
          <w:numId w:val="19"/>
        </w:numPr>
      </w:pPr>
      <w:r>
        <w:lastRenderedPageBreak/>
        <w:t xml:space="preserve">Does your current home have a shower on the same level as an entrance? </w:t>
      </w:r>
    </w:p>
    <w:p w:rsidR="007C6A5F" w:rsidRDefault="007C6A5F" w:rsidP="005A6F87">
      <w:pPr>
        <w:pStyle w:val="BodyText"/>
        <w:numPr>
          <w:ilvl w:val="0"/>
          <w:numId w:val="43"/>
        </w:numPr>
      </w:pPr>
      <w:r>
        <w:t>Yes</w:t>
      </w:r>
    </w:p>
    <w:p w:rsidR="007C6A5F" w:rsidRDefault="007C6A5F" w:rsidP="005A6F87">
      <w:pPr>
        <w:pStyle w:val="BodyText"/>
        <w:numPr>
          <w:ilvl w:val="0"/>
          <w:numId w:val="43"/>
        </w:numPr>
      </w:pPr>
      <w:r>
        <w:t>No</w:t>
      </w:r>
    </w:p>
    <w:p w:rsidR="007C6A5F" w:rsidRDefault="007C6A5F" w:rsidP="005A6F87">
      <w:pPr>
        <w:pStyle w:val="BodyText"/>
        <w:numPr>
          <w:ilvl w:val="0"/>
          <w:numId w:val="43"/>
        </w:numPr>
      </w:pPr>
      <w:r>
        <w:t>Don’t know</w:t>
      </w:r>
    </w:p>
    <w:p w:rsidR="007C6A5F" w:rsidRPr="008219AD" w:rsidRDefault="007C6A5F" w:rsidP="007C6A5F">
      <w:pPr>
        <w:pStyle w:val="BodyText"/>
      </w:pPr>
    </w:p>
    <w:p w:rsidR="007C6A5F" w:rsidRPr="00C90235" w:rsidRDefault="007C6A5F" w:rsidP="007C6A5F">
      <w:pPr>
        <w:spacing w:before="140"/>
      </w:pPr>
      <w:r>
        <w:br w:type="page"/>
      </w:r>
    </w:p>
    <w:p w:rsidR="007C6A5F" w:rsidRDefault="007C6A5F" w:rsidP="005A6F87">
      <w:pPr>
        <w:pStyle w:val="ListBullet"/>
        <w:numPr>
          <w:ilvl w:val="0"/>
          <w:numId w:val="17"/>
        </w:numPr>
      </w:pPr>
      <w:r>
        <w:lastRenderedPageBreak/>
        <w:t>Bathroom walls that are reinforced enable less costly future installation of grab rails</w:t>
      </w:r>
    </w:p>
    <w:p w:rsidR="007C6A5F" w:rsidRDefault="007C6A5F" w:rsidP="005A6F87">
      <w:pPr>
        <w:pStyle w:val="ListBullet"/>
        <w:numPr>
          <w:ilvl w:val="0"/>
          <w:numId w:val="17"/>
        </w:numPr>
      </w:pPr>
      <w:r>
        <w:t>Stairs that are straight and next to a load-bearing wall enable future installation of a stair lift</w:t>
      </w:r>
    </w:p>
    <w:p w:rsidR="007C6A5F" w:rsidRDefault="007C6A5F" w:rsidP="007C6A5F">
      <w:pPr>
        <w:pStyle w:val="ListBullet"/>
        <w:numPr>
          <w:ilvl w:val="0"/>
          <w:numId w:val="0"/>
        </w:numPr>
        <w:ind w:left="284" w:hanging="284"/>
      </w:pPr>
      <w:r>
        <w:rPr>
          <w:b/>
          <w:noProof/>
          <w:color w:val="0070C0"/>
          <w:u w:val="dotted"/>
        </w:rPr>
        <mc:AlternateContent>
          <mc:Choice Requires="wpg">
            <w:drawing>
              <wp:inline distT="0" distB="0" distL="0" distR="0" wp14:anchorId="44130163">
                <wp:extent cx="5072380" cy="2519680"/>
                <wp:effectExtent l="0" t="0" r="0" b="0"/>
                <wp:docPr id="3" name="Group 3" descr="Two images: Image 1 - grab rail on bathroom wall; Image 2 - stairs featuring load bearing wall to enable for future installation of a stair lif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072380" cy="2519680"/>
                          <a:chOff x="0" y="0"/>
                          <a:chExt cx="5072380" cy="2519680"/>
                        </a:xfrm>
                      </wpg:grpSpPr>
                      <pic:pic xmlns:pic="http://schemas.openxmlformats.org/drawingml/2006/picture">
                        <pic:nvPicPr>
                          <pic:cNvPr id="34" name="Picture 34"/>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rot="5400000">
                            <a:off x="2552700" y="0"/>
                            <a:ext cx="2519680" cy="2519680"/>
                          </a:xfrm>
                          <a:prstGeom prst="rect">
                            <a:avLst/>
                          </a:prstGeom>
                        </pic:spPr>
                      </pic:pic>
                      <pic:pic xmlns:pic="http://schemas.openxmlformats.org/drawingml/2006/picture">
                        <pic:nvPicPr>
                          <pic:cNvPr id="35" name="Picture 35"/>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519680" cy="2517775"/>
                          </a:xfrm>
                          <a:prstGeom prst="rect">
                            <a:avLst/>
                          </a:prstGeom>
                        </pic:spPr>
                      </pic:pic>
                    </wpg:wgp>
                  </a:graphicData>
                </a:graphic>
              </wp:inline>
            </w:drawing>
          </mc:Choice>
          <mc:Fallback>
            <w:pict>
              <v:group w14:anchorId="02908A94" id="Group 3" o:spid="_x0000_s1026" alt="Two images: Image 1 - grab rail on bathroom wall; Image 2 - stairs featuring load bearing wall to enable for future installation of a stair lift" style="width:399.4pt;height:198.4pt;mso-position-horizontal-relative:char;mso-position-vertical-relative:line" coordsize="50723,25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25527;width:25196;height:251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">
                  <v:imagedata r:id="rId79" o:title=""/>
                </v:shape>
                <v:shape id="Picture 35" o:spid="_x0000_s1028" type="#_x0000_t75" style="position:absolute;width:25196;height:25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">
                  <v:imagedata r:id="rId80" o:title=""/>
                </v:shape>
                <w10:anchorlock/>
              </v:group>
            </w:pict>
          </mc:Fallback>
        </mc:AlternateContent>
      </w:r>
    </w:p>
    <w:p w:rsidR="007C6A5F" w:rsidRDefault="007C6A5F" w:rsidP="005A6F87">
      <w:pPr>
        <w:pStyle w:val="BodyText"/>
        <w:numPr>
          <w:ilvl w:val="0"/>
          <w:numId w:val="19"/>
        </w:numPr>
      </w:pPr>
      <w:bookmarkStart w:id="9900" w:name="_GoBack"/>
      <w:bookmarkEnd w:id="9900"/>
      <w:r>
        <w:t xml:space="preserve">Which type of indoor stairs, if any, does your current home have? </w:t>
      </w:r>
      <w:r>
        <w:rPr>
          <w:rStyle w:val="DraftingNote"/>
        </w:rPr>
        <w:t>MULTIPLE SELECTION OR NONE OF THE ABOVE</w:t>
      </w:r>
    </w:p>
    <w:p w:rsidR="007C6A5F" w:rsidRDefault="007C6A5F" w:rsidP="005A6F87">
      <w:pPr>
        <w:pStyle w:val="BodyText"/>
        <w:numPr>
          <w:ilvl w:val="0"/>
          <w:numId w:val="44"/>
        </w:numPr>
      </w:pPr>
      <w:r>
        <w:t>Straight stairs</w:t>
      </w:r>
    </w:p>
    <w:p w:rsidR="007C6A5F" w:rsidRDefault="007C6A5F" w:rsidP="005A6F87">
      <w:pPr>
        <w:pStyle w:val="BodyText"/>
        <w:numPr>
          <w:ilvl w:val="0"/>
          <w:numId w:val="44"/>
        </w:numPr>
      </w:pPr>
      <w:r>
        <w:t>Stairs with a half/quarter turn</w:t>
      </w:r>
    </w:p>
    <w:p w:rsidR="007C6A5F" w:rsidRDefault="007C6A5F" w:rsidP="005A6F87">
      <w:pPr>
        <w:pStyle w:val="BodyText"/>
        <w:numPr>
          <w:ilvl w:val="0"/>
          <w:numId w:val="44"/>
        </w:numPr>
      </w:pPr>
      <w:r>
        <w:t>Curved/spiral stairs</w:t>
      </w:r>
    </w:p>
    <w:p w:rsidR="007C6A5F" w:rsidRDefault="007C6A5F" w:rsidP="007C6A5F">
      <w:pPr>
        <w:pStyle w:val="BodyText"/>
        <w:ind w:left="1440"/>
      </w:pPr>
      <w:r>
        <w:t>or</w:t>
      </w:r>
    </w:p>
    <w:p w:rsidR="007C6A5F" w:rsidRDefault="007C6A5F" w:rsidP="005A6F87">
      <w:pPr>
        <w:pStyle w:val="BodyText"/>
        <w:numPr>
          <w:ilvl w:val="0"/>
          <w:numId w:val="44"/>
        </w:numPr>
      </w:pPr>
      <w:r>
        <w:t>No stairs</w:t>
      </w:r>
    </w:p>
    <w:p w:rsidR="007C6A5F" w:rsidRDefault="007C6A5F" w:rsidP="007C6A5F">
      <w:pPr>
        <w:pStyle w:val="BodyText"/>
      </w:pPr>
    </w:p>
    <w:p w:rsidR="007C6A5F" w:rsidRDefault="007C6A5F" w:rsidP="007C6A5F">
      <w:pPr>
        <w:spacing w:before="140"/>
      </w:pPr>
      <w:r>
        <w:br w:type="page"/>
      </w:r>
    </w:p>
    <w:p w:rsidR="007C6A5F" w:rsidRDefault="007C6A5F" w:rsidP="007C6A5F">
      <w:pPr>
        <w:spacing w:before="140"/>
        <w:rPr>
          <w:rFonts w:asciiTheme="minorHAnsi" w:eastAsia="Times New Roman" w:hAnsiTheme="minorHAnsi"/>
        </w:rPr>
      </w:pPr>
      <w:r>
        <w:rPr>
          <w:rFonts w:asciiTheme="minorHAnsi" w:eastAsia="Times New Roman" w:hAnsiTheme="minorHAnsi"/>
        </w:rPr>
        <w:lastRenderedPageBreak/>
        <w:t>Some people like these features, because:</w:t>
      </w:r>
    </w:p>
    <w:p w:rsidR="007C6A5F" w:rsidRPr="00EF2E5A" w:rsidRDefault="007C6A5F" w:rsidP="005A6F87">
      <w:pPr>
        <w:pStyle w:val="ListBullet"/>
        <w:numPr>
          <w:ilvl w:val="0"/>
          <w:numId w:val="17"/>
        </w:numPr>
      </w:pPr>
      <w:r>
        <w:t>i</w:t>
      </w:r>
      <w:r w:rsidRPr="00EF2E5A">
        <w:t>t makes activities like manoeuvring a pram, carrying the shopping and moving furniture easier</w:t>
      </w:r>
    </w:p>
    <w:p w:rsidR="007C6A5F" w:rsidRPr="00EF2E5A" w:rsidRDefault="007C6A5F" w:rsidP="005A6F87">
      <w:pPr>
        <w:pStyle w:val="ListBullet"/>
        <w:numPr>
          <w:ilvl w:val="0"/>
          <w:numId w:val="17"/>
        </w:numPr>
      </w:pPr>
      <w:r>
        <w:t>i</w:t>
      </w:r>
      <w:r w:rsidRPr="00EF2E5A">
        <w:t xml:space="preserve">n the event of someone in the household getting a mobility </w:t>
      </w:r>
      <w:r>
        <w:t>limitation</w:t>
      </w:r>
      <w:r w:rsidRPr="00EF2E5A">
        <w:t xml:space="preserve">, </w:t>
      </w:r>
    </w:p>
    <w:p w:rsidR="007C6A5F" w:rsidRPr="00EF2E5A" w:rsidRDefault="007C6A5F" w:rsidP="005A6F87">
      <w:pPr>
        <w:pStyle w:val="ListBullet2"/>
        <w:numPr>
          <w:ilvl w:val="1"/>
          <w:numId w:val="17"/>
        </w:numPr>
        <w:ind w:left="568" w:hanging="284"/>
      </w:pPr>
      <w:r w:rsidRPr="00EF2E5A">
        <w:t xml:space="preserve">their home can be modified at lower cost </w:t>
      </w:r>
      <w:r>
        <w:t xml:space="preserve">or </w:t>
      </w:r>
      <w:r w:rsidRPr="00EF2E5A">
        <w:t xml:space="preserve">to a higher standard </w:t>
      </w:r>
    </w:p>
    <w:p w:rsidR="007C6A5F" w:rsidRPr="00EF2E5A" w:rsidRDefault="007C6A5F" w:rsidP="005A6F87">
      <w:pPr>
        <w:pStyle w:val="ListBullet2"/>
        <w:numPr>
          <w:ilvl w:val="1"/>
          <w:numId w:val="17"/>
        </w:numPr>
        <w:ind w:left="568" w:hanging="284"/>
      </w:pPr>
      <w:r w:rsidRPr="00EF2E5A">
        <w:t>they would avoid the need to move house</w:t>
      </w:r>
    </w:p>
    <w:p w:rsidR="007C6A5F" w:rsidRPr="00EF2E5A" w:rsidRDefault="007C6A5F" w:rsidP="005A6F87">
      <w:pPr>
        <w:pStyle w:val="ListBullet2"/>
        <w:numPr>
          <w:ilvl w:val="1"/>
          <w:numId w:val="17"/>
        </w:numPr>
        <w:ind w:left="568" w:hanging="284"/>
      </w:pPr>
      <w:r w:rsidRPr="00EF2E5A">
        <w:t>they would delay the need to move into a hostel or nursing home</w:t>
      </w:r>
    </w:p>
    <w:p w:rsidR="007C6A5F" w:rsidRPr="00EF2E5A" w:rsidRDefault="007C6A5F" w:rsidP="005A6F87">
      <w:pPr>
        <w:pStyle w:val="ListBullet"/>
        <w:numPr>
          <w:ilvl w:val="0"/>
          <w:numId w:val="17"/>
        </w:numPr>
      </w:pPr>
      <w:r>
        <w:t>t</w:t>
      </w:r>
      <w:r w:rsidRPr="00EF2E5A">
        <w:t xml:space="preserve">hey can more easily receive visits from friends and family </w:t>
      </w:r>
      <w:r>
        <w:t>with a pram or limited</w:t>
      </w:r>
      <w:r w:rsidRPr="00EF2E5A">
        <w:t xml:space="preserve"> mobility </w:t>
      </w:r>
    </w:p>
    <w:p w:rsidR="007C6A5F" w:rsidRDefault="007C6A5F" w:rsidP="007C6A5F">
      <w:pPr>
        <w:pStyle w:val="BodyText"/>
      </w:pPr>
      <w:r>
        <w:t>Other people dislike these features, because:</w:t>
      </w:r>
    </w:p>
    <w:p w:rsidR="007C6A5F" w:rsidRDefault="007C6A5F" w:rsidP="005A6F87">
      <w:pPr>
        <w:pStyle w:val="ListBullet"/>
        <w:numPr>
          <w:ilvl w:val="0"/>
          <w:numId w:val="17"/>
        </w:numPr>
      </w:pPr>
      <w:r>
        <w:t>they prefer home designs with a lower share of space used for kitchen, bathroom, laundry and/or corridors</w:t>
      </w:r>
    </w:p>
    <w:p w:rsidR="007C6A5F" w:rsidRDefault="007C6A5F" w:rsidP="005A6F87">
      <w:pPr>
        <w:pStyle w:val="ListBullet"/>
        <w:numPr>
          <w:ilvl w:val="0"/>
          <w:numId w:val="17"/>
        </w:numPr>
      </w:pPr>
      <w:r>
        <w:t>they prefer home designs with the toilet and bathroom on a different level to the entrance</w:t>
      </w:r>
    </w:p>
    <w:p w:rsidR="007C6A5F" w:rsidRDefault="007C6A5F" w:rsidP="005A6F87">
      <w:pPr>
        <w:pStyle w:val="ListBullet"/>
        <w:numPr>
          <w:ilvl w:val="0"/>
          <w:numId w:val="17"/>
        </w:numPr>
      </w:pPr>
      <w:r>
        <w:t xml:space="preserve">they prefer homes on sloped blocks, with more stairs. </w:t>
      </w:r>
    </w:p>
    <w:p w:rsidR="007C6A5F" w:rsidRDefault="007C6A5F" w:rsidP="007C6A5F">
      <w:pPr>
        <w:pStyle w:val="BodyText"/>
      </w:pPr>
    </w:p>
    <w:p w:rsidR="007C6A5F" w:rsidRDefault="007C6A5F" w:rsidP="007C6A5F">
      <w:pPr>
        <w:spacing w:before="140"/>
        <w:rPr>
          <w:rFonts w:asciiTheme="minorHAnsi" w:eastAsia="Times New Roman" w:hAnsiTheme="minorHAnsi"/>
        </w:rPr>
      </w:pPr>
      <w:r>
        <w:br w:type="page"/>
      </w:r>
    </w:p>
    <w:p w:rsidR="007C6A5F" w:rsidRDefault="007C6A5F" w:rsidP="005A6F87">
      <w:pPr>
        <w:pStyle w:val="BodyText"/>
        <w:numPr>
          <w:ilvl w:val="0"/>
          <w:numId w:val="19"/>
        </w:numPr>
      </w:pPr>
      <w:r>
        <w:lastRenderedPageBreak/>
        <w:t>To what extent did you consider accessibility when choosing your current home?</w:t>
      </w:r>
    </w:p>
    <w:p w:rsidR="007C6A5F" w:rsidRDefault="007C6A5F" w:rsidP="005A6F87">
      <w:pPr>
        <w:pStyle w:val="BodyText"/>
        <w:numPr>
          <w:ilvl w:val="0"/>
          <w:numId w:val="28"/>
        </w:numPr>
      </w:pPr>
      <w:r>
        <w:t>It was an important consideration</w:t>
      </w:r>
    </w:p>
    <w:p w:rsidR="007C6A5F" w:rsidRDefault="007C6A5F" w:rsidP="005A6F87">
      <w:pPr>
        <w:pStyle w:val="BodyText"/>
        <w:numPr>
          <w:ilvl w:val="0"/>
          <w:numId w:val="28"/>
        </w:numPr>
      </w:pPr>
      <w:r>
        <w:t>It was a minor consideration</w:t>
      </w:r>
    </w:p>
    <w:p w:rsidR="007C6A5F" w:rsidRDefault="007C6A5F" w:rsidP="005A6F87">
      <w:pPr>
        <w:pStyle w:val="BodyText"/>
        <w:numPr>
          <w:ilvl w:val="0"/>
          <w:numId w:val="28"/>
        </w:numPr>
      </w:pPr>
      <w:r>
        <w:t>I did not consider it at all</w:t>
      </w:r>
    </w:p>
    <w:p w:rsidR="007C6A5F" w:rsidRDefault="007C6A5F" w:rsidP="007C6A5F">
      <w:pPr>
        <w:pStyle w:val="BodyText"/>
      </w:pPr>
    </w:p>
    <w:p w:rsidR="007C6A5F" w:rsidRDefault="007C6A5F" w:rsidP="007C6A5F">
      <w:pPr>
        <w:spacing w:before="140"/>
        <w:rPr>
          <w:rFonts w:asciiTheme="minorHAnsi" w:eastAsia="Times New Roman" w:hAnsiTheme="minorHAnsi"/>
        </w:rPr>
      </w:pPr>
      <w:bookmarkStart w:id="9901" w:name="_Ref25856095"/>
      <w:r>
        <w:br w:type="page"/>
      </w:r>
    </w:p>
    <w:p w:rsidR="007C6A5F" w:rsidRDefault="007C6A5F" w:rsidP="005A6F87">
      <w:pPr>
        <w:pStyle w:val="BodyText"/>
        <w:numPr>
          <w:ilvl w:val="0"/>
          <w:numId w:val="19"/>
        </w:numPr>
      </w:pPr>
      <w:bookmarkStart w:id="9902" w:name="_Ref26432574"/>
      <w:r>
        <w:lastRenderedPageBreak/>
        <w:t>If you were buying/renting a new home now, would you…</w:t>
      </w:r>
      <w:bookmarkEnd w:id="9901"/>
      <w:bookmarkEnd w:id="9902"/>
    </w:p>
    <w:p w:rsidR="007C6A5F" w:rsidRDefault="007C6A5F" w:rsidP="005A6F87">
      <w:pPr>
        <w:pStyle w:val="BodyText"/>
        <w:numPr>
          <w:ilvl w:val="0"/>
          <w:numId w:val="32"/>
        </w:numPr>
      </w:pPr>
      <w:r>
        <w:t>Prefer homes with all accessibility features described in this survey</w:t>
      </w:r>
    </w:p>
    <w:p w:rsidR="007C6A5F" w:rsidRDefault="007C6A5F" w:rsidP="005A6F87">
      <w:pPr>
        <w:pStyle w:val="BodyText"/>
        <w:numPr>
          <w:ilvl w:val="0"/>
          <w:numId w:val="32"/>
        </w:numPr>
      </w:pPr>
      <w:r>
        <w:t>Prefer homes with some accessibility features described in this survey</w:t>
      </w:r>
    </w:p>
    <w:p w:rsidR="007C6A5F" w:rsidRDefault="007C6A5F" w:rsidP="005A6F87">
      <w:pPr>
        <w:pStyle w:val="BodyText"/>
        <w:numPr>
          <w:ilvl w:val="0"/>
          <w:numId w:val="32"/>
        </w:numPr>
      </w:pPr>
      <w:r>
        <w:t>Prefer homes without accessibility features</w:t>
      </w:r>
    </w:p>
    <w:p w:rsidR="007C6A5F" w:rsidRDefault="007C6A5F" w:rsidP="005A6F87">
      <w:pPr>
        <w:pStyle w:val="BodyText"/>
        <w:numPr>
          <w:ilvl w:val="0"/>
          <w:numId w:val="32"/>
        </w:numPr>
      </w:pPr>
      <w:r>
        <w:t>Have no preference</w:t>
      </w:r>
    </w:p>
    <w:p w:rsidR="007C6A5F" w:rsidRDefault="007C6A5F" w:rsidP="007C6A5F">
      <w:pPr>
        <w:pStyle w:val="BodyText"/>
      </w:pPr>
    </w:p>
    <w:p w:rsidR="007C6A5F" w:rsidRDefault="007C6A5F" w:rsidP="007C6A5F">
      <w:pPr>
        <w:spacing w:before="140"/>
        <w:rPr>
          <w:rStyle w:val="DraftingNote"/>
          <w:rFonts w:eastAsia="Times New Roman"/>
        </w:rPr>
      </w:pPr>
      <w:r>
        <w:rPr>
          <w:rStyle w:val="DraftingNote"/>
        </w:rPr>
        <w:br w:type="page"/>
      </w:r>
    </w:p>
    <w:p w:rsidR="007C6A5F" w:rsidRDefault="007C6A5F" w:rsidP="005A6F87">
      <w:pPr>
        <w:pStyle w:val="BodyText"/>
        <w:numPr>
          <w:ilvl w:val="0"/>
          <w:numId w:val="19"/>
        </w:numPr>
      </w:pPr>
      <w:r>
        <w:rPr>
          <w:rStyle w:val="DraftingNote"/>
        </w:rPr>
        <w:lastRenderedPageBreak/>
        <w:t xml:space="preserve">IF (a) or (b) ABOVE </w:t>
      </w:r>
      <w:r>
        <w:t xml:space="preserve">What is your main reason for preferring accessibility features? </w:t>
      </w:r>
      <w:r>
        <w:rPr>
          <w:rStyle w:val="DraftingNote"/>
        </w:rPr>
        <w:t>ROTATE EXCEPT ‘NO PREFERENCE’</w:t>
      </w:r>
    </w:p>
    <w:p w:rsidR="007C6A5F" w:rsidRDefault="007C6A5F" w:rsidP="005A6F87">
      <w:pPr>
        <w:pStyle w:val="BodyText"/>
        <w:numPr>
          <w:ilvl w:val="0"/>
          <w:numId w:val="33"/>
        </w:numPr>
      </w:pPr>
      <w:r>
        <w:t>The ease of access and use now</w:t>
      </w:r>
    </w:p>
    <w:p w:rsidR="007C6A5F" w:rsidRDefault="007C6A5F" w:rsidP="005A6F87">
      <w:pPr>
        <w:pStyle w:val="BodyText"/>
        <w:numPr>
          <w:ilvl w:val="0"/>
          <w:numId w:val="33"/>
        </w:numPr>
      </w:pPr>
      <w:r>
        <w:t>To avoid/delay the need to move later</w:t>
      </w:r>
    </w:p>
    <w:p w:rsidR="007C6A5F" w:rsidRDefault="007C6A5F" w:rsidP="005A6F87">
      <w:pPr>
        <w:pStyle w:val="BodyText"/>
        <w:numPr>
          <w:ilvl w:val="0"/>
          <w:numId w:val="33"/>
        </w:numPr>
      </w:pPr>
      <w:r>
        <w:t>To receive visits from family and friends with limited mobility</w:t>
      </w:r>
    </w:p>
    <w:p w:rsidR="007C6A5F" w:rsidRDefault="007C6A5F" w:rsidP="005A6F87">
      <w:pPr>
        <w:pStyle w:val="BodyText"/>
        <w:numPr>
          <w:ilvl w:val="0"/>
          <w:numId w:val="33"/>
        </w:numPr>
      </w:pPr>
      <w:r>
        <w:t>The look and feel of the features</w:t>
      </w:r>
    </w:p>
    <w:p w:rsidR="007C6A5F" w:rsidRDefault="007C6A5F" w:rsidP="005A6F87">
      <w:pPr>
        <w:pStyle w:val="BodyText"/>
        <w:numPr>
          <w:ilvl w:val="0"/>
          <w:numId w:val="33"/>
        </w:numPr>
      </w:pPr>
      <w:r>
        <w:t>Other (please specify) __________</w:t>
      </w:r>
    </w:p>
    <w:p w:rsidR="007C6A5F" w:rsidRDefault="007C6A5F" w:rsidP="007C6A5F">
      <w:pPr>
        <w:pStyle w:val="BodyText"/>
      </w:pPr>
    </w:p>
    <w:p w:rsidR="007C6A5F" w:rsidRDefault="007C6A5F" w:rsidP="007C6A5F">
      <w:pPr>
        <w:spacing w:before="140"/>
        <w:rPr>
          <w:rStyle w:val="DraftingNote"/>
          <w:rFonts w:eastAsia="Times New Roman"/>
        </w:rPr>
      </w:pPr>
      <w:r>
        <w:rPr>
          <w:rStyle w:val="DraftingNote"/>
        </w:rPr>
        <w:br w:type="page"/>
      </w:r>
    </w:p>
    <w:p w:rsidR="007C6A5F" w:rsidRDefault="007C6A5F" w:rsidP="005A6F87">
      <w:pPr>
        <w:pStyle w:val="BodyText"/>
        <w:numPr>
          <w:ilvl w:val="0"/>
          <w:numId w:val="19"/>
        </w:numPr>
      </w:pPr>
      <w:r>
        <w:rPr>
          <w:rStyle w:val="DraftingNote"/>
        </w:rPr>
        <w:lastRenderedPageBreak/>
        <w:t>IF (c) in Q</w:t>
      </w:r>
      <w:r>
        <w:rPr>
          <w:rStyle w:val="DraftingNote"/>
        </w:rPr>
        <w:fldChar w:fldCharType="begin"/>
      </w:r>
      <w:r>
        <w:rPr>
          <w:rStyle w:val="DraftingNote"/>
        </w:rPr>
        <w:instrText xml:space="preserve"> REF _Ref26432574 \r \h </w:instrText>
      </w:r>
      <w:r>
        <w:rPr>
          <w:rStyle w:val="DraftingNote"/>
        </w:rPr>
      </w:r>
      <w:r>
        <w:rPr>
          <w:rStyle w:val="DraftingNote"/>
        </w:rPr>
        <w:fldChar w:fldCharType="separate"/>
      </w:r>
      <w:r>
        <w:rPr>
          <w:rStyle w:val="DraftingNote"/>
        </w:rPr>
        <w:t>19</w:t>
      </w:r>
      <w:r>
        <w:rPr>
          <w:rStyle w:val="DraftingNote"/>
        </w:rPr>
        <w:fldChar w:fldCharType="end"/>
      </w:r>
      <w:r>
        <w:rPr>
          <w:rStyle w:val="DraftingNote"/>
        </w:rPr>
        <w:t xml:space="preserve"> </w:t>
      </w:r>
      <w:r>
        <w:t xml:space="preserve">What is your main reason for preferring homes without accessibility features? </w:t>
      </w:r>
      <w:r>
        <w:rPr>
          <w:rStyle w:val="DraftingNote"/>
        </w:rPr>
        <w:t>ROTATE EXCEPT ‘NO PREFERENCE’</w:t>
      </w:r>
    </w:p>
    <w:p w:rsidR="007C6A5F" w:rsidRDefault="007C6A5F" w:rsidP="005A6F87">
      <w:pPr>
        <w:pStyle w:val="BodyText"/>
        <w:numPr>
          <w:ilvl w:val="0"/>
          <w:numId w:val="34"/>
        </w:numPr>
      </w:pPr>
      <w:r>
        <w:t>I dislike the look and feel of the features</w:t>
      </w:r>
    </w:p>
    <w:p w:rsidR="007C6A5F" w:rsidRDefault="007C6A5F" w:rsidP="005A6F87">
      <w:pPr>
        <w:pStyle w:val="BodyText"/>
        <w:numPr>
          <w:ilvl w:val="0"/>
          <w:numId w:val="34"/>
        </w:numPr>
      </w:pPr>
      <w:r>
        <w:t>I prefer larger living areas and bedrooms</w:t>
      </w:r>
    </w:p>
    <w:p w:rsidR="007C6A5F" w:rsidRDefault="007C6A5F" w:rsidP="005A6F87">
      <w:pPr>
        <w:pStyle w:val="BodyText"/>
        <w:numPr>
          <w:ilvl w:val="0"/>
          <w:numId w:val="34"/>
        </w:numPr>
      </w:pPr>
      <w:r>
        <w:t>I prefer steeply sloped blocks</w:t>
      </w:r>
    </w:p>
    <w:p w:rsidR="007C6A5F" w:rsidRDefault="007C6A5F" w:rsidP="005A6F87">
      <w:pPr>
        <w:pStyle w:val="BodyText"/>
        <w:numPr>
          <w:ilvl w:val="0"/>
          <w:numId w:val="34"/>
        </w:numPr>
      </w:pPr>
      <w:r>
        <w:t>Other (please specify) __________</w:t>
      </w:r>
    </w:p>
    <w:p w:rsidR="007C6A5F" w:rsidRDefault="007C6A5F" w:rsidP="007C6A5F">
      <w:pPr>
        <w:pStyle w:val="BodyText"/>
      </w:pPr>
    </w:p>
    <w:p w:rsidR="007C6A5F" w:rsidRDefault="007C6A5F" w:rsidP="007C6A5F">
      <w:pPr>
        <w:spacing w:before="140"/>
      </w:pPr>
    </w:p>
    <w:p w:rsidR="007C6A5F" w:rsidRDefault="007C6A5F" w:rsidP="007C6A5F">
      <w:pPr>
        <w:spacing w:before="140"/>
        <w:rPr>
          <w:rFonts w:asciiTheme="minorHAnsi" w:eastAsia="Times New Roman" w:hAnsiTheme="minorHAnsi"/>
        </w:rPr>
      </w:pPr>
      <w:r>
        <w:br w:type="page"/>
      </w:r>
    </w:p>
    <w:p w:rsidR="007C6A5F" w:rsidRDefault="007C6A5F" w:rsidP="005A6F87">
      <w:pPr>
        <w:pStyle w:val="BodyText"/>
        <w:numPr>
          <w:ilvl w:val="0"/>
          <w:numId w:val="19"/>
        </w:numPr>
      </w:pPr>
      <w:r>
        <w:lastRenderedPageBreak/>
        <w:t>How likely are you to move home in the next 5 years?</w:t>
      </w:r>
    </w:p>
    <w:p w:rsidR="007C6A5F" w:rsidRDefault="007C6A5F" w:rsidP="005A6F87">
      <w:pPr>
        <w:pStyle w:val="BodyText"/>
        <w:numPr>
          <w:ilvl w:val="0"/>
          <w:numId w:val="45"/>
        </w:numPr>
      </w:pPr>
      <w:r>
        <w:t>Almost certain (&gt;85% chance)</w:t>
      </w:r>
    </w:p>
    <w:p w:rsidR="007C6A5F" w:rsidRDefault="007C6A5F" w:rsidP="005A6F87">
      <w:pPr>
        <w:pStyle w:val="BodyText"/>
        <w:numPr>
          <w:ilvl w:val="0"/>
          <w:numId w:val="45"/>
        </w:numPr>
      </w:pPr>
      <w:r>
        <w:t>Highly likely (70%-85%)</w:t>
      </w:r>
    </w:p>
    <w:p w:rsidR="007C6A5F" w:rsidRDefault="007C6A5F" w:rsidP="005A6F87">
      <w:pPr>
        <w:pStyle w:val="BodyText"/>
        <w:numPr>
          <w:ilvl w:val="0"/>
          <w:numId w:val="45"/>
        </w:numPr>
      </w:pPr>
      <w:r>
        <w:t>Likely (55%-70%)</w:t>
      </w:r>
    </w:p>
    <w:p w:rsidR="007C6A5F" w:rsidRDefault="007C6A5F" w:rsidP="005A6F87">
      <w:pPr>
        <w:pStyle w:val="BodyText"/>
        <w:numPr>
          <w:ilvl w:val="0"/>
          <w:numId w:val="45"/>
        </w:numPr>
      </w:pPr>
      <w:r>
        <w:t>Neither likely nor unlikely (45%-55%)</w:t>
      </w:r>
    </w:p>
    <w:p w:rsidR="007C6A5F" w:rsidRDefault="007C6A5F" w:rsidP="005A6F87">
      <w:pPr>
        <w:pStyle w:val="BodyText"/>
        <w:numPr>
          <w:ilvl w:val="0"/>
          <w:numId w:val="45"/>
        </w:numPr>
      </w:pPr>
      <w:r>
        <w:t>Unlikely (30%-45%)</w:t>
      </w:r>
    </w:p>
    <w:p w:rsidR="007C6A5F" w:rsidRDefault="007C6A5F" w:rsidP="005A6F87">
      <w:pPr>
        <w:pStyle w:val="BodyText"/>
        <w:numPr>
          <w:ilvl w:val="0"/>
          <w:numId w:val="45"/>
        </w:numPr>
      </w:pPr>
      <w:r>
        <w:t>Highly unlikely (15%-30%)</w:t>
      </w:r>
    </w:p>
    <w:p w:rsidR="007C6A5F" w:rsidRDefault="007C6A5F" w:rsidP="005A6F87">
      <w:pPr>
        <w:pStyle w:val="BodyText"/>
        <w:numPr>
          <w:ilvl w:val="0"/>
          <w:numId w:val="45"/>
        </w:numPr>
      </w:pPr>
      <w:r>
        <w:t>Remote (&lt;15%)</w:t>
      </w:r>
      <w:r>
        <w:tab/>
      </w:r>
      <w:r>
        <w:tab/>
      </w:r>
      <w:r>
        <w:tab/>
      </w:r>
      <w:r>
        <w:tab/>
      </w:r>
    </w:p>
    <w:p w:rsidR="007C6A5F" w:rsidRDefault="007C6A5F" w:rsidP="007C6A5F">
      <w:pPr>
        <w:spacing w:before="140"/>
      </w:pPr>
      <w:r>
        <w:br w:type="page"/>
      </w:r>
    </w:p>
    <w:p w:rsidR="007C6A5F" w:rsidRDefault="007C6A5F" w:rsidP="005A6F87">
      <w:pPr>
        <w:pStyle w:val="BodyText"/>
        <w:numPr>
          <w:ilvl w:val="0"/>
          <w:numId w:val="19"/>
        </w:numPr>
      </w:pPr>
      <w:bookmarkStart w:id="9903" w:name="_Ref19200525"/>
      <w:r>
        <w:lastRenderedPageBreak/>
        <w:t>Would you be more likely to buy or rent your next home?</w:t>
      </w:r>
      <w:bookmarkEnd w:id="9903"/>
    </w:p>
    <w:p w:rsidR="007C6A5F" w:rsidRDefault="007C6A5F" w:rsidP="005A6F87">
      <w:pPr>
        <w:pStyle w:val="BodyText"/>
        <w:numPr>
          <w:ilvl w:val="0"/>
          <w:numId w:val="35"/>
        </w:numPr>
      </w:pPr>
      <w:r>
        <w:t>Buy</w:t>
      </w:r>
    </w:p>
    <w:p w:rsidR="007C6A5F" w:rsidRDefault="007C6A5F" w:rsidP="005A6F87">
      <w:pPr>
        <w:pStyle w:val="BodyText"/>
        <w:numPr>
          <w:ilvl w:val="0"/>
          <w:numId w:val="35"/>
        </w:numPr>
      </w:pPr>
      <w:r>
        <w:t>Rent</w:t>
      </w:r>
    </w:p>
    <w:p w:rsidR="007C6A5F" w:rsidRDefault="007C6A5F" w:rsidP="005A6F87">
      <w:pPr>
        <w:pStyle w:val="BodyText"/>
        <w:numPr>
          <w:ilvl w:val="0"/>
          <w:numId w:val="35"/>
        </w:numPr>
      </w:pPr>
      <w:r>
        <w:t>Don’t know</w:t>
      </w:r>
    </w:p>
    <w:p w:rsidR="007C6A5F" w:rsidRDefault="007C6A5F" w:rsidP="005A6F87">
      <w:pPr>
        <w:pStyle w:val="BodyText"/>
        <w:numPr>
          <w:ilvl w:val="0"/>
          <w:numId w:val="35"/>
        </w:numPr>
      </w:pPr>
      <w:r>
        <w:t>Other (please specify)</w:t>
      </w:r>
    </w:p>
    <w:p w:rsidR="007C6A5F" w:rsidRDefault="007C6A5F" w:rsidP="007C6A5F">
      <w:pPr>
        <w:spacing w:before="140"/>
        <w:rPr>
          <w:rFonts w:asciiTheme="minorHAnsi" w:eastAsia="Times New Roman" w:hAnsiTheme="minorHAnsi"/>
        </w:rPr>
      </w:pPr>
      <w:r>
        <w:br w:type="page"/>
      </w:r>
    </w:p>
    <w:p w:rsidR="007C6A5F" w:rsidRDefault="007C6A5F" w:rsidP="005A6F87">
      <w:pPr>
        <w:pStyle w:val="BodyText"/>
        <w:numPr>
          <w:ilvl w:val="0"/>
          <w:numId w:val="19"/>
        </w:numPr>
      </w:pPr>
      <w:r>
        <w:lastRenderedPageBreak/>
        <w:t>Given your location, family size and budget, what type of home would you be looking to move into?</w:t>
      </w:r>
    </w:p>
    <w:p w:rsidR="007C6A5F" w:rsidRDefault="007C6A5F" w:rsidP="005A6F87">
      <w:pPr>
        <w:pStyle w:val="BodyText"/>
        <w:numPr>
          <w:ilvl w:val="0"/>
          <w:numId w:val="36"/>
        </w:numPr>
      </w:pPr>
      <w:r>
        <w:t>Separate house</w:t>
      </w:r>
    </w:p>
    <w:p w:rsidR="007C6A5F" w:rsidRDefault="007C6A5F" w:rsidP="005A6F87">
      <w:pPr>
        <w:pStyle w:val="BodyText"/>
        <w:numPr>
          <w:ilvl w:val="0"/>
          <w:numId w:val="36"/>
        </w:numPr>
      </w:pPr>
      <w:r>
        <w:t>Semi-detached, row or terrace house, townhouse</w:t>
      </w:r>
    </w:p>
    <w:p w:rsidR="007C6A5F" w:rsidRDefault="007C6A5F" w:rsidP="005A6F87">
      <w:pPr>
        <w:pStyle w:val="BodyText"/>
        <w:numPr>
          <w:ilvl w:val="0"/>
          <w:numId w:val="36"/>
        </w:numPr>
      </w:pPr>
      <w:r>
        <w:t>Flat or apartment</w:t>
      </w:r>
    </w:p>
    <w:p w:rsidR="007C6A5F" w:rsidRDefault="007C6A5F" w:rsidP="005A6F87">
      <w:pPr>
        <w:pStyle w:val="BodyText"/>
        <w:numPr>
          <w:ilvl w:val="0"/>
          <w:numId w:val="36"/>
        </w:numPr>
      </w:pPr>
      <w:r>
        <w:t>Other</w:t>
      </w:r>
    </w:p>
    <w:p w:rsidR="007C6A5F" w:rsidRDefault="007C6A5F" w:rsidP="007C6A5F">
      <w:pPr>
        <w:spacing w:before="140"/>
        <w:rPr>
          <w:rFonts w:asciiTheme="minorHAnsi" w:eastAsia="Times New Roman" w:hAnsiTheme="minorHAnsi"/>
        </w:rPr>
      </w:pPr>
      <w:r>
        <w:br w:type="page"/>
      </w:r>
    </w:p>
    <w:p w:rsidR="007C6A5F" w:rsidRDefault="007C6A5F" w:rsidP="005A6F87">
      <w:pPr>
        <w:pStyle w:val="BodyText"/>
        <w:numPr>
          <w:ilvl w:val="0"/>
          <w:numId w:val="19"/>
        </w:numPr>
      </w:pPr>
      <w:r>
        <w:lastRenderedPageBreak/>
        <w:t>Roughly, how much would you be looking to spend?</w:t>
      </w:r>
    </w:p>
    <w:p w:rsidR="007C6A5F" w:rsidRDefault="007C6A5F" w:rsidP="007C6A5F">
      <w:pPr>
        <w:pStyle w:val="BodyText"/>
        <w:ind w:left="720"/>
        <w:rPr>
          <w:rStyle w:val="DraftingNote"/>
        </w:rPr>
      </w:pPr>
      <w:r>
        <w:rPr>
          <w:rStyle w:val="DraftingNote"/>
        </w:rPr>
        <w:t>IF Q</w:t>
      </w:r>
      <w:r>
        <w:rPr>
          <w:rStyle w:val="DraftingNote"/>
        </w:rPr>
        <w:fldChar w:fldCharType="begin"/>
      </w:r>
      <w:r>
        <w:rPr>
          <w:rStyle w:val="DraftingNote"/>
        </w:rPr>
        <w:instrText xml:space="preserve"> REF _Ref19200525 \r \h </w:instrText>
      </w:r>
      <w:r>
        <w:rPr>
          <w:rStyle w:val="DraftingNote"/>
        </w:rPr>
      </w:r>
      <w:r>
        <w:rPr>
          <w:rStyle w:val="DraftingNote"/>
        </w:rPr>
        <w:fldChar w:fldCharType="separate"/>
      </w:r>
      <w:r>
        <w:rPr>
          <w:rStyle w:val="DraftingNote"/>
        </w:rPr>
        <w:t>23</w:t>
      </w:r>
      <w:r>
        <w:rPr>
          <w:rStyle w:val="DraftingNote"/>
        </w:rPr>
        <w:fldChar w:fldCharType="end"/>
      </w:r>
      <w:r>
        <w:rPr>
          <w:rStyle w:val="DraftingNote"/>
        </w:rPr>
        <w:t xml:space="preserve"> = BUY</w:t>
      </w:r>
    </w:p>
    <w:p w:rsidR="007C6A5F" w:rsidRDefault="007C6A5F" w:rsidP="005A6F87">
      <w:pPr>
        <w:pStyle w:val="BodyText"/>
        <w:numPr>
          <w:ilvl w:val="0"/>
          <w:numId w:val="46"/>
        </w:numPr>
      </w:pPr>
      <w:r>
        <w:t>Less than $150 000</w:t>
      </w:r>
    </w:p>
    <w:p w:rsidR="007C6A5F" w:rsidRDefault="007C6A5F" w:rsidP="005A6F87">
      <w:pPr>
        <w:pStyle w:val="BodyText"/>
        <w:numPr>
          <w:ilvl w:val="0"/>
          <w:numId w:val="46"/>
        </w:numPr>
      </w:pPr>
      <w:r>
        <w:t>$150 000 to $249 999</w:t>
      </w:r>
    </w:p>
    <w:p w:rsidR="007C6A5F" w:rsidRDefault="007C6A5F" w:rsidP="005A6F87">
      <w:pPr>
        <w:pStyle w:val="BodyText"/>
        <w:numPr>
          <w:ilvl w:val="0"/>
          <w:numId w:val="46"/>
        </w:numPr>
      </w:pPr>
      <w:r>
        <w:t>$250 000 to $349 999</w:t>
      </w:r>
    </w:p>
    <w:p w:rsidR="007C6A5F" w:rsidRDefault="007C6A5F" w:rsidP="005A6F87">
      <w:pPr>
        <w:pStyle w:val="BodyText"/>
        <w:numPr>
          <w:ilvl w:val="0"/>
          <w:numId w:val="46"/>
        </w:numPr>
      </w:pPr>
      <w:r>
        <w:t>$350 000 to $449 999</w:t>
      </w:r>
    </w:p>
    <w:p w:rsidR="007C6A5F" w:rsidRDefault="007C6A5F" w:rsidP="005A6F87">
      <w:pPr>
        <w:pStyle w:val="BodyText"/>
        <w:numPr>
          <w:ilvl w:val="0"/>
          <w:numId w:val="46"/>
        </w:numPr>
      </w:pPr>
      <w:r>
        <w:t>$450 000 to $549 999</w:t>
      </w:r>
    </w:p>
    <w:p w:rsidR="007C6A5F" w:rsidRDefault="007C6A5F" w:rsidP="005A6F87">
      <w:pPr>
        <w:pStyle w:val="BodyText"/>
        <w:numPr>
          <w:ilvl w:val="0"/>
          <w:numId w:val="46"/>
        </w:numPr>
      </w:pPr>
      <w:r>
        <w:t>$550 000 to $649 999</w:t>
      </w:r>
    </w:p>
    <w:p w:rsidR="007C6A5F" w:rsidRDefault="007C6A5F" w:rsidP="005A6F87">
      <w:pPr>
        <w:pStyle w:val="BodyText"/>
        <w:numPr>
          <w:ilvl w:val="0"/>
          <w:numId w:val="46"/>
        </w:numPr>
      </w:pPr>
      <w:r>
        <w:t>$650 000 to $749 999</w:t>
      </w:r>
    </w:p>
    <w:p w:rsidR="007C6A5F" w:rsidRDefault="007C6A5F" w:rsidP="005A6F87">
      <w:pPr>
        <w:pStyle w:val="BodyText"/>
        <w:numPr>
          <w:ilvl w:val="0"/>
          <w:numId w:val="46"/>
        </w:numPr>
      </w:pPr>
      <w:r>
        <w:t>$750 000 to $949 999</w:t>
      </w:r>
    </w:p>
    <w:p w:rsidR="007C6A5F" w:rsidRDefault="007C6A5F" w:rsidP="005A6F87">
      <w:pPr>
        <w:pStyle w:val="BodyText"/>
        <w:numPr>
          <w:ilvl w:val="0"/>
          <w:numId w:val="46"/>
        </w:numPr>
      </w:pPr>
      <w:r>
        <w:t>$950 000 to $1 249 999</w:t>
      </w:r>
    </w:p>
    <w:p w:rsidR="007C6A5F" w:rsidRDefault="007C6A5F" w:rsidP="005A6F87">
      <w:pPr>
        <w:pStyle w:val="BodyText"/>
        <w:numPr>
          <w:ilvl w:val="0"/>
          <w:numId w:val="46"/>
        </w:numPr>
      </w:pPr>
      <w:r>
        <w:t>$1 250 000 to $1 549 999</w:t>
      </w:r>
    </w:p>
    <w:p w:rsidR="007C6A5F" w:rsidRDefault="007C6A5F" w:rsidP="005A6F87">
      <w:pPr>
        <w:pStyle w:val="BodyText"/>
        <w:numPr>
          <w:ilvl w:val="0"/>
          <w:numId w:val="46"/>
        </w:numPr>
      </w:pPr>
      <w:r>
        <w:t>$1 550 000 to $2 000 000</w:t>
      </w:r>
    </w:p>
    <w:p w:rsidR="007C6A5F" w:rsidRDefault="007C6A5F" w:rsidP="005A6F87">
      <w:pPr>
        <w:pStyle w:val="BodyText"/>
        <w:numPr>
          <w:ilvl w:val="0"/>
          <w:numId w:val="46"/>
        </w:numPr>
      </w:pPr>
      <w:r>
        <w:t>More than $2 000 000</w:t>
      </w:r>
    </w:p>
    <w:p w:rsidR="007C6A5F" w:rsidRDefault="007C6A5F" w:rsidP="007C6A5F">
      <w:pPr>
        <w:pStyle w:val="BodyText"/>
        <w:ind w:left="720"/>
        <w:rPr>
          <w:rStyle w:val="DraftingNote"/>
        </w:rPr>
      </w:pPr>
      <w:r>
        <w:rPr>
          <w:rStyle w:val="DraftingNote"/>
        </w:rPr>
        <w:t>IF Q</w:t>
      </w:r>
      <w:r>
        <w:rPr>
          <w:rStyle w:val="DraftingNote"/>
        </w:rPr>
        <w:fldChar w:fldCharType="begin"/>
      </w:r>
      <w:r>
        <w:rPr>
          <w:rStyle w:val="DraftingNote"/>
        </w:rPr>
        <w:instrText xml:space="preserve"> REF _Ref19200525 \r \h </w:instrText>
      </w:r>
      <w:r>
        <w:rPr>
          <w:rStyle w:val="DraftingNote"/>
        </w:rPr>
      </w:r>
      <w:r>
        <w:rPr>
          <w:rStyle w:val="DraftingNote"/>
        </w:rPr>
        <w:fldChar w:fldCharType="separate"/>
      </w:r>
      <w:r>
        <w:rPr>
          <w:rStyle w:val="DraftingNote"/>
        </w:rPr>
        <w:t>23</w:t>
      </w:r>
      <w:r>
        <w:rPr>
          <w:rStyle w:val="DraftingNote"/>
        </w:rPr>
        <w:fldChar w:fldCharType="end"/>
      </w:r>
      <w:r>
        <w:rPr>
          <w:rStyle w:val="DraftingNote"/>
        </w:rPr>
        <w:t xml:space="preserve"> = RENT, DON’T KNOW OR OTHER</w:t>
      </w:r>
    </w:p>
    <w:p w:rsidR="007C6A5F" w:rsidRDefault="007C6A5F" w:rsidP="005A6F87">
      <w:pPr>
        <w:pStyle w:val="BodyText"/>
        <w:numPr>
          <w:ilvl w:val="0"/>
          <w:numId w:val="29"/>
        </w:numPr>
      </w:pPr>
      <w:r>
        <w:t>Less than $50 per week</w:t>
      </w:r>
    </w:p>
    <w:p w:rsidR="007C6A5F" w:rsidRDefault="007C6A5F" w:rsidP="005A6F87">
      <w:pPr>
        <w:pStyle w:val="BodyText"/>
        <w:numPr>
          <w:ilvl w:val="0"/>
          <w:numId w:val="29"/>
        </w:numPr>
      </w:pPr>
      <w:r>
        <w:t>$50 to $149 per week</w:t>
      </w:r>
    </w:p>
    <w:p w:rsidR="007C6A5F" w:rsidRDefault="007C6A5F" w:rsidP="005A6F87">
      <w:pPr>
        <w:pStyle w:val="BodyText"/>
        <w:numPr>
          <w:ilvl w:val="0"/>
          <w:numId w:val="29"/>
        </w:numPr>
      </w:pPr>
      <w:r>
        <w:t>$150 to $249 per week</w:t>
      </w:r>
    </w:p>
    <w:p w:rsidR="007C6A5F" w:rsidRDefault="007C6A5F" w:rsidP="005A6F87">
      <w:pPr>
        <w:pStyle w:val="BodyText"/>
        <w:numPr>
          <w:ilvl w:val="0"/>
          <w:numId w:val="29"/>
        </w:numPr>
      </w:pPr>
      <w:r>
        <w:t>$250 to $349 per week</w:t>
      </w:r>
    </w:p>
    <w:p w:rsidR="007C6A5F" w:rsidRDefault="007C6A5F" w:rsidP="005A6F87">
      <w:pPr>
        <w:pStyle w:val="BodyText"/>
        <w:numPr>
          <w:ilvl w:val="0"/>
          <w:numId w:val="29"/>
        </w:numPr>
      </w:pPr>
      <w:r>
        <w:t>$350 to $449 per week</w:t>
      </w:r>
    </w:p>
    <w:p w:rsidR="007C6A5F" w:rsidRDefault="007C6A5F" w:rsidP="005A6F87">
      <w:pPr>
        <w:pStyle w:val="BodyText"/>
        <w:numPr>
          <w:ilvl w:val="0"/>
          <w:numId w:val="29"/>
        </w:numPr>
      </w:pPr>
      <w:r>
        <w:t>$450 to $549 per week</w:t>
      </w:r>
    </w:p>
    <w:p w:rsidR="007C6A5F" w:rsidRDefault="007C6A5F" w:rsidP="005A6F87">
      <w:pPr>
        <w:pStyle w:val="BodyText"/>
        <w:numPr>
          <w:ilvl w:val="0"/>
          <w:numId w:val="29"/>
        </w:numPr>
      </w:pPr>
      <w:r>
        <w:t>$550 to $649 per week</w:t>
      </w:r>
    </w:p>
    <w:p w:rsidR="007C6A5F" w:rsidRDefault="007C6A5F" w:rsidP="005A6F87">
      <w:pPr>
        <w:pStyle w:val="BodyText"/>
        <w:numPr>
          <w:ilvl w:val="0"/>
          <w:numId w:val="29"/>
        </w:numPr>
      </w:pPr>
      <w:r>
        <w:t>$650 to $749 per week</w:t>
      </w:r>
    </w:p>
    <w:p w:rsidR="007C6A5F" w:rsidRDefault="007C6A5F" w:rsidP="005A6F87">
      <w:pPr>
        <w:pStyle w:val="BodyText"/>
        <w:numPr>
          <w:ilvl w:val="0"/>
          <w:numId w:val="29"/>
        </w:numPr>
      </w:pPr>
      <w:r>
        <w:t>$750 to $949 per week</w:t>
      </w:r>
    </w:p>
    <w:p w:rsidR="007C6A5F" w:rsidRDefault="007C6A5F" w:rsidP="005A6F87">
      <w:pPr>
        <w:pStyle w:val="BodyText"/>
        <w:numPr>
          <w:ilvl w:val="0"/>
          <w:numId w:val="29"/>
        </w:numPr>
      </w:pPr>
      <w:r>
        <w:t>$950 to $1 450 per week</w:t>
      </w:r>
    </w:p>
    <w:p w:rsidR="007C6A5F" w:rsidRDefault="007C6A5F" w:rsidP="005A6F87">
      <w:pPr>
        <w:pStyle w:val="BodyText"/>
        <w:numPr>
          <w:ilvl w:val="0"/>
          <w:numId w:val="29"/>
        </w:numPr>
      </w:pPr>
      <w:r>
        <w:t>More than $1 450 per week</w:t>
      </w:r>
    </w:p>
    <w:p w:rsidR="007C6A5F" w:rsidRDefault="007C6A5F" w:rsidP="007C6A5F">
      <w:pPr>
        <w:pStyle w:val="BodyText"/>
      </w:pPr>
    </w:p>
    <w:p w:rsidR="007C6A5F" w:rsidRDefault="007C6A5F" w:rsidP="007C6A5F">
      <w:pPr>
        <w:spacing w:before="140"/>
        <w:rPr>
          <w:rFonts w:asciiTheme="minorHAnsi" w:eastAsia="Times New Roman" w:hAnsiTheme="minorHAnsi"/>
        </w:rPr>
      </w:pPr>
      <w:r>
        <w:br w:type="page"/>
      </w:r>
    </w:p>
    <w:p w:rsidR="007C6A5F" w:rsidRDefault="007C6A5F" w:rsidP="007C6A5F">
      <w:pPr>
        <w:pStyle w:val="BodyText"/>
      </w:pPr>
      <w:r>
        <w:lastRenderedPageBreak/>
        <w:t xml:space="preserve">We will now ask you six questions about home comparisons. In each of these questions you will be presented with two homes. We want to know which home you would be most likely to choose. </w:t>
      </w:r>
    </w:p>
    <w:p w:rsidR="007C6A5F" w:rsidRDefault="007C6A5F" w:rsidP="007C6A5F">
      <w:pPr>
        <w:pStyle w:val="BodyText"/>
      </w:pPr>
      <w:r w:rsidRPr="00AF7715">
        <w:t>When answering these questions, please try to imagine you are at the point of choosing your next home to live in</w:t>
      </w:r>
      <w:r>
        <w:t>.</w:t>
      </w:r>
    </w:p>
    <w:p w:rsidR="007C6A5F" w:rsidRDefault="007C6A5F" w:rsidP="007C6A5F">
      <w:pPr>
        <w:pStyle w:val="BodyText"/>
      </w:pPr>
    </w:p>
    <w:p w:rsidR="007C6A5F" w:rsidRDefault="007C6A5F" w:rsidP="007C6A5F">
      <w:pPr>
        <w:spacing w:before="140"/>
        <w:rPr>
          <w:rFonts w:asciiTheme="minorHAnsi" w:eastAsia="Times New Roman" w:hAnsiTheme="minorHAnsi"/>
        </w:rPr>
      </w:pPr>
      <w:r>
        <w:br w:type="page"/>
      </w:r>
    </w:p>
    <w:p w:rsidR="007C6A5F" w:rsidRDefault="007C6A5F" w:rsidP="007C6A5F">
      <w:pPr>
        <w:pStyle w:val="BodyText"/>
      </w:pPr>
      <w:r>
        <w:lastRenderedPageBreak/>
        <w:t xml:space="preserve">The homes will be described by several features. Your answers will help us understand which features are most important to you. </w:t>
      </w:r>
      <w:r w:rsidRPr="00256518">
        <w:t>Extra information about each feature can be viewed by hovering your cursor over that feature</w:t>
      </w:r>
      <w:r>
        <w:t>. Where features are not described in the question, please assume they are the same across the home options.</w:t>
      </w:r>
    </w:p>
    <w:p w:rsidR="007C6A5F" w:rsidRDefault="007C6A5F" w:rsidP="007C6A5F">
      <w:pPr>
        <w:pStyle w:val="BodyText"/>
      </w:pPr>
      <w:r>
        <w:t>These six questions are important. They contain a lot of information, so please take your time and consider your answers carefully.</w:t>
      </w:r>
    </w:p>
    <w:p w:rsidR="007C6A5F" w:rsidRDefault="007C6A5F" w:rsidP="007C6A5F">
      <w:pPr>
        <w:pStyle w:val="BodyText"/>
      </w:pPr>
    </w:p>
    <w:p w:rsidR="007C6A5F" w:rsidRDefault="007C6A5F" w:rsidP="007C6A5F">
      <w:pPr>
        <w:pStyle w:val="BodyText"/>
      </w:pPr>
    </w:p>
    <w:p w:rsidR="007C6A5F" w:rsidRDefault="007C6A5F" w:rsidP="007C6A5F">
      <w:pPr>
        <w:spacing w:before="140"/>
        <w:rPr>
          <w:rStyle w:val="DraftingNote"/>
          <w:rFonts w:eastAsia="Times New Roman"/>
        </w:rPr>
      </w:pPr>
      <w:r>
        <w:rPr>
          <w:rStyle w:val="DraftingNote"/>
        </w:rPr>
        <w:br w:type="page"/>
      </w:r>
    </w:p>
    <w:p w:rsidR="007C6A5F" w:rsidRDefault="007C6A5F" w:rsidP="007C6A5F">
      <w:pPr>
        <w:pStyle w:val="BodyText"/>
        <w:rPr>
          <w:rStyle w:val="DraftingNote"/>
        </w:rPr>
      </w:pPr>
      <w:r>
        <w:rPr>
          <w:rStyle w:val="DraftingNote"/>
        </w:rPr>
        <w:lastRenderedPageBreak/>
        <w:t>SEE EXPERIMENTAL DESIGN FOR CHOICE QUESTIONS</w:t>
      </w:r>
    </w:p>
    <w:p w:rsidR="007C6A5F" w:rsidRDefault="007C6A5F" w:rsidP="007C6A5F">
      <w:pPr>
        <w:pStyle w:val="BodyText"/>
      </w:pPr>
    </w:p>
    <w:p w:rsidR="007C6A5F" w:rsidRDefault="007C6A5F" w:rsidP="005A6F87">
      <w:pPr>
        <w:pStyle w:val="BodyText"/>
        <w:numPr>
          <w:ilvl w:val="0"/>
          <w:numId w:val="19"/>
        </w:numPr>
      </w:pPr>
      <w:r>
        <w:t>If these were my only options, I would choose:</w:t>
      </w:r>
    </w:p>
    <w:p w:rsidR="007C6A5F" w:rsidRDefault="007C6A5F" w:rsidP="005A6F87">
      <w:pPr>
        <w:pStyle w:val="BodyText"/>
        <w:numPr>
          <w:ilvl w:val="0"/>
          <w:numId w:val="19"/>
        </w:numPr>
      </w:pPr>
      <w:r>
        <w:t>If these were my only options, I would choose:</w:t>
      </w:r>
    </w:p>
    <w:p w:rsidR="007C6A5F" w:rsidRDefault="007C6A5F" w:rsidP="005A6F87">
      <w:pPr>
        <w:pStyle w:val="BodyText"/>
        <w:numPr>
          <w:ilvl w:val="0"/>
          <w:numId w:val="19"/>
        </w:numPr>
      </w:pPr>
      <w:r>
        <w:t>If these were my only options, I would choose:</w:t>
      </w:r>
    </w:p>
    <w:p w:rsidR="007C6A5F" w:rsidRDefault="007C6A5F" w:rsidP="005A6F87">
      <w:pPr>
        <w:pStyle w:val="BodyText"/>
        <w:numPr>
          <w:ilvl w:val="0"/>
          <w:numId w:val="19"/>
        </w:numPr>
      </w:pPr>
      <w:r>
        <w:t>If these were my only options, I would choose:</w:t>
      </w:r>
    </w:p>
    <w:p w:rsidR="007C6A5F" w:rsidRDefault="007C6A5F" w:rsidP="005A6F87">
      <w:pPr>
        <w:pStyle w:val="BodyText"/>
        <w:numPr>
          <w:ilvl w:val="0"/>
          <w:numId w:val="19"/>
        </w:numPr>
      </w:pPr>
      <w:r>
        <w:t>If these were my only options, I would choose:</w:t>
      </w:r>
    </w:p>
    <w:p w:rsidR="007C6A5F" w:rsidRDefault="007C6A5F" w:rsidP="005A6F87">
      <w:pPr>
        <w:pStyle w:val="BodyText"/>
        <w:numPr>
          <w:ilvl w:val="0"/>
          <w:numId w:val="19"/>
        </w:numPr>
      </w:pPr>
      <w:r>
        <w:t>If these were my only options, I would choose:</w:t>
      </w:r>
    </w:p>
    <w:p w:rsidR="007C6A5F" w:rsidRDefault="007C6A5F" w:rsidP="007C6A5F">
      <w:pPr>
        <w:pStyle w:val="BodyText"/>
      </w:pPr>
    </w:p>
    <w:p w:rsidR="007C6A5F" w:rsidRDefault="007C6A5F" w:rsidP="007C6A5F">
      <w:pPr>
        <w:pStyle w:val="BodyText"/>
        <w:rPr>
          <w:rStyle w:val="DraftingNote"/>
        </w:rPr>
      </w:pPr>
      <w:r>
        <w:rPr>
          <w:rStyle w:val="DraftingNote"/>
        </w:rPr>
        <w:t>HOVER TEXT FOR ATTRIBUTE LABELS:</w:t>
      </w:r>
    </w:p>
    <w:tbl>
      <w:tblPr>
        <w:tblStyle w:val="TableGridLight"/>
        <w:tblW w:w="8080" w:type="dxa"/>
        <w:tblLook w:val="04A0" w:firstRow="1" w:lastRow="0" w:firstColumn="1" w:lastColumn="0" w:noHBand="0" w:noVBand="1"/>
        <w:tblCaption w:val="Instruction table"/>
        <w:tblDescription w:val="Instruction for hovering text for attribute labels"/>
      </w:tblPr>
      <w:tblGrid>
        <w:gridCol w:w="2848"/>
        <w:gridCol w:w="5232"/>
      </w:tblGrid>
      <w:tr w:rsidR="007C6A5F" w:rsidTr="00E44C81">
        <w:trPr>
          <w:trHeight w:val="270"/>
          <w:tblHeader/>
        </w:trPr>
        <w:tc>
          <w:tcPr>
            <w:tcW w:w="2848" w:type="dxa"/>
            <w:noWrap/>
            <w:hideMark/>
          </w:tcPr>
          <w:p w:rsidR="007C6A5F" w:rsidRDefault="007C6A5F" w:rsidP="00C36DA4">
            <w:pPr>
              <w:rPr>
                <w:rFonts w:ascii="Franklin Gothic Book" w:hAnsi="Franklin Gothic Book"/>
                <w:b/>
                <w:bCs/>
                <w:color w:val="000000"/>
                <w:sz w:val="16"/>
                <w:szCs w:val="16"/>
              </w:rPr>
            </w:pPr>
            <w:r>
              <w:rPr>
                <w:rFonts w:ascii="Franklin Gothic Book" w:hAnsi="Franklin Gothic Book"/>
                <w:b/>
                <w:bCs/>
                <w:color w:val="000000"/>
                <w:sz w:val="16"/>
                <w:szCs w:val="16"/>
              </w:rPr>
              <w:t>Row</w:t>
            </w:r>
          </w:p>
        </w:tc>
        <w:tc>
          <w:tcPr>
            <w:tcW w:w="5232" w:type="dxa"/>
            <w:noWrap/>
            <w:hideMark/>
          </w:tcPr>
          <w:p w:rsidR="007C6A5F" w:rsidRDefault="007C6A5F" w:rsidP="00C36DA4">
            <w:pPr>
              <w:rPr>
                <w:rFonts w:ascii="Franklin Gothic Book" w:hAnsi="Franklin Gothic Book"/>
                <w:b/>
                <w:bCs/>
                <w:color w:val="000000"/>
                <w:sz w:val="16"/>
                <w:szCs w:val="16"/>
              </w:rPr>
            </w:pPr>
            <w:r>
              <w:rPr>
                <w:rFonts w:ascii="Franklin Gothic Book" w:hAnsi="Franklin Gothic Book"/>
                <w:b/>
                <w:bCs/>
                <w:color w:val="000000"/>
                <w:sz w:val="16"/>
                <w:szCs w:val="16"/>
              </w:rPr>
              <w:t>Hover text</w:t>
            </w:r>
          </w:p>
        </w:tc>
      </w:tr>
      <w:tr w:rsidR="007C6A5F" w:rsidTr="00B5160B">
        <w:trPr>
          <w:trHeight w:val="270"/>
        </w:trPr>
        <w:tc>
          <w:tcPr>
            <w:tcW w:w="2848" w:type="dxa"/>
            <w:noWrap/>
            <w:hideMark/>
          </w:tcPr>
          <w:p w:rsidR="007C6A5F" w:rsidRDefault="007C6A5F" w:rsidP="00C36DA4">
            <w:pPr>
              <w:rPr>
                <w:rFonts w:ascii="Franklin Gothic Book" w:hAnsi="Franklin Gothic Book"/>
                <w:color w:val="000000"/>
                <w:sz w:val="16"/>
                <w:szCs w:val="16"/>
              </w:rPr>
            </w:pPr>
            <w:r>
              <w:rPr>
                <w:rFonts w:ascii="Franklin Gothic Book" w:hAnsi="Franklin Gothic Book"/>
                <w:color w:val="000000"/>
                <w:sz w:val="16"/>
                <w:szCs w:val="16"/>
              </w:rPr>
              <w:t>Getting in and out</w:t>
            </w:r>
          </w:p>
        </w:tc>
        <w:tc>
          <w:tcPr>
            <w:tcW w:w="5232" w:type="dxa"/>
            <w:noWrap/>
            <w:hideMark/>
          </w:tcPr>
          <w:p w:rsidR="007C6A5F" w:rsidRDefault="007C6A5F" w:rsidP="00C36DA4">
            <w:pPr>
              <w:rPr>
                <w:rFonts w:ascii="Franklin Gothic Book" w:hAnsi="Franklin Gothic Book"/>
                <w:color w:val="000000"/>
                <w:sz w:val="16"/>
                <w:szCs w:val="16"/>
              </w:rPr>
            </w:pPr>
            <w:r>
              <w:rPr>
                <w:rFonts w:ascii="Franklin Gothic Book" w:hAnsi="Franklin Gothic Book"/>
                <w:color w:val="000000"/>
                <w:sz w:val="16"/>
                <w:szCs w:val="16"/>
              </w:rPr>
              <w:t>People with a mobility limitation may have difficulty getting in and out of a home with steps between the street/parking and an entrance. A kerb ramp may assist where there is a single step only.</w:t>
            </w:r>
          </w:p>
        </w:tc>
      </w:tr>
      <w:tr w:rsidR="007C6A5F" w:rsidTr="00B5160B">
        <w:trPr>
          <w:trHeight w:val="270"/>
        </w:trPr>
        <w:tc>
          <w:tcPr>
            <w:tcW w:w="2848" w:type="dxa"/>
            <w:noWrap/>
            <w:hideMark/>
          </w:tcPr>
          <w:p w:rsidR="007C6A5F" w:rsidRDefault="007C6A5F" w:rsidP="00C36DA4">
            <w:pPr>
              <w:rPr>
                <w:rFonts w:ascii="Franklin Gothic Book" w:hAnsi="Franklin Gothic Book"/>
                <w:color w:val="000000"/>
                <w:sz w:val="16"/>
                <w:szCs w:val="16"/>
              </w:rPr>
            </w:pPr>
            <w:r>
              <w:rPr>
                <w:rFonts w:ascii="Franklin Gothic Book" w:hAnsi="Franklin Gothic Book"/>
                <w:color w:val="000000"/>
                <w:sz w:val="16"/>
                <w:szCs w:val="16"/>
              </w:rPr>
              <w:t>Moving around indoors</w:t>
            </w:r>
          </w:p>
        </w:tc>
        <w:tc>
          <w:tcPr>
            <w:tcW w:w="5232" w:type="dxa"/>
            <w:noWrap/>
            <w:hideMark/>
          </w:tcPr>
          <w:p w:rsidR="007C6A5F" w:rsidRDefault="007C6A5F" w:rsidP="00C36DA4">
            <w:pPr>
              <w:rPr>
                <w:rFonts w:ascii="Franklin Gothic Book" w:hAnsi="Franklin Gothic Book"/>
                <w:color w:val="000000"/>
                <w:sz w:val="16"/>
                <w:szCs w:val="16"/>
              </w:rPr>
            </w:pPr>
            <w:r>
              <w:rPr>
                <w:rFonts w:ascii="Franklin Gothic Book" w:hAnsi="Franklin Gothic Book"/>
                <w:color w:val="000000"/>
                <w:sz w:val="16"/>
                <w:szCs w:val="16"/>
              </w:rPr>
              <w:t>People using larger mobility aids, including wheelchairs, may have difficulty using narrower doorways/corridors or narrower spaces in the bathroom, kitchen and laundry</w:t>
            </w:r>
          </w:p>
        </w:tc>
      </w:tr>
      <w:tr w:rsidR="007C6A5F" w:rsidTr="00B5160B">
        <w:trPr>
          <w:trHeight w:val="540"/>
        </w:trPr>
        <w:tc>
          <w:tcPr>
            <w:tcW w:w="2848" w:type="dxa"/>
            <w:noWrap/>
            <w:hideMark/>
          </w:tcPr>
          <w:p w:rsidR="007C6A5F" w:rsidRDefault="007C6A5F" w:rsidP="00C36DA4">
            <w:pPr>
              <w:rPr>
                <w:rFonts w:ascii="Franklin Gothic Book" w:hAnsi="Franklin Gothic Book"/>
                <w:color w:val="000000"/>
                <w:sz w:val="16"/>
                <w:szCs w:val="16"/>
              </w:rPr>
            </w:pPr>
            <w:r>
              <w:rPr>
                <w:rFonts w:ascii="Franklin Gothic Book" w:hAnsi="Franklin Gothic Book"/>
                <w:color w:val="000000"/>
                <w:sz w:val="16"/>
                <w:szCs w:val="16"/>
              </w:rPr>
              <w:t>Living with limited mobility on same level as an entrance</w:t>
            </w:r>
          </w:p>
        </w:tc>
        <w:tc>
          <w:tcPr>
            <w:tcW w:w="5232" w:type="dxa"/>
            <w:noWrap/>
            <w:hideMark/>
          </w:tcPr>
          <w:p w:rsidR="007C6A5F" w:rsidRDefault="007C6A5F" w:rsidP="00C36DA4">
            <w:pPr>
              <w:rPr>
                <w:rFonts w:ascii="Franklin Gothic Book" w:hAnsi="Franklin Gothic Book"/>
                <w:color w:val="000000"/>
                <w:sz w:val="16"/>
                <w:szCs w:val="16"/>
              </w:rPr>
            </w:pPr>
            <w:r>
              <w:rPr>
                <w:rFonts w:ascii="Franklin Gothic Book" w:hAnsi="Franklin Gothic Book"/>
                <w:color w:val="000000"/>
                <w:sz w:val="16"/>
                <w:szCs w:val="16"/>
              </w:rPr>
              <w:t>People with a mobility limitation may have difficulty getting to amenities that are not located on the same level as an entrance.</w:t>
            </w:r>
          </w:p>
        </w:tc>
      </w:tr>
      <w:tr w:rsidR="007C6A5F" w:rsidTr="00B5160B">
        <w:trPr>
          <w:trHeight w:val="540"/>
        </w:trPr>
        <w:tc>
          <w:tcPr>
            <w:tcW w:w="2848" w:type="dxa"/>
            <w:noWrap/>
            <w:hideMark/>
          </w:tcPr>
          <w:p w:rsidR="007C6A5F" w:rsidRDefault="007C6A5F" w:rsidP="00C36DA4">
            <w:pPr>
              <w:rPr>
                <w:rFonts w:ascii="Franklin Gothic Book" w:hAnsi="Franklin Gothic Book"/>
                <w:color w:val="000000"/>
                <w:sz w:val="16"/>
                <w:szCs w:val="16"/>
              </w:rPr>
            </w:pPr>
            <w:r>
              <w:rPr>
                <w:rFonts w:ascii="Franklin Gothic Book" w:hAnsi="Franklin Gothic Book"/>
                <w:color w:val="000000"/>
                <w:sz w:val="16"/>
                <w:szCs w:val="16"/>
              </w:rPr>
              <w:t>Modification that would be needed to make home suitable for ageing in place</w:t>
            </w:r>
          </w:p>
        </w:tc>
        <w:tc>
          <w:tcPr>
            <w:tcW w:w="5232" w:type="dxa"/>
            <w:noWrap/>
            <w:hideMark/>
          </w:tcPr>
          <w:p w:rsidR="007C6A5F" w:rsidRDefault="007C6A5F" w:rsidP="00C36DA4">
            <w:pPr>
              <w:rPr>
                <w:rFonts w:ascii="Franklin Gothic Book" w:hAnsi="Franklin Gothic Book"/>
                <w:color w:val="000000"/>
                <w:sz w:val="16"/>
                <w:szCs w:val="16"/>
              </w:rPr>
            </w:pPr>
            <w:r>
              <w:rPr>
                <w:rFonts w:ascii="Franklin Gothic Book" w:hAnsi="Franklin Gothic Book"/>
                <w:color w:val="000000"/>
                <w:sz w:val="16"/>
                <w:szCs w:val="16"/>
              </w:rPr>
              <w:t>This is a guide to the amount of work that would be needed to make the home suitable for a person using a wheelchair</w:t>
            </w:r>
          </w:p>
        </w:tc>
      </w:tr>
      <w:tr w:rsidR="007C6A5F" w:rsidTr="00B5160B">
        <w:trPr>
          <w:trHeight w:val="540"/>
        </w:trPr>
        <w:tc>
          <w:tcPr>
            <w:tcW w:w="2848" w:type="dxa"/>
            <w:noWrap/>
            <w:hideMark/>
          </w:tcPr>
          <w:p w:rsidR="007C6A5F" w:rsidRDefault="007C6A5F" w:rsidP="00C36DA4">
            <w:pPr>
              <w:rPr>
                <w:rFonts w:ascii="Franklin Gothic Book" w:hAnsi="Franklin Gothic Book"/>
                <w:color w:val="000000"/>
                <w:sz w:val="16"/>
                <w:szCs w:val="16"/>
              </w:rPr>
            </w:pPr>
            <w:r>
              <w:rPr>
                <w:rFonts w:ascii="Franklin Gothic Book" w:hAnsi="Franklin Gothic Book"/>
                <w:color w:val="000000"/>
                <w:sz w:val="16"/>
                <w:szCs w:val="16"/>
              </w:rPr>
              <w:t>Total size of home compared to similar homes</w:t>
            </w:r>
          </w:p>
        </w:tc>
        <w:tc>
          <w:tcPr>
            <w:tcW w:w="5232" w:type="dxa"/>
            <w:noWrap/>
            <w:hideMark/>
          </w:tcPr>
          <w:p w:rsidR="007C6A5F" w:rsidRDefault="007C6A5F" w:rsidP="00C36DA4">
            <w:pPr>
              <w:rPr>
                <w:rFonts w:ascii="Franklin Gothic Book" w:hAnsi="Franklin Gothic Book"/>
                <w:color w:val="000000"/>
                <w:sz w:val="16"/>
                <w:szCs w:val="16"/>
              </w:rPr>
            </w:pPr>
            <w:r>
              <w:rPr>
                <w:rFonts w:ascii="Franklin Gothic Book" w:hAnsi="Franklin Gothic Book"/>
                <w:color w:val="000000"/>
                <w:sz w:val="16"/>
                <w:szCs w:val="16"/>
              </w:rPr>
              <w:t>This refers to the size of the floor space of the home and the land on which it's built</w:t>
            </w:r>
          </w:p>
        </w:tc>
      </w:tr>
      <w:tr w:rsidR="007C6A5F" w:rsidTr="00B5160B">
        <w:trPr>
          <w:trHeight w:val="270"/>
        </w:trPr>
        <w:tc>
          <w:tcPr>
            <w:tcW w:w="2848" w:type="dxa"/>
            <w:noWrap/>
            <w:hideMark/>
          </w:tcPr>
          <w:p w:rsidR="007C6A5F" w:rsidRDefault="007C6A5F" w:rsidP="00C36DA4">
            <w:pPr>
              <w:rPr>
                <w:rFonts w:ascii="Franklin Gothic Book" w:hAnsi="Franklin Gothic Book"/>
                <w:color w:val="000000"/>
                <w:sz w:val="16"/>
                <w:szCs w:val="16"/>
              </w:rPr>
            </w:pPr>
            <w:r>
              <w:rPr>
                <w:rFonts w:ascii="Franklin Gothic Book" w:hAnsi="Franklin Gothic Book"/>
                <w:color w:val="000000"/>
                <w:sz w:val="16"/>
                <w:szCs w:val="16"/>
              </w:rPr>
              <w:t>Amount of space used for:</w:t>
            </w:r>
          </w:p>
        </w:tc>
        <w:tc>
          <w:tcPr>
            <w:tcW w:w="5232" w:type="dxa"/>
            <w:noWrap/>
            <w:hideMark/>
          </w:tcPr>
          <w:p w:rsidR="007C6A5F" w:rsidRDefault="007C6A5F" w:rsidP="00C36DA4">
            <w:pPr>
              <w:rPr>
                <w:rFonts w:ascii="Franklin Gothic Book" w:hAnsi="Franklin Gothic Book"/>
                <w:color w:val="000000"/>
                <w:sz w:val="16"/>
                <w:szCs w:val="16"/>
              </w:rPr>
            </w:pPr>
            <w:r>
              <w:rPr>
                <w:rFonts w:ascii="Franklin Gothic Book" w:hAnsi="Franklin Gothic Book"/>
                <w:color w:val="000000"/>
                <w:sz w:val="16"/>
                <w:szCs w:val="16"/>
              </w:rPr>
              <w:t>A typical three-bedroom home uses roughly 40% of total space for corridors, bathroom, kitchen and laundry and 60% on living areas and bedrooms</w:t>
            </w:r>
          </w:p>
        </w:tc>
      </w:tr>
    </w:tbl>
    <w:p w:rsidR="007C6A5F" w:rsidRDefault="007C6A5F" w:rsidP="007C6A5F">
      <w:pPr>
        <w:pStyle w:val="BodyText"/>
        <w:rPr>
          <w:rStyle w:val="DraftingNote"/>
          <w:b w:val="0"/>
          <w:color w:val="auto"/>
          <w:u w:val="none"/>
        </w:rPr>
      </w:pPr>
    </w:p>
    <w:p w:rsidR="007C6A5F" w:rsidRPr="00256518" w:rsidRDefault="007C6A5F" w:rsidP="007C6A5F">
      <w:pPr>
        <w:pStyle w:val="BodyText"/>
        <w:rPr>
          <w:rStyle w:val="DraftingNote"/>
          <w:b w:val="0"/>
          <w:color w:val="auto"/>
          <w:u w:val="none"/>
        </w:rPr>
      </w:pPr>
    </w:p>
    <w:p w:rsidR="007C6A5F" w:rsidRDefault="007C6A5F" w:rsidP="007C6A5F">
      <w:pPr>
        <w:spacing w:before="140"/>
        <w:rPr>
          <w:rFonts w:asciiTheme="minorHAnsi" w:eastAsia="Times New Roman" w:hAnsiTheme="minorHAnsi"/>
        </w:rPr>
      </w:pPr>
      <w:r>
        <w:br w:type="page"/>
      </w:r>
    </w:p>
    <w:p w:rsidR="007C6A5F" w:rsidRDefault="007C6A5F" w:rsidP="007C6A5F">
      <w:pPr>
        <w:pStyle w:val="BodyText"/>
        <w:rPr>
          <w:rStyle w:val="DraftingNote"/>
        </w:rPr>
      </w:pPr>
      <w:r>
        <w:rPr>
          <w:rStyle w:val="DraftingNote"/>
        </w:rPr>
        <w:lastRenderedPageBreak/>
        <w:t>ALLOCATE INTO TWO GROUPS BY LEAST FILL – ‘STANDARD B’ AND ‘STANDARD A’</w:t>
      </w:r>
    </w:p>
    <w:p w:rsidR="007C6A5F" w:rsidRDefault="007C6A5F" w:rsidP="007C6A5F">
      <w:pPr>
        <w:pStyle w:val="BodyText"/>
        <w:rPr>
          <w:rStyle w:val="DraftingNote"/>
        </w:rPr>
      </w:pPr>
      <w:r>
        <w:rPr>
          <w:rStyle w:val="DraftingNote"/>
        </w:rPr>
        <w:t>‘STANDARD B’ ONLY:</w:t>
      </w:r>
    </w:p>
    <w:p w:rsidR="007C6A5F" w:rsidRDefault="007C6A5F" w:rsidP="007C6A5F">
      <w:pPr>
        <w:pStyle w:val="BodyText"/>
      </w:pPr>
      <w:r>
        <w:t>There is an accessibility standard, which has the following features:</w:t>
      </w:r>
    </w:p>
    <w:p w:rsidR="007C6A5F" w:rsidRDefault="007C6A5F" w:rsidP="007C6A5F">
      <w:pPr>
        <w:pStyle w:val="BodyText"/>
      </w:pPr>
    </w:p>
    <w:tbl>
      <w:tblPr>
        <w:tblStyle w:val="TableGridLight"/>
        <w:tblW w:w="6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scription table"/>
        <w:tblDescription w:val="Description of features for Standard B only"/>
      </w:tblPr>
      <w:tblGrid>
        <w:gridCol w:w="3685"/>
        <w:gridCol w:w="266"/>
        <w:gridCol w:w="2529"/>
      </w:tblGrid>
      <w:tr w:rsidR="007C6A5F" w:rsidRPr="00E81687" w:rsidTr="00E44C81">
        <w:trPr>
          <w:trHeight w:val="270"/>
          <w:tblHeader/>
        </w:trPr>
        <w:tc>
          <w:tcPr>
            <w:tcW w:w="3791" w:type="dxa"/>
            <w:shd w:val="clear" w:color="auto" w:fill="E9E8E5" w:themeFill="background2"/>
            <w:hideMark/>
          </w:tcPr>
          <w:p w:rsidR="007C6A5F" w:rsidRPr="00E81687" w:rsidRDefault="007C6A5F" w:rsidP="00C36DA4">
            <w:pPr>
              <w:rPr>
                <w:rFonts w:ascii="Franklin Gothic Book" w:eastAsia="Times New Roman" w:hAnsi="Franklin Gothic Book" w:cs="Calibri"/>
                <w:color w:val="000000"/>
                <w:sz w:val="20"/>
                <w:szCs w:val="20"/>
              </w:rPr>
            </w:pPr>
            <w:r w:rsidRPr="00E81687">
              <w:rPr>
                <w:rFonts w:ascii="Franklin Gothic Book" w:eastAsia="Times New Roman" w:hAnsi="Franklin Gothic Book" w:cs="Calibri"/>
                <w:color w:val="000000"/>
                <w:sz w:val="20"/>
                <w:szCs w:val="20"/>
              </w:rPr>
              <w:t>Getting in and out</w:t>
            </w:r>
          </w:p>
        </w:tc>
        <w:tc>
          <w:tcPr>
            <w:tcW w:w="96" w:type="dxa"/>
            <w:noWrap/>
            <w:hideMark/>
          </w:tcPr>
          <w:p w:rsidR="007C6A5F" w:rsidRPr="00E81687" w:rsidRDefault="007C6A5F" w:rsidP="00C36DA4">
            <w:pPr>
              <w:rPr>
                <w:rFonts w:ascii="Franklin Gothic Book" w:eastAsia="Times New Roman" w:hAnsi="Franklin Gothic Book" w:cs="Calibri"/>
                <w:color w:val="000000"/>
                <w:sz w:val="20"/>
                <w:szCs w:val="20"/>
              </w:rPr>
            </w:pPr>
            <w:r w:rsidRPr="00E81687">
              <w:rPr>
                <w:rFonts w:ascii="Franklin Gothic Book" w:eastAsia="Times New Roman" w:hAnsi="Franklin Gothic Book" w:cs="Calibri"/>
                <w:color w:val="000000"/>
                <w:sz w:val="20"/>
                <w:szCs w:val="20"/>
              </w:rPr>
              <w:t> </w:t>
            </w:r>
          </w:p>
        </w:tc>
        <w:tc>
          <w:tcPr>
            <w:tcW w:w="2593" w:type="dxa"/>
            <w:shd w:val="clear" w:color="auto" w:fill="E9E8E5" w:themeFill="background2"/>
            <w:hideMark/>
          </w:tcPr>
          <w:p w:rsidR="007C6A5F" w:rsidRPr="00E81687" w:rsidRDefault="007C6A5F" w:rsidP="00C36DA4">
            <w:pPr>
              <w:jc w:val="center"/>
              <w:rPr>
                <w:rFonts w:ascii="Franklin Gothic Book" w:eastAsia="Times New Roman" w:hAnsi="Franklin Gothic Book" w:cs="Calibri"/>
                <w:sz w:val="20"/>
                <w:szCs w:val="20"/>
              </w:rPr>
            </w:pPr>
            <w:r w:rsidRPr="00E81687">
              <w:rPr>
                <w:rFonts w:ascii="Franklin Gothic Book" w:eastAsia="Times New Roman" w:hAnsi="Franklin Gothic Book" w:cs="Calibri"/>
                <w:sz w:val="20"/>
                <w:szCs w:val="20"/>
              </w:rPr>
              <w:t>Step-free</w:t>
            </w:r>
          </w:p>
        </w:tc>
      </w:tr>
      <w:tr w:rsidR="007C6A5F" w:rsidRPr="00E81687" w:rsidTr="00B5160B">
        <w:trPr>
          <w:trHeight w:val="60"/>
        </w:trPr>
        <w:tc>
          <w:tcPr>
            <w:tcW w:w="3791" w:type="dxa"/>
            <w:hideMark/>
          </w:tcPr>
          <w:p w:rsidR="007C6A5F" w:rsidRPr="00E81687" w:rsidRDefault="007C6A5F" w:rsidP="00C36DA4">
            <w:pPr>
              <w:rPr>
                <w:rFonts w:ascii="Franklin Gothic Book" w:eastAsia="Times New Roman" w:hAnsi="Franklin Gothic Book" w:cs="Calibri"/>
                <w:color w:val="000000"/>
                <w:sz w:val="20"/>
                <w:szCs w:val="20"/>
              </w:rPr>
            </w:pPr>
            <w:r w:rsidRPr="00E81687">
              <w:rPr>
                <w:rFonts w:ascii="Franklin Gothic Book" w:eastAsia="Times New Roman" w:hAnsi="Franklin Gothic Book" w:cs="Calibri"/>
                <w:color w:val="000000"/>
                <w:sz w:val="20"/>
                <w:szCs w:val="20"/>
              </w:rPr>
              <w:t> </w:t>
            </w:r>
          </w:p>
        </w:tc>
        <w:tc>
          <w:tcPr>
            <w:tcW w:w="96" w:type="dxa"/>
            <w:noWrap/>
            <w:hideMark/>
          </w:tcPr>
          <w:p w:rsidR="007C6A5F" w:rsidRPr="00E81687" w:rsidRDefault="007C6A5F" w:rsidP="00C36DA4">
            <w:pPr>
              <w:rPr>
                <w:rFonts w:ascii="Franklin Gothic Book" w:eastAsia="Times New Roman" w:hAnsi="Franklin Gothic Book" w:cs="Calibri"/>
                <w:color w:val="000000"/>
                <w:sz w:val="20"/>
                <w:szCs w:val="20"/>
              </w:rPr>
            </w:pPr>
            <w:r w:rsidRPr="00E81687">
              <w:rPr>
                <w:rFonts w:ascii="Franklin Gothic Book" w:eastAsia="Times New Roman" w:hAnsi="Franklin Gothic Book" w:cs="Calibri"/>
                <w:color w:val="000000"/>
                <w:sz w:val="20"/>
                <w:szCs w:val="20"/>
              </w:rPr>
              <w:t> </w:t>
            </w:r>
          </w:p>
        </w:tc>
        <w:tc>
          <w:tcPr>
            <w:tcW w:w="2593" w:type="dxa"/>
            <w:hideMark/>
          </w:tcPr>
          <w:p w:rsidR="007C6A5F" w:rsidRPr="00E81687" w:rsidRDefault="007C6A5F" w:rsidP="00C36DA4">
            <w:pPr>
              <w:jc w:val="center"/>
              <w:rPr>
                <w:rFonts w:ascii="Franklin Gothic Book" w:eastAsia="Times New Roman" w:hAnsi="Franklin Gothic Book" w:cs="Calibri"/>
                <w:sz w:val="20"/>
                <w:szCs w:val="20"/>
              </w:rPr>
            </w:pPr>
            <w:r w:rsidRPr="00E81687">
              <w:rPr>
                <w:rFonts w:ascii="Franklin Gothic Book" w:eastAsia="Times New Roman" w:hAnsi="Franklin Gothic Book" w:cs="Calibri"/>
                <w:sz w:val="20"/>
                <w:szCs w:val="20"/>
              </w:rPr>
              <w:t> </w:t>
            </w:r>
          </w:p>
        </w:tc>
      </w:tr>
      <w:tr w:rsidR="007C6A5F" w:rsidRPr="00E81687" w:rsidTr="00B5160B">
        <w:trPr>
          <w:trHeight w:val="270"/>
        </w:trPr>
        <w:tc>
          <w:tcPr>
            <w:tcW w:w="3791" w:type="dxa"/>
            <w:shd w:val="clear" w:color="auto" w:fill="E9E8E5" w:themeFill="background2"/>
            <w:hideMark/>
          </w:tcPr>
          <w:p w:rsidR="007C6A5F" w:rsidRPr="00E81687" w:rsidRDefault="007C6A5F" w:rsidP="00C36DA4">
            <w:pPr>
              <w:rPr>
                <w:rFonts w:ascii="Franklin Gothic Book" w:eastAsia="Times New Roman" w:hAnsi="Franklin Gothic Book" w:cs="Calibri"/>
                <w:color w:val="000000"/>
                <w:sz w:val="20"/>
                <w:szCs w:val="20"/>
              </w:rPr>
            </w:pPr>
            <w:r w:rsidRPr="00E81687">
              <w:rPr>
                <w:rFonts w:ascii="Franklin Gothic Book" w:eastAsia="Times New Roman" w:hAnsi="Franklin Gothic Book" w:cs="Calibri"/>
                <w:color w:val="000000"/>
                <w:sz w:val="20"/>
                <w:szCs w:val="20"/>
              </w:rPr>
              <w:t>Moving around indoors</w:t>
            </w:r>
          </w:p>
        </w:tc>
        <w:tc>
          <w:tcPr>
            <w:tcW w:w="96" w:type="dxa"/>
            <w:noWrap/>
            <w:hideMark/>
          </w:tcPr>
          <w:p w:rsidR="007C6A5F" w:rsidRPr="00E81687" w:rsidRDefault="007C6A5F" w:rsidP="00C36DA4">
            <w:pPr>
              <w:rPr>
                <w:rFonts w:ascii="Franklin Gothic Book" w:eastAsia="Times New Roman" w:hAnsi="Franklin Gothic Book" w:cs="Calibri"/>
                <w:color w:val="000000"/>
                <w:sz w:val="20"/>
                <w:szCs w:val="20"/>
              </w:rPr>
            </w:pPr>
            <w:r w:rsidRPr="00E81687">
              <w:rPr>
                <w:rFonts w:ascii="Franklin Gothic Book" w:eastAsia="Times New Roman" w:hAnsi="Franklin Gothic Book" w:cs="Calibri"/>
                <w:color w:val="000000"/>
                <w:sz w:val="20"/>
                <w:szCs w:val="20"/>
              </w:rPr>
              <w:t> </w:t>
            </w:r>
          </w:p>
        </w:tc>
        <w:tc>
          <w:tcPr>
            <w:tcW w:w="2593" w:type="dxa"/>
            <w:shd w:val="clear" w:color="auto" w:fill="E9E8E5" w:themeFill="background2"/>
            <w:hideMark/>
          </w:tcPr>
          <w:p w:rsidR="007C6A5F" w:rsidRPr="00E81687" w:rsidRDefault="007C6A5F" w:rsidP="00C36DA4">
            <w:pPr>
              <w:jc w:val="center"/>
              <w:rPr>
                <w:rFonts w:ascii="Franklin Gothic Book" w:eastAsia="Times New Roman" w:hAnsi="Franklin Gothic Book" w:cs="Calibri"/>
                <w:sz w:val="20"/>
                <w:szCs w:val="20"/>
              </w:rPr>
            </w:pPr>
            <w:r w:rsidRPr="00E81687">
              <w:rPr>
                <w:rFonts w:ascii="Franklin Gothic Book" w:eastAsia="Times New Roman" w:hAnsi="Franklin Gothic Book" w:cs="Calibri"/>
                <w:sz w:val="20"/>
                <w:szCs w:val="20"/>
              </w:rPr>
              <w:t>Wide spaces</w:t>
            </w:r>
          </w:p>
        </w:tc>
      </w:tr>
      <w:tr w:rsidR="007C6A5F" w:rsidRPr="00E81687" w:rsidTr="00B5160B">
        <w:trPr>
          <w:trHeight w:val="50"/>
        </w:trPr>
        <w:tc>
          <w:tcPr>
            <w:tcW w:w="3791" w:type="dxa"/>
            <w:shd w:val="clear" w:color="auto" w:fill="E9E8E5" w:themeFill="background2"/>
            <w:hideMark/>
          </w:tcPr>
          <w:p w:rsidR="007C6A5F" w:rsidRPr="00E81687" w:rsidRDefault="007C6A5F" w:rsidP="00C36DA4">
            <w:pPr>
              <w:rPr>
                <w:rFonts w:ascii="Franklin Gothic Book" w:eastAsia="Times New Roman" w:hAnsi="Franklin Gothic Book" w:cs="Calibri"/>
                <w:color w:val="000000"/>
                <w:sz w:val="18"/>
                <w:szCs w:val="18"/>
              </w:rPr>
            </w:pPr>
            <w:r w:rsidRPr="00E81687">
              <w:rPr>
                <w:rFonts w:ascii="Franklin Gothic Book" w:eastAsia="Times New Roman" w:hAnsi="Franklin Gothic Book" w:cs="Calibri"/>
                <w:color w:val="000000"/>
                <w:sz w:val="18"/>
                <w:szCs w:val="18"/>
              </w:rPr>
              <w:t> </w:t>
            </w:r>
          </w:p>
        </w:tc>
        <w:tc>
          <w:tcPr>
            <w:tcW w:w="96" w:type="dxa"/>
            <w:noWrap/>
            <w:hideMark/>
          </w:tcPr>
          <w:p w:rsidR="007C6A5F" w:rsidRPr="00E81687" w:rsidRDefault="007C6A5F" w:rsidP="00C36DA4">
            <w:pPr>
              <w:rPr>
                <w:rFonts w:ascii="Franklin Gothic Book" w:eastAsia="Times New Roman" w:hAnsi="Franklin Gothic Book" w:cs="Calibri"/>
                <w:color w:val="000000"/>
                <w:sz w:val="18"/>
                <w:szCs w:val="18"/>
              </w:rPr>
            </w:pPr>
            <w:r w:rsidRPr="00E81687">
              <w:rPr>
                <w:rFonts w:ascii="Franklin Gothic Book" w:eastAsia="Times New Roman" w:hAnsi="Franklin Gothic Book" w:cs="Calibri"/>
                <w:color w:val="000000"/>
                <w:sz w:val="18"/>
                <w:szCs w:val="18"/>
              </w:rPr>
              <w:t> </w:t>
            </w:r>
          </w:p>
        </w:tc>
        <w:tc>
          <w:tcPr>
            <w:tcW w:w="2593" w:type="dxa"/>
            <w:shd w:val="clear" w:color="auto" w:fill="E9E8E5" w:themeFill="background2"/>
            <w:hideMark/>
          </w:tcPr>
          <w:p w:rsidR="007C6A5F" w:rsidRPr="00E81687" w:rsidRDefault="007C6A5F" w:rsidP="00C36DA4">
            <w:pPr>
              <w:jc w:val="center"/>
              <w:rPr>
                <w:rFonts w:ascii="Franklin Gothic Book" w:eastAsia="Times New Roman" w:hAnsi="Franklin Gothic Book" w:cs="Calibri"/>
                <w:sz w:val="18"/>
                <w:szCs w:val="18"/>
              </w:rPr>
            </w:pPr>
            <w:r w:rsidRPr="00E81687">
              <w:rPr>
                <w:rFonts w:ascii="Franklin Gothic Book" w:eastAsia="Times New Roman" w:hAnsi="Franklin Gothic Book" w:cs="Calibri"/>
                <w:sz w:val="18"/>
                <w:szCs w:val="18"/>
              </w:rPr>
              <w:t> </w:t>
            </w:r>
          </w:p>
        </w:tc>
      </w:tr>
      <w:tr w:rsidR="007C6A5F" w:rsidRPr="00E81687" w:rsidTr="00B5160B">
        <w:trPr>
          <w:trHeight w:val="440"/>
        </w:trPr>
        <w:tc>
          <w:tcPr>
            <w:tcW w:w="3791" w:type="dxa"/>
            <w:shd w:val="clear" w:color="auto" w:fill="E9E8E5" w:themeFill="background2"/>
            <w:hideMark/>
          </w:tcPr>
          <w:p w:rsidR="007C6A5F" w:rsidRPr="00E81687" w:rsidRDefault="007C6A5F" w:rsidP="00C36DA4">
            <w:pPr>
              <w:rPr>
                <w:rFonts w:ascii="Franklin Gothic Book" w:eastAsia="Times New Roman" w:hAnsi="Franklin Gothic Book" w:cs="Calibri"/>
                <w:color w:val="000000"/>
                <w:sz w:val="16"/>
                <w:szCs w:val="16"/>
              </w:rPr>
            </w:pPr>
            <w:r w:rsidRPr="00E81687">
              <w:rPr>
                <w:rFonts w:ascii="Franklin Gothic Book" w:eastAsia="Times New Roman" w:hAnsi="Franklin Gothic Book" w:cs="Calibri"/>
                <w:color w:val="000000"/>
                <w:sz w:val="16"/>
                <w:szCs w:val="16"/>
              </w:rPr>
              <w:t> </w:t>
            </w:r>
          </w:p>
        </w:tc>
        <w:tc>
          <w:tcPr>
            <w:tcW w:w="96" w:type="dxa"/>
            <w:noWrap/>
            <w:hideMark/>
          </w:tcPr>
          <w:p w:rsidR="007C6A5F" w:rsidRPr="00E81687" w:rsidRDefault="007C6A5F" w:rsidP="00C36DA4">
            <w:pPr>
              <w:rPr>
                <w:rFonts w:ascii="Franklin Gothic Book" w:eastAsia="Times New Roman" w:hAnsi="Franklin Gothic Book" w:cs="Calibri"/>
                <w:color w:val="000000"/>
                <w:sz w:val="16"/>
                <w:szCs w:val="16"/>
              </w:rPr>
            </w:pPr>
            <w:r w:rsidRPr="00E81687">
              <w:rPr>
                <w:rFonts w:ascii="Franklin Gothic Book" w:eastAsia="Times New Roman" w:hAnsi="Franklin Gothic Book" w:cs="Calibri"/>
                <w:color w:val="000000"/>
                <w:sz w:val="16"/>
                <w:szCs w:val="16"/>
              </w:rPr>
              <w:t> </w:t>
            </w:r>
          </w:p>
        </w:tc>
        <w:tc>
          <w:tcPr>
            <w:tcW w:w="2593" w:type="dxa"/>
            <w:shd w:val="clear" w:color="auto" w:fill="E9E8E5" w:themeFill="background2"/>
            <w:hideMark/>
          </w:tcPr>
          <w:p w:rsidR="007C6A5F" w:rsidRPr="00E81687" w:rsidRDefault="007C6A5F" w:rsidP="00C36DA4">
            <w:pPr>
              <w:jc w:val="center"/>
              <w:rPr>
                <w:rFonts w:ascii="Franklin Gothic Book" w:eastAsia="Times New Roman" w:hAnsi="Franklin Gothic Book" w:cs="Calibri"/>
                <w:sz w:val="16"/>
                <w:szCs w:val="16"/>
              </w:rPr>
            </w:pPr>
            <w:r w:rsidRPr="00E81687">
              <w:rPr>
                <w:rFonts w:ascii="Franklin Gothic Book" w:eastAsia="Times New Roman" w:hAnsi="Franklin Gothic Book" w:cs="Calibri"/>
                <w:sz w:val="16"/>
                <w:szCs w:val="16"/>
              </w:rPr>
              <w:t xml:space="preserve">Suitable for </w:t>
            </w:r>
            <w:r>
              <w:rPr>
                <w:rFonts w:ascii="Franklin Gothic Book" w:eastAsia="Times New Roman" w:hAnsi="Franklin Gothic Book" w:cs="Calibri"/>
                <w:sz w:val="16"/>
                <w:szCs w:val="16"/>
              </w:rPr>
              <w:t>most</w:t>
            </w:r>
            <w:r w:rsidRPr="00E81687">
              <w:rPr>
                <w:rFonts w:ascii="Franklin Gothic Book" w:eastAsia="Times New Roman" w:hAnsi="Franklin Gothic Book" w:cs="Calibri"/>
                <w:sz w:val="16"/>
                <w:szCs w:val="16"/>
              </w:rPr>
              <w:t xml:space="preserve"> mobility aids, but not wheelchairs</w:t>
            </w:r>
          </w:p>
        </w:tc>
      </w:tr>
      <w:tr w:rsidR="007C6A5F" w:rsidRPr="00E81687" w:rsidTr="00B5160B">
        <w:trPr>
          <w:trHeight w:val="60"/>
        </w:trPr>
        <w:tc>
          <w:tcPr>
            <w:tcW w:w="3791" w:type="dxa"/>
            <w:hideMark/>
          </w:tcPr>
          <w:p w:rsidR="007C6A5F" w:rsidRPr="00E81687" w:rsidRDefault="007C6A5F" w:rsidP="00C36DA4">
            <w:pPr>
              <w:rPr>
                <w:rFonts w:ascii="Franklin Gothic Book" w:eastAsia="Times New Roman" w:hAnsi="Franklin Gothic Book" w:cs="Calibri"/>
                <w:color w:val="000000"/>
                <w:sz w:val="16"/>
                <w:szCs w:val="16"/>
              </w:rPr>
            </w:pPr>
            <w:r w:rsidRPr="00E81687">
              <w:rPr>
                <w:rFonts w:ascii="Franklin Gothic Book" w:eastAsia="Times New Roman" w:hAnsi="Franklin Gothic Book" w:cs="Calibri"/>
                <w:color w:val="000000"/>
                <w:sz w:val="16"/>
                <w:szCs w:val="16"/>
              </w:rPr>
              <w:t> </w:t>
            </w:r>
          </w:p>
        </w:tc>
        <w:tc>
          <w:tcPr>
            <w:tcW w:w="96" w:type="dxa"/>
            <w:noWrap/>
            <w:hideMark/>
          </w:tcPr>
          <w:p w:rsidR="007C6A5F" w:rsidRPr="00E81687" w:rsidRDefault="007C6A5F" w:rsidP="00C36DA4">
            <w:pPr>
              <w:rPr>
                <w:rFonts w:ascii="Franklin Gothic Book" w:eastAsia="Times New Roman" w:hAnsi="Franklin Gothic Book" w:cs="Calibri"/>
                <w:color w:val="000000"/>
                <w:sz w:val="16"/>
                <w:szCs w:val="16"/>
              </w:rPr>
            </w:pPr>
            <w:r w:rsidRPr="00E81687">
              <w:rPr>
                <w:rFonts w:ascii="Franklin Gothic Book" w:eastAsia="Times New Roman" w:hAnsi="Franklin Gothic Book" w:cs="Calibri"/>
                <w:color w:val="000000"/>
                <w:sz w:val="16"/>
                <w:szCs w:val="16"/>
              </w:rPr>
              <w:t> </w:t>
            </w:r>
          </w:p>
        </w:tc>
        <w:tc>
          <w:tcPr>
            <w:tcW w:w="2593" w:type="dxa"/>
            <w:hideMark/>
          </w:tcPr>
          <w:p w:rsidR="007C6A5F" w:rsidRPr="00E81687" w:rsidRDefault="007C6A5F" w:rsidP="00C36DA4">
            <w:pPr>
              <w:jc w:val="center"/>
              <w:rPr>
                <w:rFonts w:ascii="Franklin Gothic Book" w:eastAsia="Times New Roman" w:hAnsi="Franklin Gothic Book" w:cs="Calibri"/>
                <w:sz w:val="16"/>
                <w:szCs w:val="16"/>
              </w:rPr>
            </w:pPr>
            <w:r w:rsidRPr="00E81687">
              <w:rPr>
                <w:rFonts w:ascii="Franklin Gothic Book" w:eastAsia="Times New Roman" w:hAnsi="Franklin Gothic Book" w:cs="Calibri"/>
                <w:sz w:val="16"/>
                <w:szCs w:val="16"/>
              </w:rPr>
              <w:t> </w:t>
            </w:r>
          </w:p>
        </w:tc>
      </w:tr>
      <w:tr w:rsidR="007C6A5F" w:rsidRPr="00E81687" w:rsidTr="00B5160B">
        <w:trPr>
          <w:trHeight w:val="540"/>
        </w:trPr>
        <w:tc>
          <w:tcPr>
            <w:tcW w:w="3791" w:type="dxa"/>
            <w:shd w:val="clear" w:color="auto" w:fill="E9E8E5" w:themeFill="background2"/>
            <w:hideMark/>
          </w:tcPr>
          <w:p w:rsidR="007C6A5F" w:rsidRPr="00E81687" w:rsidRDefault="007C6A5F" w:rsidP="00C36DA4">
            <w:pPr>
              <w:rPr>
                <w:rFonts w:ascii="Franklin Gothic Book" w:eastAsia="Times New Roman" w:hAnsi="Franklin Gothic Book" w:cs="Calibri"/>
                <w:color w:val="000000"/>
                <w:sz w:val="20"/>
                <w:szCs w:val="20"/>
              </w:rPr>
            </w:pPr>
            <w:r w:rsidRPr="006E12CF">
              <w:rPr>
                <w:rFonts w:ascii="Franklin Gothic Book" w:eastAsia="Times New Roman" w:hAnsi="Franklin Gothic Book" w:cs="Calibri"/>
                <w:color w:val="000000"/>
                <w:sz w:val="20"/>
                <w:szCs w:val="20"/>
              </w:rPr>
              <w:t xml:space="preserve">Living with </w:t>
            </w:r>
            <w:r>
              <w:rPr>
                <w:rFonts w:ascii="Franklin Gothic Book" w:eastAsia="Times New Roman" w:hAnsi="Franklin Gothic Book" w:cs="Calibri"/>
                <w:color w:val="000000"/>
                <w:sz w:val="20"/>
                <w:szCs w:val="20"/>
              </w:rPr>
              <w:t>limited mobility</w:t>
            </w:r>
            <w:r w:rsidRPr="006E12CF">
              <w:rPr>
                <w:rFonts w:ascii="Franklin Gothic Book" w:eastAsia="Times New Roman" w:hAnsi="Franklin Gothic Book" w:cs="Calibri"/>
                <w:color w:val="000000"/>
                <w:sz w:val="20"/>
                <w:szCs w:val="20"/>
              </w:rPr>
              <w:t xml:space="preserve"> on same level as </w:t>
            </w:r>
            <w:r>
              <w:rPr>
                <w:rFonts w:ascii="Franklin Gothic Book" w:eastAsia="Times New Roman" w:hAnsi="Franklin Gothic Book" w:cs="Calibri"/>
                <w:color w:val="000000"/>
                <w:sz w:val="20"/>
                <w:szCs w:val="20"/>
              </w:rPr>
              <w:t>an entrance</w:t>
            </w:r>
          </w:p>
        </w:tc>
        <w:tc>
          <w:tcPr>
            <w:tcW w:w="96" w:type="dxa"/>
            <w:noWrap/>
            <w:hideMark/>
          </w:tcPr>
          <w:p w:rsidR="007C6A5F" w:rsidRPr="00E81687" w:rsidRDefault="007C6A5F" w:rsidP="00C36DA4">
            <w:pPr>
              <w:rPr>
                <w:rFonts w:ascii="Franklin Gothic Book" w:eastAsia="Times New Roman" w:hAnsi="Franklin Gothic Book" w:cs="Calibri"/>
                <w:color w:val="000000"/>
                <w:sz w:val="20"/>
                <w:szCs w:val="20"/>
              </w:rPr>
            </w:pPr>
            <w:r w:rsidRPr="00E81687">
              <w:rPr>
                <w:rFonts w:ascii="Franklin Gothic Book" w:eastAsia="Times New Roman" w:hAnsi="Franklin Gothic Book" w:cs="Calibri"/>
                <w:color w:val="000000"/>
                <w:sz w:val="20"/>
                <w:szCs w:val="20"/>
              </w:rPr>
              <w:t> </w:t>
            </w:r>
          </w:p>
        </w:tc>
        <w:tc>
          <w:tcPr>
            <w:tcW w:w="2593" w:type="dxa"/>
            <w:shd w:val="clear" w:color="auto" w:fill="E9E8E5" w:themeFill="background2"/>
            <w:hideMark/>
          </w:tcPr>
          <w:p w:rsidR="007C6A5F" w:rsidRPr="00E81687" w:rsidRDefault="007C6A5F" w:rsidP="00C36DA4">
            <w:pPr>
              <w:jc w:val="center"/>
              <w:rPr>
                <w:rFonts w:ascii="Franklin Gothic Book" w:eastAsia="Times New Roman" w:hAnsi="Franklin Gothic Book" w:cs="Calibri"/>
                <w:sz w:val="20"/>
                <w:szCs w:val="20"/>
              </w:rPr>
            </w:pPr>
            <w:r w:rsidRPr="00E81687">
              <w:rPr>
                <w:rFonts w:ascii="Franklin Gothic Book" w:eastAsia="Times New Roman" w:hAnsi="Franklin Gothic Book" w:cs="Calibri"/>
                <w:sz w:val="20"/>
                <w:szCs w:val="20"/>
              </w:rPr>
              <w:t>Suitable for short visits</w:t>
            </w:r>
          </w:p>
        </w:tc>
      </w:tr>
      <w:tr w:rsidR="007C6A5F" w:rsidRPr="00E81687" w:rsidTr="00B5160B">
        <w:trPr>
          <w:trHeight w:val="50"/>
        </w:trPr>
        <w:tc>
          <w:tcPr>
            <w:tcW w:w="3791" w:type="dxa"/>
            <w:shd w:val="clear" w:color="auto" w:fill="E9E8E5" w:themeFill="background2"/>
            <w:hideMark/>
          </w:tcPr>
          <w:p w:rsidR="007C6A5F" w:rsidRPr="00E81687" w:rsidRDefault="007C6A5F" w:rsidP="00C36DA4">
            <w:pPr>
              <w:rPr>
                <w:rFonts w:ascii="Franklin Gothic Book" w:eastAsia="Times New Roman" w:hAnsi="Franklin Gothic Book" w:cs="Calibri"/>
                <w:color w:val="000000"/>
                <w:sz w:val="16"/>
                <w:szCs w:val="16"/>
              </w:rPr>
            </w:pPr>
            <w:r w:rsidRPr="00E81687">
              <w:rPr>
                <w:rFonts w:ascii="Franklin Gothic Book" w:eastAsia="Times New Roman" w:hAnsi="Franklin Gothic Book" w:cs="Calibri"/>
                <w:color w:val="000000"/>
                <w:sz w:val="16"/>
                <w:szCs w:val="16"/>
              </w:rPr>
              <w:t> </w:t>
            </w:r>
          </w:p>
        </w:tc>
        <w:tc>
          <w:tcPr>
            <w:tcW w:w="96" w:type="dxa"/>
            <w:noWrap/>
            <w:hideMark/>
          </w:tcPr>
          <w:p w:rsidR="007C6A5F" w:rsidRPr="00E81687" w:rsidRDefault="007C6A5F" w:rsidP="00C36DA4">
            <w:pPr>
              <w:rPr>
                <w:rFonts w:ascii="Franklin Gothic Book" w:eastAsia="Times New Roman" w:hAnsi="Franklin Gothic Book" w:cs="Calibri"/>
                <w:color w:val="000000"/>
                <w:sz w:val="16"/>
                <w:szCs w:val="16"/>
              </w:rPr>
            </w:pPr>
            <w:r w:rsidRPr="00E81687">
              <w:rPr>
                <w:rFonts w:ascii="Franklin Gothic Book" w:eastAsia="Times New Roman" w:hAnsi="Franklin Gothic Book" w:cs="Calibri"/>
                <w:color w:val="000000"/>
                <w:sz w:val="16"/>
                <w:szCs w:val="16"/>
              </w:rPr>
              <w:t> </w:t>
            </w:r>
          </w:p>
        </w:tc>
        <w:tc>
          <w:tcPr>
            <w:tcW w:w="2593" w:type="dxa"/>
            <w:shd w:val="clear" w:color="auto" w:fill="E9E8E5" w:themeFill="background2"/>
            <w:hideMark/>
          </w:tcPr>
          <w:p w:rsidR="007C6A5F" w:rsidRPr="00E81687" w:rsidRDefault="007C6A5F" w:rsidP="00C36DA4">
            <w:pPr>
              <w:jc w:val="center"/>
              <w:rPr>
                <w:rFonts w:ascii="Franklin Gothic Book" w:eastAsia="Times New Roman" w:hAnsi="Franklin Gothic Book" w:cs="Calibri"/>
                <w:sz w:val="16"/>
                <w:szCs w:val="16"/>
              </w:rPr>
            </w:pPr>
            <w:r w:rsidRPr="00E81687">
              <w:rPr>
                <w:rFonts w:ascii="Franklin Gothic Book" w:eastAsia="Times New Roman" w:hAnsi="Franklin Gothic Book" w:cs="Calibri"/>
                <w:sz w:val="16"/>
                <w:szCs w:val="16"/>
              </w:rPr>
              <w:t> </w:t>
            </w:r>
          </w:p>
        </w:tc>
      </w:tr>
      <w:tr w:rsidR="007C6A5F" w:rsidRPr="00E81687" w:rsidTr="00B5160B">
        <w:trPr>
          <w:trHeight w:val="220"/>
        </w:trPr>
        <w:tc>
          <w:tcPr>
            <w:tcW w:w="3791" w:type="dxa"/>
            <w:shd w:val="clear" w:color="auto" w:fill="E9E8E5" w:themeFill="background2"/>
            <w:hideMark/>
          </w:tcPr>
          <w:p w:rsidR="007C6A5F" w:rsidRPr="00E81687" w:rsidRDefault="007C6A5F" w:rsidP="00C36DA4">
            <w:pPr>
              <w:rPr>
                <w:rFonts w:ascii="Franklin Gothic Book" w:eastAsia="Times New Roman" w:hAnsi="Franklin Gothic Book" w:cs="Calibri"/>
                <w:color w:val="000000"/>
                <w:sz w:val="16"/>
                <w:szCs w:val="16"/>
              </w:rPr>
            </w:pPr>
            <w:r w:rsidRPr="00E81687">
              <w:rPr>
                <w:rFonts w:ascii="Franklin Gothic Book" w:eastAsia="Times New Roman" w:hAnsi="Franklin Gothic Book" w:cs="Calibri"/>
                <w:color w:val="000000"/>
                <w:sz w:val="16"/>
                <w:szCs w:val="16"/>
              </w:rPr>
              <w:t> </w:t>
            </w:r>
          </w:p>
        </w:tc>
        <w:tc>
          <w:tcPr>
            <w:tcW w:w="96" w:type="dxa"/>
            <w:noWrap/>
            <w:hideMark/>
          </w:tcPr>
          <w:p w:rsidR="007C6A5F" w:rsidRPr="00E81687" w:rsidRDefault="007C6A5F" w:rsidP="00C36DA4">
            <w:pPr>
              <w:rPr>
                <w:rFonts w:ascii="Franklin Gothic Book" w:eastAsia="Times New Roman" w:hAnsi="Franklin Gothic Book" w:cs="Calibri"/>
                <w:color w:val="000000"/>
                <w:sz w:val="16"/>
                <w:szCs w:val="16"/>
              </w:rPr>
            </w:pPr>
            <w:r w:rsidRPr="00E81687">
              <w:rPr>
                <w:rFonts w:ascii="Franklin Gothic Book" w:eastAsia="Times New Roman" w:hAnsi="Franklin Gothic Book" w:cs="Calibri"/>
                <w:color w:val="000000"/>
                <w:sz w:val="16"/>
                <w:szCs w:val="16"/>
              </w:rPr>
              <w:t> </w:t>
            </w:r>
          </w:p>
        </w:tc>
        <w:tc>
          <w:tcPr>
            <w:tcW w:w="2593" w:type="dxa"/>
            <w:shd w:val="clear" w:color="auto" w:fill="E9E8E5" w:themeFill="background2"/>
            <w:hideMark/>
          </w:tcPr>
          <w:p w:rsidR="007C6A5F" w:rsidRPr="00E81687" w:rsidRDefault="007C6A5F" w:rsidP="00C36DA4">
            <w:pPr>
              <w:jc w:val="center"/>
              <w:rPr>
                <w:rFonts w:ascii="Franklin Gothic Book" w:eastAsia="Times New Roman" w:hAnsi="Franklin Gothic Book" w:cs="Calibri"/>
                <w:sz w:val="16"/>
                <w:szCs w:val="16"/>
              </w:rPr>
            </w:pPr>
            <w:r w:rsidRPr="00E81687">
              <w:rPr>
                <w:rFonts w:ascii="Franklin Gothic Book" w:eastAsia="Times New Roman" w:hAnsi="Franklin Gothic Book" w:cs="Calibri"/>
                <w:sz w:val="16"/>
                <w:szCs w:val="16"/>
              </w:rPr>
              <w:t>Toilet on entry level</w:t>
            </w:r>
          </w:p>
        </w:tc>
      </w:tr>
      <w:tr w:rsidR="007C6A5F" w:rsidRPr="00E81687" w:rsidTr="00B5160B">
        <w:trPr>
          <w:trHeight w:val="60"/>
        </w:trPr>
        <w:tc>
          <w:tcPr>
            <w:tcW w:w="3791" w:type="dxa"/>
            <w:hideMark/>
          </w:tcPr>
          <w:p w:rsidR="007C6A5F" w:rsidRPr="00E81687" w:rsidRDefault="007C6A5F" w:rsidP="00C36DA4">
            <w:pPr>
              <w:rPr>
                <w:rFonts w:ascii="Franklin Gothic Book" w:eastAsia="Times New Roman" w:hAnsi="Franklin Gothic Book" w:cs="Calibri"/>
                <w:color w:val="000000"/>
                <w:sz w:val="16"/>
                <w:szCs w:val="16"/>
              </w:rPr>
            </w:pPr>
            <w:r w:rsidRPr="00E81687">
              <w:rPr>
                <w:rFonts w:ascii="Franklin Gothic Book" w:eastAsia="Times New Roman" w:hAnsi="Franklin Gothic Book" w:cs="Calibri"/>
                <w:color w:val="000000"/>
                <w:sz w:val="16"/>
                <w:szCs w:val="16"/>
              </w:rPr>
              <w:t> </w:t>
            </w:r>
          </w:p>
        </w:tc>
        <w:tc>
          <w:tcPr>
            <w:tcW w:w="96" w:type="dxa"/>
            <w:noWrap/>
            <w:hideMark/>
          </w:tcPr>
          <w:p w:rsidR="007C6A5F" w:rsidRPr="00E81687" w:rsidRDefault="007C6A5F" w:rsidP="00C36DA4">
            <w:pPr>
              <w:rPr>
                <w:rFonts w:ascii="Franklin Gothic Book" w:eastAsia="Times New Roman" w:hAnsi="Franklin Gothic Book" w:cs="Calibri"/>
                <w:color w:val="000000"/>
                <w:sz w:val="16"/>
                <w:szCs w:val="16"/>
              </w:rPr>
            </w:pPr>
            <w:r w:rsidRPr="00E81687">
              <w:rPr>
                <w:rFonts w:ascii="Franklin Gothic Book" w:eastAsia="Times New Roman" w:hAnsi="Franklin Gothic Book" w:cs="Calibri"/>
                <w:color w:val="000000"/>
                <w:sz w:val="16"/>
                <w:szCs w:val="16"/>
              </w:rPr>
              <w:t> </w:t>
            </w:r>
          </w:p>
        </w:tc>
        <w:tc>
          <w:tcPr>
            <w:tcW w:w="2593" w:type="dxa"/>
            <w:hideMark/>
          </w:tcPr>
          <w:p w:rsidR="007C6A5F" w:rsidRPr="00E81687" w:rsidRDefault="007C6A5F" w:rsidP="00C36DA4">
            <w:pPr>
              <w:jc w:val="center"/>
              <w:rPr>
                <w:rFonts w:ascii="Franklin Gothic Book" w:eastAsia="Times New Roman" w:hAnsi="Franklin Gothic Book" w:cs="Calibri"/>
                <w:sz w:val="16"/>
                <w:szCs w:val="16"/>
              </w:rPr>
            </w:pPr>
            <w:r w:rsidRPr="00E81687">
              <w:rPr>
                <w:rFonts w:ascii="Franklin Gothic Book" w:eastAsia="Times New Roman" w:hAnsi="Franklin Gothic Book" w:cs="Calibri"/>
                <w:sz w:val="16"/>
                <w:szCs w:val="16"/>
              </w:rPr>
              <w:t> </w:t>
            </w:r>
          </w:p>
        </w:tc>
      </w:tr>
      <w:tr w:rsidR="007C6A5F" w:rsidRPr="00E81687" w:rsidTr="00B5160B">
        <w:trPr>
          <w:trHeight w:val="540"/>
        </w:trPr>
        <w:tc>
          <w:tcPr>
            <w:tcW w:w="3791" w:type="dxa"/>
            <w:shd w:val="clear" w:color="auto" w:fill="E9E8E5" w:themeFill="background2"/>
            <w:hideMark/>
          </w:tcPr>
          <w:p w:rsidR="007C6A5F" w:rsidRPr="00E81687" w:rsidRDefault="007C6A5F" w:rsidP="00C36DA4">
            <w:pPr>
              <w:rPr>
                <w:rFonts w:ascii="Franklin Gothic Book" w:eastAsia="Times New Roman" w:hAnsi="Franklin Gothic Book" w:cs="Calibri"/>
                <w:color w:val="000000"/>
                <w:sz w:val="20"/>
                <w:szCs w:val="20"/>
              </w:rPr>
            </w:pPr>
            <w:r w:rsidRPr="00E81687">
              <w:rPr>
                <w:rFonts w:ascii="Franklin Gothic Book" w:eastAsia="Times New Roman" w:hAnsi="Franklin Gothic Book" w:cs="Calibri"/>
                <w:color w:val="000000"/>
                <w:sz w:val="20"/>
                <w:szCs w:val="20"/>
              </w:rPr>
              <w:t>Modification that would be needed to make home suitable for ageing in place</w:t>
            </w:r>
          </w:p>
        </w:tc>
        <w:tc>
          <w:tcPr>
            <w:tcW w:w="96" w:type="dxa"/>
            <w:shd w:val="clear" w:color="auto" w:fill="auto"/>
            <w:noWrap/>
            <w:hideMark/>
          </w:tcPr>
          <w:p w:rsidR="007C6A5F" w:rsidRPr="00E81687" w:rsidRDefault="007C6A5F" w:rsidP="00C36DA4">
            <w:pPr>
              <w:rPr>
                <w:rFonts w:ascii="Franklin Gothic Book" w:eastAsia="Times New Roman" w:hAnsi="Franklin Gothic Book" w:cs="Calibri"/>
                <w:color w:val="000000"/>
                <w:sz w:val="20"/>
                <w:szCs w:val="20"/>
              </w:rPr>
            </w:pPr>
            <w:r w:rsidRPr="00E81687">
              <w:rPr>
                <w:rFonts w:ascii="Franklin Gothic Book" w:eastAsia="Times New Roman" w:hAnsi="Franklin Gothic Book" w:cs="Calibri"/>
                <w:color w:val="000000"/>
                <w:sz w:val="20"/>
                <w:szCs w:val="20"/>
              </w:rPr>
              <w:t> </w:t>
            </w:r>
          </w:p>
        </w:tc>
        <w:tc>
          <w:tcPr>
            <w:tcW w:w="2593" w:type="dxa"/>
            <w:shd w:val="clear" w:color="auto" w:fill="E9E8E5" w:themeFill="background2"/>
            <w:hideMark/>
          </w:tcPr>
          <w:p w:rsidR="007C6A5F" w:rsidRPr="00E81687" w:rsidRDefault="007C6A5F" w:rsidP="00C36DA4">
            <w:pPr>
              <w:jc w:val="center"/>
              <w:rPr>
                <w:rFonts w:ascii="Franklin Gothic Book" w:eastAsia="Times New Roman" w:hAnsi="Franklin Gothic Book" w:cs="Calibri"/>
                <w:sz w:val="20"/>
                <w:szCs w:val="20"/>
              </w:rPr>
            </w:pPr>
            <w:r>
              <w:rPr>
                <w:rFonts w:ascii="Franklin Gothic Book" w:eastAsia="Times New Roman" w:hAnsi="Franklin Gothic Book" w:cs="Calibri"/>
                <w:sz w:val="20"/>
                <w:szCs w:val="20"/>
              </w:rPr>
              <w:t>May be s</w:t>
            </w:r>
            <w:r w:rsidRPr="00E81687">
              <w:rPr>
                <w:rFonts w:ascii="Franklin Gothic Book" w:eastAsia="Times New Roman" w:hAnsi="Franklin Gothic Book" w:cs="Calibri"/>
                <w:sz w:val="20"/>
                <w:szCs w:val="20"/>
              </w:rPr>
              <w:t>ignificant</w:t>
            </w:r>
          </w:p>
        </w:tc>
      </w:tr>
    </w:tbl>
    <w:p w:rsidR="007C6A5F" w:rsidRDefault="007C6A5F" w:rsidP="007C6A5F">
      <w:pPr>
        <w:pStyle w:val="BodyText"/>
      </w:pPr>
    </w:p>
    <w:p w:rsidR="007C6A5F" w:rsidRDefault="007C6A5F" w:rsidP="007C6A5F">
      <w:pPr>
        <w:pStyle w:val="BodyText"/>
        <w:rPr>
          <w:rStyle w:val="DraftingNote"/>
        </w:rPr>
      </w:pPr>
      <w:r>
        <w:rPr>
          <w:rStyle w:val="DraftingNote"/>
        </w:rPr>
        <w:t>‘STANDARD A’ ONLY:</w:t>
      </w:r>
    </w:p>
    <w:p w:rsidR="007C6A5F" w:rsidRDefault="007C6A5F" w:rsidP="007C6A5F">
      <w:pPr>
        <w:pStyle w:val="BodyText"/>
      </w:pPr>
      <w:r>
        <w:t>There is an accessibility standard, which has the following features:</w:t>
      </w:r>
    </w:p>
    <w:p w:rsidR="007C6A5F" w:rsidRDefault="007C6A5F" w:rsidP="007C6A5F">
      <w:pPr>
        <w:pStyle w:val="BodyText"/>
      </w:pPr>
    </w:p>
    <w:tbl>
      <w:tblPr>
        <w:tblStyle w:val="TableGridLight"/>
        <w:tblW w:w="6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scription table"/>
        <w:tblDescription w:val="Description of features for Standard A only"/>
      </w:tblPr>
      <w:tblGrid>
        <w:gridCol w:w="3686"/>
        <w:gridCol w:w="266"/>
        <w:gridCol w:w="2528"/>
      </w:tblGrid>
      <w:tr w:rsidR="007C6A5F" w:rsidRPr="00E81687" w:rsidTr="00E44C81">
        <w:trPr>
          <w:trHeight w:val="270"/>
          <w:tblHeader/>
        </w:trPr>
        <w:tc>
          <w:tcPr>
            <w:tcW w:w="3791" w:type="dxa"/>
            <w:shd w:val="clear" w:color="auto" w:fill="E9E8E5" w:themeFill="background2"/>
            <w:hideMark/>
          </w:tcPr>
          <w:p w:rsidR="007C6A5F" w:rsidRPr="00E81687" w:rsidRDefault="007C6A5F" w:rsidP="00C36DA4">
            <w:pPr>
              <w:rPr>
                <w:rFonts w:ascii="Franklin Gothic Book" w:eastAsia="Times New Roman" w:hAnsi="Franklin Gothic Book" w:cs="Calibri"/>
                <w:color w:val="000000"/>
                <w:sz w:val="20"/>
                <w:szCs w:val="20"/>
              </w:rPr>
            </w:pPr>
            <w:r w:rsidRPr="00E81687">
              <w:rPr>
                <w:rFonts w:ascii="Franklin Gothic Book" w:eastAsia="Times New Roman" w:hAnsi="Franklin Gothic Book" w:cs="Calibri"/>
                <w:color w:val="000000"/>
                <w:sz w:val="20"/>
                <w:szCs w:val="20"/>
              </w:rPr>
              <w:t>Getting in and out</w:t>
            </w:r>
          </w:p>
        </w:tc>
        <w:tc>
          <w:tcPr>
            <w:tcW w:w="96" w:type="dxa"/>
            <w:noWrap/>
            <w:hideMark/>
          </w:tcPr>
          <w:p w:rsidR="007C6A5F" w:rsidRPr="00E81687" w:rsidRDefault="007C6A5F" w:rsidP="00C36DA4">
            <w:pPr>
              <w:rPr>
                <w:rFonts w:ascii="Franklin Gothic Book" w:eastAsia="Times New Roman" w:hAnsi="Franklin Gothic Book" w:cs="Calibri"/>
                <w:color w:val="000000"/>
                <w:sz w:val="20"/>
                <w:szCs w:val="20"/>
              </w:rPr>
            </w:pPr>
            <w:r w:rsidRPr="00E81687">
              <w:rPr>
                <w:rFonts w:ascii="Franklin Gothic Book" w:eastAsia="Times New Roman" w:hAnsi="Franklin Gothic Book" w:cs="Calibri"/>
                <w:color w:val="000000"/>
                <w:sz w:val="20"/>
                <w:szCs w:val="20"/>
              </w:rPr>
              <w:t> </w:t>
            </w:r>
          </w:p>
        </w:tc>
        <w:tc>
          <w:tcPr>
            <w:tcW w:w="2593" w:type="dxa"/>
            <w:shd w:val="clear" w:color="auto" w:fill="E9E8E5" w:themeFill="background2"/>
            <w:hideMark/>
          </w:tcPr>
          <w:p w:rsidR="007C6A5F" w:rsidRPr="00E81687" w:rsidRDefault="007C6A5F" w:rsidP="00C36DA4">
            <w:pPr>
              <w:jc w:val="center"/>
              <w:rPr>
                <w:rFonts w:ascii="Franklin Gothic Book" w:eastAsia="Times New Roman" w:hAnsi="Franklin Gothic Book" w:cs="Calibri"/>
                <w:sz w:val="20"/>
                <w:szCs w:val="20"/>
              </w:rPr>
            </w:pPr>
            <w:r w:rsidRPr="00E81687">
              <w:rPr>
                <w:rFonts w:ascii="Franklin Gothic Book" w:eastAsia="Times New Roman" w:hAnsi="Franklin Gothic Book" w:cs="Calibri"/>
                <w:sz w:val="20"/>
                <w:szCs w:val="20"/>
              </w:rPr>
              <w:t>Step-free</w:t>
            </w:r>
          </w:p>
        </w:tc>
      </w:tr>
      <w:tr w:rsidR="007C6A5F" w:rsidRPr="00E81687" w:rsidTr="00B5160B">
        <w:trPr>
          <w:trHeight w:val="60"/>
        </w:trPr>
        <w:tc>
          <w:tcPr>
            <w:tcW w:w="3791" w:type="dxa"/>
            <w:hideMark/>
          </w:tcPr>
          <w:p w:rsidR="007C6A5F" w:rsidRPr="00E81687" w:rsidRDefault="007C6A5F" w:rsidP="00C36DA4">
            <w:pPr>
              <w:rPr>
                <w:rFonts w:ascii="Franklin Gothic Book" w:eastAsia="Times New Roman" w:hAnsi="Franklin Gothic Book" w:cs="Calibri"/>
                <w:color w:val="000000"/>
                <w:sz w:val="20"/>
                <w:szCs w:val="20"/>
              </w:rPr>
            </w:pPr>
            <w:r w:rsidRPr="00E81687">
              <w:rPr>
                <w:rFonts w:ascii="Franklin Gothic Book" w:eastAsia="Times New Roman" w:hAnsi="Franklin Gothic Book" w:cs="Calibri"/>
                <w:color w:val="000000"/>
                <w:sz w:val="20"/>
                <w:szCs w:val="20"/>
              </w:rPr>
              <w:t> </w:t>
            </w:r>
          </w:p>
        </w:tc>
        <w:tc>
          <w:tcPr>
            <w:tcW w:w="96" w:type="dxa"/>
            <w:noWrap/>
            <w:hideMark/>
          </w:tcPr>
          <w:p w:rsidR="007C6A5F" w:rsidRPr="00E81687" w:rsidRDefault="007C6A5F" w:rsidP="00C36DA4">
            <w:pPr>
              <w:rPr>
                <w:rFonts w:ascii="Franklin Gothic Book" w:eastAsia="Times New Roman" w:hAnsi="Franklin Gothic Book" w:cs="Calibri"/>
                <w:color w:val="000000"/>
                <w:sz w:val="20"/>
                <w:szCs w:val="20"/>
              </w:rPr>
            </w:pPr>
            <w:r w:rsidRPr="00E81687">
              <w:rPr>
                <w:rFonts w:ascii="Franklin Gothic Book" w:eastAsia="Times New Roman" w:hAnsi="Franklin Gothic Book" w:cs="Calibri"/>
                <w:color w:val="000000"/>
                <w:sz w:val="20"/>
                <w:szCs w:val="20"/>
              </w:rPr>
              <w:t> </w:t>
            </w:r>
          </w:p>
        </w:tc>
        <w:tc>
          <w:tcPr>
            <w:tcW w:w="2593" w:type="dxa"/>
            <w:hideMark/>
          </w:tcPr>
          <w:p w:rsidR="007C6A5F" w:rsidRPr="00E81687" w:rsidRDefault="007C6A5F" w:rsidP="00C36DA4">
            <w:pPr>
              <w:jc w:val="center"/>
              <w:rPr>
                <w:rFonts w:ascii="Franklin Gothic Book" w:eastAsia="Times New Roman" w:hAnsi="Franklin Gothic Book" w:cs="Calibri"/>
                <w:sz w:val="20"/>
                <w:szCs w:val="20"/>
              </w:rPr>
            </w:pPr>
            <w:r w:rsidRPr="00E81687">
              <w:rPr>
                <w:rFonts w:ascii="Franklin Gothic Book" w:eastAsia="Times New Roman" w:hAnsi="Franklin Gothic Book" w:cs="Calibri"/>
                <w:sz w:val="20"/>
                <w:szCs w:val="20"/>
              </w:rPr>
              <w:t> </w:t>
            </w:r>
          </w:p>
        </w:tc>
      </w:tr>
      <w:tr w:rsidR="007C6A5F" w:rsidRPr="00E81687" w:rsidTr="00B5160B">
        <w:trPr>
          <w:trHeight w:val="270"/>
        </w:trPr>
        <w:tc>
          <w:tcPr>
            <w:tcW w:w="3791" w:type="dxa"/>
            <w:shd w:val="clear" w:color="auto" w:fill="E9E8E5" w:themeFill="background2"/>
            <w:hideMark/>
          </w:tcPr>
          <w:p w:rsidR="007C6A5F" w:rsidRPr="00E81687" w:rsidRDefault="007C6A5F" w:rsidP="00C36DA4">
            <w:pPr>
              <w:rPr>
                <w:rFonts w:ascii="Franklin Gothic Book" w:eastAsia="Times New Roman" w:hAnsi="Franklin Gothic Book" w:cs="Calibri"/>
                <w:color w:val="000000"/>
                <w:sz w:val="20"/>
                <w:szCs w:val="20"/>
              </w:rPr>
            </w:pPr>
            <w:r w:rsidRPr="00E81687">
              <w:rPr>
                <w:rFonts w:ascii="Franklin Gothic Book" w:eastAsia="Times New Roman" w:hAnsi="Franklin Gothic Book" w:cs="Calibri"/>
                <w:color w:val="000000"/>
                <w:sz w:val="20"/>
                <w:szCs w:val="20"/>
              </w:rPr>
              <w:t>Moving around indoors</w:t>
            </w:r>
          </w:p>
        </w:tc>
        <w:tc>
          <w:tcPr>
            <w:tcW w:w="96" w:type="dxa"/>
            <w:noWrap/>
            <w:hideMark/>
          </w:tcPr>
          <w:p w:rsidR="007C6A5F" w:rsidRPr="00E81687" w:rsidRDefault="007C6A5F" w:rsidP="00C36DA4">
            <w:pPr>
              <w:rPr>
                <w:rFonts w:ascii="Franklin Gothic Book" w:eastAsia="Times New Roman" w:hAnsi="Franklin Gothic Book" w:cs="Calibri"/>
                <w:color w:val="000000"/>
                <w:sz w:val="20"/>
                <w:szCs w:val="20"/>
              </w:rPr>
            </w:pPr>
            <w:r w:rsidRPr="00E81687">
              <w:rPr>
                <w:rFonts w:ascii="Franklin Gothic Book" w:eastAsia="Times New Roman" w:hAnsi="Franklin Gothic Book" w:cs="Calibri"/>
                <w:color w:val="000000"/>
                <w:sz w:val="20"/>
                <w:szCs w:val="20"/>
              </w:rPr>
              <w:t> </w:t>
            </w:r>
          </w:p>
        </w:tc>
        <w:tc>
          <w:tcPr>
            <w:tcW w:w="2593" w:type="dxa"/>
            <w:shd w:val="clear" w:color="auto" w:fill="E9E8E5" w:themeFill="background2"/>
            <w:hideMark/>
          </w:tcPr>
          <w:p w:rsidR="007C6A5F" w:rsidRPr="00E81687" w:rsidRDefault="007C6A5F" w:rsidP="00C36DA4">
            <w:pPr>
              <w:jc w:val="center"/>
              <w:rPr>
                <w:rFonts w:ascii="Franklin Gothic Book" w:eastAsia="Times New Roman" w:hAnsi="Franklin Gothic Book" w:cs="Calibri"/>
                <w:sz w:val="20"/>
                <w:szCs w:val="20"/>
              </w:rPr>
            </w:pPr>
            <w:r>
              <w:rPr>
                <w:rFonts w:ascii="Franklin Gothic Book" w:eastAsia="Times New Roman" w:hAnsi="Franklin Gothic Book" w:cs="Calibri"/>
                <w:sz w:val="20"/>
                <w:szCs w:val="20"/>
              </w:rPr>
              <w:t>Extra-w</w:t>
            </w:r>
            <w:r w:rsidRPr="00E81687">
              <w:rPr>
                <w:rFonts w:ascii="Franklin Gothic Book" w:eastAsia="Times New Roman" w:hAnsi="Franklin Gothic Book" w:cs="Calibri"/>
                <w:sz w:val="20"/>
                <w:szCs w:val="20"/>
              </w:rPr>
              <w:t>ide spaces</w:t>
            </w:r>
          </w:p>
        </w:tc>
      </w:tr>
      <w:tr w:rsidR="007C6A5F" w:rsidRPr="00E81687" w:rsidTr="00B5160B">
        <w:trPr>
          <w:trHeight w:val="50"/>
        </w:trPr>
        <w:tc>
          <w:tcPr>
            <w:tcW w:w="3791" w:type="dxa"/>
            <w:shd w:val="clear" w:color="auto" w:fill="E9E8E5" w:themeFill="background2"/>
            <w:hideMark/>
          </w:tcPr>
          <w:p w:rsidR="007C6A5F" w:rsidRPr="00E81687" w:rsidRDefault="007C6A5F" w:rsidP="00C36DA4">
            <w:pPr>
              <w:rPr>
                <w:rFonts w:ascii="Franklin Gothic Book" w:eastAsia="Times New Roman" w:hAnsi="Franklin Gothic Book" w:cs="Calibri"/>
                <w:color w:val="000000"/>
                <w:sz w:val="18"/>
                <w:szCs w:val="18"/>
              </w:rPr>
            </w:pPr>
            <w:r w:rsidRPr="00E81687">
              <w:rPr>
                <w:rFonts w:ascii="Franklin Gothic Book" w:eastAsia="Times New Roman" w:hAnsi="Franklin Gothic Book" w:cs="Calibri"/>
                <w:color w:val="000000"/>
                <w:sz w:val="18"/>
                <w:szCs w:val="18"/>
              </w:rPr>
              <w:t> </w:t>
            </w:r>
          </w:p>
        </w:tc>
        <w:tc>
          <w:tcPr>
            <w:tcW w:w="96" w:type="dxa"/>
            <w:noWrap/>
            <w:hideMark/>
          </w:tcPr>
          <w:p w:rsidR="007C6A5F" w:rsidRPr="00E81687" w:rsidRDefault="007C6A5F" w:rsidP="00C36DA4">
            <w:pPr>
              <w:rPr>
                <w:rFonts w:ascii="Franklin Gothic Book" w:eastAsia="Times New Roman" w:hAnsi="Franklin Gothic Book" w:cs="Calibri"/>
                <w:color w:val="000000"/>
                <w:sz w:val="18"/>
                <w:szCs w:val="18"/>
              </w:rPr>
            </w:pPr>
            <w:r w:rsidRPr="00E81687">
              <w:rPr>
                <w:rFonts w:ascii="Franklin Gothic Book" w:eastAsia="Times New Roman" w:hAnsi="Franklin Gothic Book" w:cs="Calibri"/>
                <w:color w:val="000000"/>
                <w:sz w:val="18"/>
                <w:szCs w:val="18"/>
              </w:rPr>
              <w:t> </w:t>
            </w:r>
          </w:p>
        </w:tc>
        <w:tc>
          <w:tcPr>
            <w:tcW w:w="2593" w:type="dxa"/>
            <w:shd w:val="clear" w:color="auto" w:fill="E9E8E5" w:themeFill="background2"/>
            <w:hideMark/>
          </w:tcPr>
          <w:p w:rsidR="007C6A5F" w:rsidRPr="00E81687" w:rsidRDefault="007C6A5F" w:rsidP="00C36DA4">
            <w:pPr>
              <w:jc w:val="center"/>
              <w:rPr>
                <w:rFonts w:ascii="Franklin Gothic Book" w:eastAsia="Times New Roman" w:hAnsi="Franklin Gothic Book" w:cs="Calibri"/>
                <w:sz w:val="18"/>
                <w:szCs w:val="18"/>
              </w:rPr>
            </w:pPr>
            <w:r w:rsidRPr="00E81687">
              <w:rPr>
                <w:rFonts w:ascii="Franklin Gothic Book" w:eastAsia="Times New Roman" w:hAnsi="Franklin Gothic Book" w:cs="Calibri"/>
                <w:sz w:val="18"/>
                <w:szCs w:val="18"/>
              </w:rPr>
              <w:t> </w:t>
            </w:r>
          </w:p>
        </w:tc>
      </w:tr>
      <w:tr w:rsidR="007C6A5F" w:rsidRPr="00E81687" w:rsidTr="00B5160B">
        <w:trPr>
          <w:trHeight w:val="440"/>
        </w:trPr>
        <w:tc>
          <w:tcPr>
            <w:tcW w:w="3791" w:type="dxa"/>
            <w:shd w:val="clear" w:color="auto" w:fill="E9E8E5" w:themeFill="background2"/>
            <w:hideMark/>
          </w:tcPr>
          <w:p w:rsidR="007C6A5F" w:rsidRPr="00E81687" w:rsidRDefault="007C6A5F" w:rsidP="00C36DA4">
            <w:pPr>
              <w:rPr>
                <w:rFonts w:ascii="Franklin Gothic Book" w:eastAsia="Times New Roman" w:hAnsi="Franklin Gothic Book" w:cs="Calibri"/>
                <w:color w:val="000000"/>
                <w:sz w:val="16"/>
                <w:szCs w:val="16"/>
              </w:rPr>
            </w:pPr>
            <w:r w:rsidRPr="00E81687">
              <w:rPr>
                <w:rFonts w:ascii="Franklin Gothic Book" w:eastAsia="Times New Roman" w:hAnsi="Franklin Gothic Book" w:cs="Calibri"/>
                <w:color w:val="000000"/>
                <w:sz w:val="16"/>
                <w:szCs w:val="16"/>
              </w:rPr>
              <w:t> </w:t>
            </w:r>
          </w:p>
        </w:tc>
        <w:tc>
          <w:tcPr>
            <w:tcW w:w="96" w:type="dxa"/>
            <w:noWrap/>
            <w:hideMark/>
          </w:tcPr>
          <w:p w:rsidR="007C6A5F" w:rsidRPr="00E81687" w:rsidRDefault="007C6A5F" w:rsidP="00C36DA4">
            <w:pPr>
              <w:rPr>
                <w:rFonts w:ascii="Franklin Gothic Book" w:eastAsia="Times New Roman" w:hAnsi="Franklin Gothic Book" w:cs="Calibri"/>
                <w:color w:val="000000"/>
                <w:sz w:val="16"/>
                <w:szCs w:val="16"/>
              </w:rPr>
            </w:pPr>
            <w:r w:rsidRPr="00E81687">
              <w:rPr>
                <w:rFonts w:ascii="Franklin Gothic Book" w:eastAsia="Times New Roman" w:hAnsi="Franklin Gothic Book" w:cs="Calibri"/>
                <w:color w:val="000000"/>
                <w:sz w:val="16"/>
                <w:szCs w:val="16"/>
              </w:rPr>
              <w:t> </w:t>
            </w:r>
          </w:p>
        </w:tc>
        <w:tc>
          <w:tcPr>
            <w:tcW w:w="2593" w:type="dxa"/>
            <w:shd w:val="clear" w:color="auto" w:fill="E9E8E5" w:themeFill="background2"/>
            <w:hideMark/>
          </w:tcPr>
          <w:p w:rsidR="007C6A5F" w:rsidRPr="00E81687" w:rsidRDefault="007C6A5F" w:rsidP="00C36DA4">
            <w:pPr>
              <w:jc w:val="center"/>
              <w:rPr>
                <w:rFonts w:ascii="Franklin Gothic Book" w:eastAsia="Times New Roman" w:hAnsi="Franklin Gothic Book" w:cs="Calibri"/>
                <w:sz w:val="16"/>
                <w:szCs w:val="16"/>
              </w:rPr>
            </w:pPr>
            <w:r w:rsidRPr="00E81687">
              <w:rPr>
                <w:rFonts w:ascii="Franklin Gothic Book" w:eastAsia="Times New Roman" w:hAnsi="Franklin Gothic Book" w:cs="Calibri"/>
                <w:sz w:val="16"/>
                <w:szCs w:val="16"/>
              </w:rPr>
              <w:t>Suitable for all mobility aids, including wheelchairs</w:t>
            </w:r>
          </w:p>
        </w:tc>
      </w:tr>
      <w:tr w:rsidR="007C6A5F" w:rsidRPr="00E81687" w:rsidTr="00B5160B">
        <w:trPr>
          <w:trHeight w:val="60"/>
        </w:trPr>
        <w:tc>
          <w:tcPr>
            <w:tcW w:w="3791" w:type="dxa"/>
            <w:hideMark/>
          </w:tcPr>
          <w:p w:rsidR="007C6A5F" w:rsidRPr="00E81687" w:rsidRDefault="007C6A5F" w:rsidP="00C36DA4">
            <w:pPr>
              <w:rPr>
                <w:rFonts w:ascii="Franklin Gothic Book" w:eastAsia="Times New Roman" w:hAnsi="Franklin Gothic Book" w:cs="Calibri"/>
                <w:color w:val="000000"/>
                <w:sz w:val="16"/>
                <w:szCs w:val="16"/>
              </w:rPr>
            </w:pPr>
            <w:r w:rsidRPr="00E81687">
              <w:rPr>
                <w:rFonts w:ascii="Franklin Gothic Book" w:eastAsia="Times New Roman" w:hAnsi="Franklin Gothic Book" w:cs="Calibri"/>
                <w:color w:val="000000"/>
                <w:sz w:val="16"/>
                <w:szCs w:val="16"/>
              </w:rPr>
              <w:t> </w:t>
            </w:r>
          </w:p>
        </w:tc>
        <w:tc>
          <w:tcPr>
            <w:tcW w:w="96" w:type="dxa"/>
            <w:noWrap/>
            <w:hideMark/>
          </w:tcPr>
          <w:p w:rsidR="007C6A5F" w:rsidRPr="00E81687" w:rsidRDefault="007C6A5F" w:rsidP="00C36DA4">
            <w:pPr>
              <w:rPr>
                <w:rFonts w:ascii="Franklin Gothic Book" w:eastAsia="Times New Roman" w:hAnsi="Franklin Gothic Book" w:cs="Calibri"/>
                <w:color w:val="000000"/>
                <w:sz w:val="16"/>
                <w:szCs w:val="16"/>
              </w:rPr>
            </w:pPr>
            <w:r w:rsidRPr="00E81687">
              <w:rPr>
                <w:rFonts w:ascii="Franklin Gothic Book" w:eastAsia="Times New Roman" w:hAnsi="Franklin Gothic Book" w:cs="Calibri"/>
                <w:color w:val="000000"/>
                <w:sz w:val="16"/>
                <w:szCs w:val="16"/>
              </w:rPr>
              <w:t> </w:t>
            </w:r>
          </w:p>
        </w:tc>
        <w:tc>
          <w:tcPr>
            <w:tcW w:w="2593" w:type="dxa"/>
            <w:hideMark/>
          </w:tcPr>
          <w:p w:rsidR="007C6A5F" w:rsidRPr="00E81687" w:rsidRDefault="007C6A5F" w:rsidP="00C36DA4">
            <w:pPr>
              <w:jc w:val="center"/>
              <w:rPr>
                <w:rFonts w:ascii="Franklin Gothic Book" w:eastAsia="Times New Roman" w:hAnsi="Franklin Gothic Book" w:cs="Calibri"/>
                <w:sz w:val="16"/>
                <w:szCs w:val="16"/>
              </w:rPr>
            </w:pPr>
            <w:r w:rsidRPr="00E81687">
              <w:rPr>
                <w:rFonts w:ascii="Franklin Gothic Book" w:eastAsia="Times New Roman" w:hAnsi="Franklin Gothic Book" w:cs="Calibri"/>
                <w:sz w:val="16"/>
                <w:szCs w:val="16"/>
              </w:rPr>
              <w:t> </w:t>
            </w:r>
          </w:p>
        </w:tc>
      </w:tr>
      <w:tr w:rsidR="007C6A5F" w:rsidRPr="00E81687" w:rsidTr="00B5160B">
        <w:trPr>
          <w:trHeight w:val="540"/>
        </w:trPr>
        <w:tc>
          <w:tcPr>
            <w:tcW w:w="3791" w:type="dxa"/>
            <w:shd w:val="clear" w:color="auto" w:fill="E9E8E5" w:themeFill="background2"/>
            <w:hideMark/>
          </w:tcPr>
          <w:p w:rsidR="007C6A5F" w:rsidRPr="00E81687" w:rsidRDefault="007C6A5F" w:rsidP="00C36DA4">
            <w:pPr>
              <w:rPr>
                <w:rFonts w:ascii="Franklin Gothic Book" w:eastAsia="Times New Roman" w:hAnsi="Franklin Gothic Book" w:cs="Calibri"/>
                <w:color w:val="000000"/>
                <w:sz w:val="20"/>
                <w:szCs w:val="20"/>
              </w:rPr>
            </w:pPr>
            <w:r w:rsidRPr="006E12CF">
              <w:rPr>
                <w:rFonts w:ascii="Franklin Gothic Book" w:eastAsia="Times New Roman" w:hAnsi="Franklin Gothic Book" w:cs="Calibri"/>
                <w:color w:val="000000"/>
                <w:sz w:val="20"/>
                <w:szCs w:val="20"/>
              </w:rPr>
              <w:t xml:space="preserve">Living with </w:t>
            </w:r>
            <w:r>
              <w:rPr>
                <w:rFonts w:ascii="Franklin Gothic Book" w:eastAsia="Times New Roman" w:hAnsi="Franklin Gothic Book" w:cs="Calibri"/>
                <w:color w:val="000000"/>
                <w:sz w:val="20"/>
                <w:szCs w:val="20"/>
              </w:rPr>
              <w:t>limited mobility</w:t>
            </w:r>
            <w:r w:rsidRPr="006E12CF">
              <w:rPr>
                <w:rFonts w:ascii="Franklin Gothic Book" w:eastAsia="Times New Roman" w:hAnsi="Franklin Gothic Book" w:cs="Calibri"/>
                <w:color w:val="000000"/>
                <w:sz w:val="20"/>
                <w:szCs w:val="20"/>
              </w:rPr>
              <w:t xml:space="preserve"> on same level as </w:t>
            </w:r>
            <w:r>
              <w:rPr>
                <w:rFonts w:ascii="Franklin Gothic Book" w:eastAsia="Times New Roman" w:hAnsi="Franklin Gothic Book" w:cs="Calibri"/>
                <w:color w:val="000000"/>
                <w:sz w:val="20"/>
                <w:szCs w:val="20"/>
              </w:rPr>
              <w:t>an entrance</w:t>
            </w:r>
          </w:p>
        </w:tc>
        <w:tc>
          <w:tcPr>
            <w:tcW w:w="96" w:type="dxa"/>
            <w:noWrap/>
            <w:hideMark/>
          </w:tcPr>
          <w:p w:rsidR="007C6A5F" w:rsidRPr="00E81687" w:rsidRDefault="007C6A5F" w:rsidP="00C36DA4">
            <w:pPr>
              <w:rPr>
                <w:rFonts w:ascii="Franklin Gothic Book" w:eastAsia="Times New Roman" w:hAnsi="Franklin Gothic Book" w:cs="Calibri"/>
                <w:color w:val="000000"/>
                <w:sz w:val="20"/>
                <w:szCs w:val="20"/>
              </w:rPr>
            </w:pPr>
            <w:r w:rsidRPr="00E81687">
              <w:rPr>
                <w:rFonts w:ascii="Franklin Gothic Book" w:eastAsia="Times New Roman" w:hAnsi="Franklin Gothic Book" w:cs="Calibri"/>
                <w:color w:val="000000"/>
                <w:sz w:val="20"/>
                <w:szCs w:val="20"/>
              </w:rPr>
              <w:t> </w:t>
            </w:r>
          </w:p>
        </w:tc>
        <w:tc>
          <w:tcPr>
            <w:tcW w:w="2593" w:type="dxa"/>
            <w:shd w:val="clear" w:color="auto" w:fill="E9E8E5" w:themeFill="background2"/>
            <w:hideMark/>
          </w:tcPr>
          <w:p w:rsidR="007C6A5F" w:rsidRPr="00E81687" w:rsidRDefault="007C6A5F" w:rsidP="00C36DA4">
            <w:pPr>
              <w:jc w:val="center"/>
              <w:rPr>
                <w:rFonts w:ascii="Franklin Gothic Book" w:eastAsia="Times New Roman" w:hAnsi="Franklin Gothic Book" w:cs="Calibri"/>
                <w:sz w:val="20"/>
                <w:szCs w:val="20"/>
              </w:rPr>
            </w:pPr>
            <w:r w:rsidRPr="00E81687">
              <w:rPr>
                <w:rFonts w:ascii="Franklin Gothic Book" w:eastAsia="Times New Roman" w:hAnsi="Franklin Gothic Book" w:cs="Calibri"/>
                <w:sz w:val="20"/>
                <w:szCs w:val="20"/>
              </w:rPr>
              <w:t>Suitable for living</w:t>
            </w:r>
            <w:r>
              <w:rPr>
                <w:rFonts w:ascii="Franklin Gothic Book" w:eastAsia="Times New Roman" w:hAnsi="Franklin Gothic Book" w:cs="Calibri"/>
                <w:sz w:val="20"/>
                <w:szCs w:val="20"/>
              </w:rPr>
              <w:t xml:space="preserve"> or </w:t>
            </w:r>
            <w:r w:rsidRPr="00E81687">
              <w:rPr>
                <w:rFonts w:ascii="Franklin Gothic Book" w:eastAsia="Times New Roman" w:hAnsi="Franklin Gothic Book" w:cs="Calibri"/>
                <w:sz w:val="20"/>
                <w:szCs w:val="20"/>
              </w:rPr>
              <w:t>overnight visits</w:t>
            </w:r>
          </w:p>
        </w:tc>
      </w:tr>
      <w:tr w:rsidR="007C6A5F" w:rsidRPr="00E81687" w:rsidTr="00B5160B">
        <w:trPr>
          <w:trHeight w:val="50"/>
        </w:trPr>
        <w:tc>
          <w:tcPr>
            <w:tcW w:w="3791" w:type="dxa"/>
            <w:shd w:val="clear" w:color="auto" w:fill="E9E8E5" w:themeFill="background2"/>
            <w:hideMark/>
          </w:tcPr>
          <w:p w:rsidR="007C6A5F" w:rsidRPr="00E81687" w:rsidRDefault="007C6A5F" w:rsidP="00C36DA4">
            <w:pPr>
              <w:rPr>
                <w:rFonts w:ascii="Franklin Gothic Book" w:eastAsia="Times New Roman" w:hAnsi="Franklin Gothic Book" w:cs="Calibri"/>
                <w:color w:val="000000"/>
                <w:sz w:val="16"/>
                <w:szCs w:val="16"/>
              </w:rPr>
            </w:pPr>
            <w:r w:rsidRPr="00E81687">
              <w:rPr>
                <w:rFonts w:ascii="Franklin Gothic Book" w:eastAsia="Times New Roman" w:hAnsi="Franklin Gothic Book" w:cs="Calibri"/>
                <w:color w:val="000000"/>
                <w:sz w:val="16"/>
                <w:szCs w:val="16"/>
              </w:rPr>
              <w:t> </w:t>
            </w:r>
          </w:p>
        </w:tc>
        <w:tc>
          <w:tcPr>
            <w:tcW w:w="96" w:type="dxa"/>
            <w:noWrap/>
            <w:hideMark/>
          </w:tcPr>
          <w:p w:rsidR="007C6A5F" w:rsidRPr="00E81687" w:rsidRDefault="007C6A5F" w:rsidP="00C36DA4">
            <w:pPr>
              <w:rPr>
                <w:rFonts w:ascii="Franklin Gothic Book" w:eastAsia="Times New Roman" w:hAnsi="Franklin Gothic Book" w:cs="Calibri"/>
                <w:color w:val="000000"/>
                <w:sz w:val="16"/>
                <w:szCs w:val="16"/>
              </w:rPr>
            </w:pPr>
            <w:r w:rsidRPr="00E81687">
              <w:rPr>
                <w:rFonts w:ascii="Franklin Gothic Book" w:eastAsia="Times New Roman" w:hAnsi="Franklin Gothic Book" w:cs="Calibri"/>
                <w:color w:val="000000"/>
                <w:sz w:val="16"/>
                <w:szCs w:val="16"/>
              </w:rPr>
              <w:t> </w:t>
            </w:r>
          </w:p>
        </w:tc>
        <w:tc>
          <w:tcPr>
            <w:tcW w:w="2593" w:type="dxa"/>
            <w:shd w:val="clear" w:color="auto" w:fill="E9E8E5" w:themeFill="background2"/>
            <w:hideMark/>
          </w:tcPr>
          <w:p w:rsidR="007C6A5F" w:rsidRPr="00E81687" w:rsidRDefault="007C6A5F" w:rsidP="00C36DA4">
            <w:pPr>
              <w:jc w:val="center"/>
              <w:rPr>
                <w:rFonts w:ascii="Franklin Gothic Book" w:eastAsia="Times New Roman" w:hAnsi="Franklin Gothic Book" w:cs="Calibri"/>
                <w:sz w:val="16"/>
                <w:szCs w:val="16"/>
              </w:rPr>
            </w:pPr>
            <w:r w:rsidRPr="00E81687">
              <w:rPr>
                <w:rFonts w:ascii="Franklin Gothic Book" w:eastAsia="Times New Roman" w:hAnsi="Franklin Gothic Book" w:cs="Calibri"/>
                <w:sz w:val="16"/>
                <w:szCs w:val="16"/>
              </w:rPr>
              <w:t> </w:t>
            </w:r>
          </w:p>
        </w:tc>
      </w:tr>
      <w:tr w:rsidR="007C6A5F" w:rsidRPr="00E81687" w:rsidTr="00B5160B">
        <w:trPr>
          <w:trHeight w:val="220"/>
        </w:trPr>
        <w:tc>
          <w:tcPr>
            <w:tcW w:w="3791" w:type="dxa"/>
            <w:shd w:val="clear" w:color="auto" w:fill="E9E8E5" w:themeFill="background2"/>
            <w:hideMark/>
          </w:tcPr>
          <w:p w:rsidR="007C6A5F" w:rsidRPr="00E81687" w:rsidRDefault="007C6A5F" w:rsidP="00C36DA4">
            <w:pPr>
              <w:rPr>
                <w:rFonts w:ascii="Franklin Gothic Book" w:eastAsia="Times New Roman" w:hAnsi="Franklin Gothic Book" w:cs="Calibri"/>
                <w:color w:val="000000"/>
                <w:sz w:val="16"/>
                <w:szCs w:val="16"/>
              </w:rPr>
            </w:pPr>
            <w:r w:rsidRPr="00E81687">
              <w:rPr>
                <w:rFonts w:ascii="Franklin Gothic Book" w:eastAsia="Times New Roman" w:hAnsi="Franklin Gothic Book" w:cs="Calibri"/>
                <w:color w:val="000000"/>
                <w:sz w:val="16"/>
                <w:szCs w:val="16"/>
              </w:rPr>
              <w:t> </w:t>
            </w:r>
          </w:p>
        </w:tc>
        <w:tc>
          <w:tcPr>
            <w:tcW w:w="96" w:type="dxa"/>
            <w:noWrap/>
            <w:hideMark/>
          </w:tcPr>
          <w:p w:rsidR="007C6A5F" w:rsidRPr="00E81687" w:rsidRDefault="007C6A5F" w:rsidP="00C36DA4">
            <w:pPr>
              <w:rPr>
                <w:rFonts w:ascii="Franklin Gothic Book" w:eastAsia="Times New Roman" w:hAnsi="Franklin Gothic Book" w:cs="Calibri"/>
                <w:color w:val="000000"/>
                <w:sz w:val="16"/>
                <w:szCs w:val="16"/>
              </w:rPr>
            </w:pPr>
            <w:r w:rsidRPr="00E81687">
              <w:rPr>
                <w:rFonts w:ascii="Franklin Gothic Book" w:eastAsia="Times New Roman" w:hAnsi="Franklin Gothic Book" w:cs="Calibri"/>
                <w:color w:val="000000"/>
                <w:sz w:val="16"/>
                <w:szCs w:val="16"/>
              </w:rPr>
              <w:t> </w:t>
            </w:r>
          </w:p>
        </w:tc>
        <w:tc>
          <w:tcPr>
            <w:tcW w:w="2593" w:type="dxa"/>
            <w:shd w:val="clear" w:color="auto" w:fill="E9E8E5" w:themeFill="background2"/>
            <w:hideMark/>
          </w:tcPr>
          <w:p w:rsidR="007C6A5F" w:rsidRPr="00E81687" w:rsidRDefault="007C6A5F" w:rsidP="00C36DA4">
            <w:pPr>
              <w:jc w:val="center"/>
              <w:rPr>
                <w:rFonts w:ascii="Franklin Gothic Book" w:eastAsia="Times New Roman" w:hAnsi="Franklin Gothic Book" w:cs="Calibri"/>
                <w:sz w:val="16"/>
                <w:szCs w:val="16"/>
              </w:rPr>
            </w:pPr>
            <w:r w:rsidRPr="00E81687">
              <w:rPr>
                <w:rFonts w:ascii="Franklin Gothic Book" w:eastAsia="Times New Roman" w:hAnsi="Franklin Gothic Book" w:cs="Calibri"/>
                <w:sz w:val="16"/>
                <w:szCs w:val="16"/>
              </w:rPr>
              <w:t>Toilet, shower and bedroom on entry level</w:t>
            </w:r>
          </w:p>
        </w:tc>
      </w:tr>
      <w:tr w:rsidR="007C6A5F" w:rsidRPr="00E81687" w:rsidTr="00B5160B">
        <w:trPr>
          <w:trHeight w:val="60"/>
        </w:trPr>
        <w:tc>
          <w:tcPr>
            <w:tcW w:w="3791" w:type="dxa"/>
            <w:hideMark/>
          </w:tcPr>
          <w:p w:rsidR="007C6A5F" w:rsidRPr="00E81687" w:rsidRDefault="007C6A5F" w:rsidP="00C36DA4">
            <w:pPr>
              <w:rPr>
                <w:rFonts w:ascii="Franklin Gothic Book" w:eastAsia="Times New Roman" w:hAnsi="Franklin Gothic Book" w:cs="Calibri"/>
                <w:color w:val="000000"/>
                <w:sz w:val="16"/>
                <w:szCs w:val="16"/>
              </w:rPr>
            </w:pPr>
            <w:r w:rsidRPr="00E81687">
              <w:rPr>
                <w:rFonts w:ascii="Franklin Gothic Book" w:eastAsia="Times New Roman" w:hAnsi="Franklin Gothic Book" w:cs="Calibri"/>
                <w:color w:val="000000"/>
                <w:sz w:val="16"/>
                <w:szCs w:val="16"/>
              </w:rPr>
              <w:t> </w:t>
            </w:r>
          </w:p>
        </w:tc>
        <w:tc>
          <w:tcPr>
            <w:tcW w:w="96" w:type="dxa"/>
            <w:noWrap/>
            <w:hideMark/>
          </w:tcPr>
          <w:p w:rsidR="007C6A5F" w:rsidRPr="00E81687" w:rsidRDefault="007C6A5F" w:rsidP="00C36DA4">
            <w:pPr>
              <w:rPr>
                <w:rFonts w:ascii="Franklin Gothic Book" w:eastAsia="Times New Roman" w:hAnsi="Franklin Gothic Book" w:cs="Calibri"/>
                <w:color w:val="000000"/>
                <w:sz w:val="16"/>
                <w:szCs w:val="16"/>
              </w:rPr>
            </w:pPr>
            <w:r w:rsidRPr="00E81687">
              <w:rPr>
                <w:rFonts w:ascii="Franklin Gothic Book" w:eastAsia="Times New Roman" w:hAnsi="Franklin Gothic Book" w:cs="Calibri"/>
                <w:color w:val="000000"/>
                <w:sz w:val="16"/>
                <w:szCs w:val="16"/>
              </w:rPr>
              <w:t> </w:t>
            </w:r>
          </w:p>
        </w:tc>
        <w:tc>
          <w:tcPr>
            <w:tcW w:w="2593" w:type="dxa"/>
            <w:hideMark/>
          </w:tcPr>
          <w:p w:rsidR="007C6A5F" w:rsidRPr="00E81687" w:rsidRDefault="007C6A5F" w:rsidP="00C36DA4">
            <w:pPr>
              <w:jc w:val="center"/>
              <w:rPr>
                <w:rFonts w:ascii="Franklin Gothic Book" w:eastAsia="Times New Roman" w:hAnsi="Franklin Gothic Book" w:cs="Calibri"/>
                <w:sz w:val="16"/>
                <w:szCs w:val="16"/>
              </w:rPr>
            </w:pPr>
            <w:r w:rsidRPr="00E81687">
              <w:rPr>
                <w:rFonts w:ascii="Franklin Gothic Book" w:eastAsia="Times New Roman" w:hAnsi="Franklin Gothic Book" w:cs="Calibri"/>
                <w:sz w:val="16"/>
                <w:szCs w:val="16"/>
              </w:rPr>
              <w:t> </w:t>
            </w:r>
          </w:p>
        </w:tc>
      </w:tr>
      <w:tr w:rsidR="007C6A5F" w:rsidRPr="00E81687" w:rsidTr="00B5160B">
        <w:trPr>
          <w:trHeight w:val="540"/>
        </w:trPr>
        <w:tc>
          <w:tcPr>
            <w:tcW w:w="3791" w:type="dxa"/>
            <w:shd w:val="clear" w:color="auto" w:fill="E9E8E5" w:themeFill="background2"/>
            <w:hideMark/>
          </w:tcPr>
          <w:p w:rsidR="007C6A5F" w:rsidRPr="00E81687" w:rsidRDefault="007C6A5F" w:rsidP="00C36DA4">
            <w:pPr>
              <w:rPr>
                <w:rFonts w:ascii="Franklin Gothic Book" w:eastAsia="Times New Roman" w:hAnsi="Franklin Gothic Book" w:cs="Calibri"/>
                <w:color w:val="000000"/>
                <w:sz w:val="20"/>
                <w:szCs w:val="20"/>
              </w:rPr>
            </w:pPr>
            <w:r w:rsidRPr="00E81687">
              <w:rPr>
                <w:rFonts w:ascii="Franklin Gothic Book" w:eastAsia="Times New Roman" w:hAnsi="Franklin Gothic Book" w:cs="Calibri"/>
                <w:color w:val="000000"/>
                <w:sz w:val="20"/>
                <w:szCs w:val="20"/>
              </w:rPr>
              <w:t>Modification that would be needed to make home suitable for ageing in place</w:t>
            </w:r>
          </w:p>
        </w:tc>
        <w:tc>
          <w:tcPr>
            <w:tcW w:w="96" w:type="dxa"/>
            <w:noWrap/>
            <w:hideMark/>
          </w:tcPr>
          <w:p w:rsidR="007C6A5F" w:rsidRPr="00E81687" w:rsidRDefault="007C6A5F" w:rsidP="00C36DA4">
            <w:pPr>
              <w:rPr>
                <w:rFonts w:ascii="Franklin Gothic Book" w:eastAsia="Times New Roman" w:hAnsi="Franklin Gothic Book" w:cs="Calibri"/>
                <w:color w:val="000000"/>
                <w:sz w:val="20"/>
                <w:szCs w:val="20"/>
              </w:rPr>
            </w:pPr>
            <w:r w:rsidRPr="00E81687">
              <w:rPr>
                <w:rFonts w:ascii="Franklin Gothic Book" w:eastAsia="Times New Roman" w:hAnsi="Franklin Gothic Book" w:cs="Calibri"/>
                <w:color w:val="000000"/>
                <w:sz w:val="20"/>
                <w:szCs w:val="20"/>
              </w:rPr>
              <w:t> </w:t>
            </w:r>
          </w:p>
        </w:tc>
        <w:tc>
          <w:tcPr>
            <w:tcW w:w="2593" w:type="dxa"/>
            <w:shd w:val="clear" w:color="auto" w:fill="E9E8E5" w:themeFill="background2"/>
            <w:hideMark/>
          </w:tcPr>
          <w:p w:rsidR="007C6A5F" w:rsidRPr="00E81687" w:rsidRDefault="007C6A5F" w:rsidP="00C36DA4">
            <w:pPr>
              <w:jc w:val="center"/>
              <w:rPr>
                <w:rFonts w:ascii="Franklin Gothic Book" w:eastAsia="Times New Roman" w:hAnsi="Franklin Gothic Book" w:cs="Calibri"/>
                <w:sz w:val="20"/>
                <w:szCs w:val="20"/>
              </w:rPr>
            </w:pPr>
            <w:r>
              <w:rPr>
                <w:rFonts w:ascii="Franklin Gothic Book" w:eastAsia="Times New Roman" w:hAnsi="Franklin Gothic Book" w:cs="Calibri"/>
                <w:sz w:val="20"/>
                <w:szCs w:val="20"/>
              </w:rPr>
              <w:t>Minimal</w:t>
            </w:r>
          </w:p>
        </w:tc>
      </w:tr>
    </w:tbl>
    <w:p w:rsidR="007C6A5F" w:rsidRDefault="007C6A5F" w:rsidP="007C6A5F">
      <w:pPr>
        <w:pStyle w:val="BodyText"/>
      </w:pPr>
    </w:p>
    <w:p w:rsidR="007C6A5F" w:rsidRDefault="007C6A5F" w:rsidP="007C6A5F">
      <w:pPr>
        <w:pStyle w:val="BodyText"/>
        <w:rPr>
          <w:rStyle w:val="DraftingNote"/>
        </w:rPr>
      </w:pPr>
    </w:p>
    <w:p w:rsidR="007C6A5F" w:rsidRDefault="007C6A5F" w:rsidP="007C6A5F">
      <w:pPr>
        <w:spacing w:before="140"/>
        <w:rPr>
          <w:rFonts w:eastAsia="Times New Roman"/>
        </w:rPr>
      </w:pPr>
      <w:r>
        <w:br w:type="page"/>
      </w:r>
    </w:p>
    <w:p w:rsidR="007C6A5F" w:rsidRDefault="007C6A5F" w:rsidP="007C6A5F">
      <w:pPr>
        <w:pStyle w:val="BodyText"/>
      </w:pPr>
      <w:r>
        <w:lastRenderedPageBreak/>
        <w:t>T</w:t>
      </w:r>
      <w:r w:rsidRPr="00515FBC">
        <w:t>he share of housing in the total housing stock</w:t>
      </w:r>
      <w:r>
        <w:t xml:space="preserve"> that meets this standard is thought to be very low. On current trends, it is expected to remain very low. R</w:t>
      </w:r>
      <w:r w:rsidRPr="00515FBC">
        <w:t xml:space="preserve">oughly 5 per cent of new homes </w:t>
      </w:r>
      <w:r>
        <w:t xml:space="preserve">are </w:t>
      </w:r>
      <w:r w:rsidRPr="00515FBC">
        <w:t>being built to this standard</w:t>
      </w:r>
      <w:r>
        <w:t>, which increases the share of accessible housing in the total housing stock by just 0.1 per cent each year</w:t>
      </w:r>
      <w:r w:rsidRPr="00515FBC">
        <w:t>.</w:t>
      </w:r>
    </w:p>
    <w:p w:rsidR="007C6A5F" w:rsidRDefault="007C6A5F" w:rsidP="007C6A5F">
      <w:pPr>
        <w:pStyle w:val="BodyText"/>
      </w:pPr>
      <w:r>
        <w:t xml:space="preserve">This is not enough to provide accessible homes for </w:t>
      </w:r>
      <w:bookmarkStart w:id="9904" w:name="_Hlk32833915"/>
      <w:r>
        <w:t>Australians with a disability who use a mobility aid (around 5% of households)</w:t>
      </w:r>
      <w:bookmarkEnd w:id="9904"/>
      <w:r>
        <w:t>.</w:t>
      </w:r>
    </w:p>
    <w:p w:rsidR="007C6A5F" w:rsidRDefault="007C6A5F" w:rsidP="007C6A5F">
      <w:pPr>
        <w:spacing w:before="140"/>
        <w:rPr>
          <w:rFonts w:asciiTheme="minorHAnsi" w:eastAsia="Times New Roman" w:hAnsiTheme="minorHAnsi"/>
        </w:rPr>
      </w:pPr>
      <w:r>
        <w:br w:type="page"/>
      </w:r>
    </w:p>
    <w:p w:rsidR="007C6A5F" w:rsidRDefault="007C6A5F" w:rsidP="007C6A5F">
      <w:pPr>
        <w:pStyle w:val="BodyText"/>
      </w:pPr>
      <w:r>
        <w:lastRenderedPageBreak/>
        <w:t>As a result, s</w:t>
      </w:r>
      <w:r w:rsidRPr="000F1915">
        <w:t xml:space="preserve">ome people with </w:t>
      </w:r>
      <w:r>
        <w:t xml:space="preserve">limited </w:t>
      </w:r>
      <w:r w:rsidRPr="000F1915">
        <w:t>mobility</w:t>
      </w:r>
      <w:r>
        <w:t xml:space="preserve"> </w:t>
      </w:r>
      <w:r w:rsidRPr="000F1915">
        <w:t>have difficulty finding a</w:t>
      </w:r>
      <w:r>
        <w:t>n accessible home and instead live in unsuitable housing with a carer. This can lead to health risks from slips, trips and falls and places extra demands on carers.</w:t>
      </w:r>
    </w:p>
    <w:p w:rsidR="007C6A5F" w:rsidRDefault="007C6A5F" w:rsidP="007C6A5F">
      <w:pPr>
        <w:pStyle w:val="BodyText"/>
      </w:pPr>
      <w:r>
        <w:t>Some people with limited mobility also experience social isolation due to difficulty visiting homes of friends and family.</w:t>
      </w:r>
    </w:p>
    <w:p w:rsidR="007C6A5F" w:rsidRDefault="007C6A5F" w:rsidP="007C6A5F">
      <w:pPr>
        <w:pStyle w:val="BodyText"/>
      </w:pPr>
    </w:p>
    <w:p w:rsidR="007C6A5F" w:rsidRDefault="007C6A5F" w:rsidP="007C6A5F">
      <w:pPr>
        <w:spacing w:before="140"/>
        <w:rPr>
          <w:rFonts w:asciiTheme="minorHAnsi" w:eastAsia="Times New Roman" w:hAnsiTheme="minorHAnsi"/>
        </w:rPr>
      </w:pPr>
      <w:r>
        <w:br w:type="page"/>
      </w:r>
    </w:p>
    <w:p w:rsidR="007C6A5F" w:rsidRDefault="007C6A5F" w:rsidP="007C6A5F">
      <w:pPr>
        <w:pStyle w:val="BodyText"/>
      </w:pPr>
      <w:r>
        <w:lastRenderedPageBreak/>
        <w:t xml:space="preserve">Without additional government action, the proportion of housing in Australia that meets the accessibility standard is expected to remain below 5%. </w:t>
      </w:r>
    </w:p>
    <w:p w:rsidR="007C6A5F" w:rsidRDefault="007C6A5F" w:rsidP="007C6A5F">
      <w:pPr>
        <w:pStyle w:val="BodyText"/>
      </w:pPr>
      <w:r>
        <w:t xml:space="preserve">Governments have a range of ways to increase the amount of accessible housing, including building regulations, incentives schemes, land-use planning and public housing. The share of accessible housing could be increased to 15% of overall housing by </w:t>
      </w:r>
      <w:r w:rsidRPr="00EC1AAE">
        <w:t>20</w:t>
      </w:r>
      <w:r>
        <w:t xml:space="preserve">35, which would greatly improve the chances of Australians with limited mobility finding suitable homes. </w:t>
      </w:r>
    </w:p>
    <w:p w:rsidR="007C6A5F" w:rsidRDefault="007C6A5F" w:rsidP="007C6A5F">
      <w:pPr>
        <w:pStyle w:val="BodyText"/>
      </w:pPr>
      <w:r>
        <w:t xml:space="preserve">However, this would come at a cost that would need to be covered by an increase in rates and taxes. </w:t>
      </w:r>
    </w:p>
    <w:p w:rsidR="007C6A5F" w:rsidRDefault="007C6A5F" w:rsidP="007C6A5F">
      <w:pPr>
        <w:spacing w:before="140"/>
        <w:rPr>
          <w:rFonts w:asciiTheme="minorHAnsi" w:eastAsia="Times New Roman" w:hAnsiTheme="minorHAnsi"/>
        </w:rPr>
      </w:pPr>
      <w:r>
        <w:br w:type="page"/>
      </w:r>
    </w:p>
    <w:p w:rsidR="007C6A5F" w:rsidRDefault="007C6A5F" w:rsidP="007C6A5F">
      <w:pPr>
        <w:pStyle w:val="BodyText"/>
      </w:pPr>
    </w:p>
    <w:tbl>
      <w:tblPr>
        <w:tblStyle w:val="TableGrid"/>
        <w:tblW w:w="0" w:type="auto"/>
        <w:tblLook w:val="04A0" w:firstRow="1" w:lastRow="0" w:firstColumn="1" w:lastColumn="0" w:noHBand="0" w:noVBand="1"/>
        <w:tblCaption w:val="Reminder box"/>
        <w:tblDescription w:val="Reminder box for survey participants"/>
      </w:tblPr>
      <w:tblGrid>
        <w:gridCol w:w="7927"/>
      </w:tblGrid>
      <w:tr w:rsidR="007C6A5F" w:rsidTr="00E44C81">
        <w:trPr>
          <w:tblHeader/>
        </w:trPr>
        <w:tc>
          <w:tcPr>
            <w:tcW w:w="9060" w:type="dxa"/>
            <w:tcBorders>
              <w:top w:val="single" w:sz="4" w:space="0" w:color="auto"/>
              <w:left w:val="single" w:sz="4" w:space="0" w:color="auto"/>
              <w:bottom w:val="single" w:sz="4" w:space="0" w:color="auto"/>
              <w:right w:val="single" w:sz="4" w:space="0" w:color="auto"/>
            </w:tcBorders>
            <w:hideMark/>
          </w:tcPr>
          <w:p w:rsidR="007C6A5F" w:rsidRDefault="007C6A5F" w:rsidP="00C36DA4">
            <w:pPr>
              <w:pStyle w:val="BodyText"/>
            </w:pPr>
            <w:r>
              <w:t>Remember:</w:t>
            </w:r>
          </w:p>
          <w:p w:rsidR="007C6A5F" w:rsidRDefault="007C6A5F" w:rsidP="005A6F87">
            <w:pPr>
              <w:pStyle w:val="ListBullet"/>
              <w:numPr>
                <w:ilvl w:val="0"/>
                <w:numId w:val="17"/>
              </w:numPr>
            </w:pPr>
            <w:r>
              <w:t>The results of this survey will influence the amount of accessible housing and the rates/taxes you pay</w:t>
            </w:r>
          </w:p>
          <w:p w:rsidR="007C6A5F" w:rsidRDefault="007C6A5F" w:rsidP="005A6F87">
            <w:pPr>
              <w:pStyle w:val="ListBullet"/>
              <w:numPr>
                <w:ilvl w:val="0"/>
                <w:numId w:val="17"/>
              </w:numPr>
            </w:pPr>
            <w:r>
              <w:t>There may be other things you would prefer to spend your money on.</w:t>
            </w:r>
          </w:p>
        </w:tc>
      </w:tr>
    </w:tbl>
    <w:p w:rsidR="007C6A5F" w:rsidRDefault="007C6A5F" w:rsidP="007C6A5F">
      <w:pPr>
        <w:spacing w:before="140"/>
        <w:rPr>
          <w:rFonts w:asciiTheme="minorHAnsi" w:eastAsia="Times New Roman" w:hAnsiTheme="minorHAnsi"/>
        </w:rPr>
      </w:pPr>
    </w:p>
    <w:p w:rsidR="007C6A5F" w:rsidRDefault="007C6A5F" w:rsidP="005A6F87">
      <w:pPr>
        <w:pStyle w:val="BodyText"/>
        <w:numPr>
          <w:ilvl w:val="0"/>
          <w:numId w:val="19"/>
        </w:numPr>
      </w:pPr>
      <w:r>
        <w:t xml:space="preserve">If a policy to increase the amount of accessible housing to </w:t>
      </w:r>
      <w:r w:rsidRPr="001219D6">
        <w:t>15%</w:t>
      </w:r>
      <w:r>
        <w:t xml:space="preserve"> </w:t>
      </w:r>
      <w:r w:rsidRPr="001219D6">
        <w:t>by 2035</w:t>
      </w:r>
      <w:r>
        <w:t xml:space="preserve"> permanently increased the rates and taxes you pay each year by </w:t>
      </w:r>
      <w:r w:rsidRPr="00D17D10">
        <w:rPr>
          <w:rStyle w:val="DraftingNote"/>
        </w:rPr>
        <w:t>$X</w:t>
      </w:r>
      <w:r>
        <w:t>, would you vote for the policy?</w:t>
      </w:r>
    </w:p>
    <w:p w:rsidR="007C6A5F" w:rsidRDefault="007C6A5F" w:rsidP="005A6F87">
      <w:pPr>
        <w:pStyle w:val="BodyText"/>
        <w:numPr>
          <w:ilvl w:val="1"/>
          <w:numId w:val="31"/>
        </w:numPr>
      </w:pPr>
      <w:r>
        <w:t>At that cost to me, I definitely would vote for the policy</w:t>
      </w:r>
    </w:p>
    <w:p w:rsidR="007C6A5F" w:rsidRDefault="007C6A5F" w:rsidP="005A6F87">
      <w:pPr>
        <w:pStyle w:val="BodyText"/>
        <w:numPr>
          <w:ilvl w:val="1"/>
          <w:numId w:val="31"/>
        </w:numPr>
      </w:pPr>
      <w:r>
        <w:t>At that cost to me, I probably would vote for the policy</w:t>
      </w:r>
    </w:p>
    <w:p w:rsidR="007C6A5F" w:rsidRDefault="007C6A5F" w:rsidP="005A6F87">
      <w:pPr>
        <w:pStyle w:val="BodyText"/>
        <w:numPr>
          <w:ilvl w:val="1"/>
          <w:numId w:val="31"/>
        </w:numPr>
      </w:pPr>
      <w:r>
        <w:t>At that cost to me, I am not sure whether I would vote for the policy</w:t>
      </w:r>
    </w:p>
    <w:p w:rsidR="007C6A5F" w:rsidRDefault="007C6A5F" w:rsidP="005A6F87">
      <w:pPr>
        <w:pStyle w:val="BodyText"/>
        <w:numPr>
          <w:ilvl w:val="1"/>
          <w:numId w:val="31"/>
        </w:numPr>
      </w:pPr>
      <w:r>
        <w:t>At that cost to me, I probably would not vote for the policy</w:t>
      </w:r>
    </w:p>
    <w:p w:rsidR="007C6A5F" w:rsidRDefault="007C6A5F" w:rsidP="005A6F87">
      <w:pPr>
        <w:pStyle w:val="BodyText"/>
        <w:numPr>
          <w:ilvl w:val="1"/>
          <w:numId w:val="31"/>
        </w:numPr>
      </w:pPr>
      <w:r>
        <w:t>At that cost to me, I definitely would not vote for the policy</w:t>
      </w:r>
    </w:p>
    <w:p w:rsidR="007C6A5F" w:rsidRDefault="007C6A5F" w:rsidP="007C6A5F">
      <w:pPr>
        <w:pStyle w:val="BodyText"/>
      </w:pPr>
    </w:p>
    <w:p w:rsidR="007C6A5F" w:rsidRDefault="007C6A5F" w:rsidP="007C6A5F">
      <w:pPr>
        <w:pStyle w:val="BodyText"/>
        <w:rPr>
          <w:rStyle w:val="DraftingNote"/>
        </w:rPr>
      </w:pPr>
      <w:r>
        <w:rPr>
          <w:rStyle w:val="DraftingNote"/>
        </w:rPr>
        <w:t>$X to be selected based on least fill from $5, $20, $100, $500</w:t>
      </w:r>
    </w:p>
    <w:p w:rsidR="007C6A5F" w:rsidRDefault="007C6A5F" w:rsidP="007C6A5F">
      <w:pPr>
        <w:spacing w:before="140"/>
        <w:rPr>
          <w:rFonts w:eastAsia="Times New Roman"/>
        </w:rPr>
      </w:pPr>
      <w:r>
        <w:rPr>
          <w:rFonts w:asciiTheme="minorHAnsi" w:eastAsia="Times New Roman" w:hAnsiTheme="minorHAnsi"/>
        </w:rPr>
        <w:br w:type="page"/>
      </w:r>
    </w:p>
    <w:p w:rsidR="007C6A5F" w:rsidRDefault="007C6A5F" w:rsidP="007C6A5F">
      <w:pPr>
        <w:spacing w:before="140"/>
        <w:rPr>
          <w:rStyle w:val="DraftingNote"/>
        </w:rPr>
      </w:pPr>
      <w:r>
        <w:rPr>
          <w:rStyle w:val="DraftingNote"/>
        </w:rPr>
        <w:lastRenderedPageBreak/>
        <w:t>IF DEFINITELY WOULD OR PROBABLY WOULD</w:t>
      </w:r>
    </w:p>
    <w:p w:rsidR="007C6A5F" w:rsidRDefault="007C6A5F" w:rsidP="005A6F87">
      <w:pPr>
        <w:pStyle w:val="BodyText"/>
        <w:numPr>
          <w:ilvl w:val="0"/>
          <w:numId w:val="19"/>
        </w:numPr>
      </w:pPr>
      <w:bookmarkStart w:id="9905" w:name="_Hlk19282761"/>
      <w:r>
        <w:t>On a scale of 1 to 10, how much was your decision based on outcomes for other people?</w:t>
      </w:r>
      <w:bookmarkEnd w:id="9905"/>
    </w:p>
    <w:p w:rsidR="007C6A5F" w:rsidRDefault="007C6A5F" w:rsidP="007C6A5F">
      <w:pPr>
        <w:pStyle w:val="BodyText"/>
        <w:ind w:left="720"/>
      </w:pPr>
      <w:r>
        <w:t>1 means I thought only about my chances of finding a suitable home in the future</w:t>
      </w:r>
    </w:p>
    <w:p w:rsidR="007C6A5F" w:rsidRDefault="007C6A5F" w:rsidP="007C6A5F">
      <w:pPr>
        <w:pStyle w:val="BodyText"/>
        <w:ind w:left="720"/>
      </w:pPr>
      <w:r>
        <w:t>10 means I thought only about outcomes for other people</w:t>
      </w:r>
    </w:p>
    <w:p w:rsidR="007C6A5F" w:rsidRDefault="007C6A5F" w:rsidP="005A6F87">
      <w:pPr>
        <w:pStyle w:val="BodyText"/>
        <w:numPr>
          <w:ilvl w:val="1"/>
          <w:numId w:val="30"/>
        </w:numPr>
        <w:rPr>
          <w:rStyle w:val="DraftingNote"/>
        </w:rPr>
      </w:pPr>
      <w:r>
        <w:rPr>
          <w:rStyle w:val="DraftingNote"/>
        </w:rPr>
        <w:t>10-point scale |__|__|__|__|__|__|__|__|__|</w:t>
      </w:r>
    </w:p>
    <w:p w:rsidR="007C6A5F" w:rsidRDefault="007C6A5F" w:rsidP="007C6A5F">
      <w:pPr>
        <w:spacing w:before="140"/>
        <w:rPr>
          <w:rFonts w:eastAsia="Times New Roman"/>
        </w:rPr>
      </w:pPr>
    </w:p>
    <w:p w:rsidR="007C6A5F" w:rsidRDefault="007C6A5F" w:rsidP="007C6A5F">
      <w:pPr>
        <w:spacing w:before="140"/>
        <w:rPr>
          <w:rStyle w:val="DraftingNote"/>
        </w:rPr>
      </w:pPr>
      <w:r>
        <w:rPr>
          <w:rStyle w:val="DraftingNote"/>
        </w:rPr>
        <w:t>OTHERWISE</w:t>
      </w:r>
    </w:p>
    <w:p w:rsidR="007C6A5F" w:rsidRDefault="007C6A5F" w:rsidP="005A6F87">
      <w:pPr>
        <w:pStyle w:val="BodyText"/>
        <w:numPr>
          <w:ilvl w:val="0"/>
          <w:numId w:val="19"/>
        </w:numPr>
      </w:pPr>
      <w:r>
        <w:t xml:space="preserve">What were the main reasons for your decision? </w:t>
      </w:r>
      <w:r>
        <w:rPr>
          <w:rStyle w:val="DraftingNote"/>
        </w:rPr>
        <w:t>MULTIPLE SELECTION</w:t>
      </w:r>
    </w:p>
    <w:p w:rsidR="007C6A5F" w:rsidRDefault="007C6A5F" w:rsidP="005A6F87">
      <w:pPr>
        <w:pStyle w:val="BodyText"/>
        <w:numPr>
          <w:ilvl w:val="0"/>
          <w:numId w:val="47"/>
        </w:numPr>
      </w:pPr>
      <w:r>
        <w:t>I would prefer to spend my money on something else</w:t>
      </w:r>
    </w:p>
    <w:p w:rsidR="007C6A5F" w:rsidRDefault="007C6A5F" w:rsidP="005A6F87">
      <w:pPr>
        <w:pStyle w:val="BodyText"/>
        <w:numPr>
          <w:ilvl w:val="0"/>
          <w:numId w:val="47"/>
        </w:numPr>
      </w:pPr>
      <w:r>
        <w:t>The question was confusing</w:t>
      </w:r>
    </w:p>
    <w:p w:rsidR="007C6A5F" w:rsidRDefault="007C6A5F" w:rsidP="005A6F87">
      <w:pPr>
        <w:pStyle w:val="BodyText"/>
        <w:numPr>
          <w:ilvl w:val="0"/>
          <w:numId w:val="47"/>
        </w:numPr>
      </w:pPr>
      <w:r>
        <w:t>I didn’t have enough information about the policy</w:t>
      </w:r>
    </w:p>
    <w:p w:rsidR="007C6A5F" w:rsidRDefault="007C6A5F" w:rsidP="005A6F87">
      <w:pPr>
        <w:pStyle w:val="BodyText"/>
        <w:numPr>
          <w:ilvl w:val="0"/>
          <w:numId w:val="47"/>
        </w:numPr>
      </w:pPr>
      <w:r>
        <w:t>I’m concerned that governments might put taxes up without improving accessible housing</w:t>
      </w:r>
    </w:p>
    <w:p w:rsidR="007C6A5F" w:rsidRDefault="007C6A5F" w:rsidP="005A6F87">
      <w:pPr>
        <w:pStyle w:val="BodyText"/>
        <w:numPr>
          <w:ilvl w:val="0"/>
          <w:numId w:val="47"/>
        </w:numPr>
      </w:pPr>
      <w:r>
        <w:t>I think governments should improve accessible housing without increasing taxes</w:t>
      </w:r>
    </w:p>
    <w:p w:rsidR="007C6A5F" w:rsidRDefault="007C6A5F" w:rsidP="005A6F87">
      <w:pPr>
        <w:pStyle w:val="BodyText"/>
        <w:numPr>
          <w:ilvl w:val="0"/>
          <w:numId w:val="47"/>
        </w:numPr>
      </w:pPr>
      <w:r>
        <w:t>Other peoples’ housing should not be my problem</w:t>
      </w:r>
    </w:p>
    <w:p w:rsidR="007C6A5F" w:rsidRDefault="007C6A5F" w:rsidP="005A6F87">
      <w:pPr>
        <w:pStyle w:val="BodyText"/>
        <w:numPr>
          <w:ilvl w:val="0"/>
          <w:numId w:val="47"/>
        </w:numPr>
      </w:pPr>
      <w:r>
        <w:t>Other ___________</w:t>
      </w:r>
    </w:p>
    <w:p w:rsidR="007C6A5F" w:rsidRDefault="007C6A5F" w:rsidP="007C6A5F">
      <w:pPr>
        <w:spacing w:before="140"/>
        <w:rPr>
          <w:rFonts w:asciiTheme="minorHAnsi" w:eastAsia="Times New Roman" w:hAnsiTheme="minorHAnsi"/>
        </w:rPr>
      </w:pPr>
    </w:p>
    <w:p w:rsidR="007C6A5F" w:rsidRDefault="007C6A5F" w:rsidP="007C6A5F">
      <w:pPr>
        <w:spacing w:before="140"/>
        <w:rPr>
          <w:rFonts w:asciiTheme="minorHAnsi" w:eastAsia="Times New Roman" w:hAnsiTheme="minorHAnsi"/>
        </w:rPr>
      </w:pPr>
      <w:bookmarkStart w:id="9906" w:name="_Ref516948592"/>
      <w:r>
        <w:br w:type="page"/>
      </w:r>
    </w:p>
    <w:p w:rsidR="007C6A5F" w:rsidRDefault="007C6A5F" w:rsidP="005A6F87">
      <w:pPr>
        <w:pStyle w:val="BodyText"/>
        <w:numPr>
          <w:ilvl w:val="0"/>
          <w:numId w:val="19"/>
        </w:numPr>
      </w:pPr>
      <w:r>
        <w:lastRenderedPageBreak/>
        <w:t xml:space="preserve">To what degree do you expect the results of this survey will affect </w:t>
      </w:r>
      <w:bookmarkEnd w:id="9906"/>
      <w:r>
        <w:t>government action on accessible housing?</w:t>
      </w:r>
    </w:p>
    <w:p w:rsidR="007C6A5F" w:rsidRDefault="007C6A5F" w:rsidP="005A6F87">
      <w:pPr>
        <w:pStyle w:val="BodyText"/>
        <w:numPr>
          <w:ilvl w:val="0"/>
          <w:numId w:val="20"/>
        </w:numPr>
      </w:pPr>
      <w:r>
        <w:t xml:space="preserve">I believe it is very likely the survey will affect government action </w:t>
      </w:r>
    </w:p>
    <w:p w:rsidR="007C6A5F" w:rsidRDefault="007C6A5F" w:rsidP="005A6F87">
      <w:pPr>
        <w:pStyle w:val="BodyText"/>
        <w:numPr>
          <w:ilvl w:val="0"/>
          <w:numId w:val="20"/>
        </w:numPr>
      </w:pPr>
      <w:r>
        <w:t xml:space="preserve">I believe it is somewhat likely the survey will affect government action </w:t>
      </w:r>
    </w:p>
    <w:p w:rsidR="007C6A5F" w:rsidRDefault="007C6A5F" w:rsidP="005A6F87">
      <w:pPr>
        <w:pStyle w:val="BodyText"/>
        <w:numPr>
          <w:ilvl w:val="0"/>
          <w:numId w:val="20"/>
        </w:numPr>
      </w:pPr>
      <w:r>
        <w:t xml:space="preserve">I don’t think the survey will affect government action </w:t>
      </w:r>
    </w:p>
    <w:p w:rsidR="007C6A5F" w:rsidRDefault="007C6A5F" w:rsidP="007C6A5F">
      <w:pPr>
        <w:pStyle w:val="BodyText"/>
      </w:pPr>
    </w:p>
    <w:p w:rsidR="007C6A5F" w:rsidRDefault="007C6A5F" w:rsidP="007C6A5F">
      <w:pPr>
        <w:spacing w:before="140"/>
        <w:rPr>
          <w:rFonts w:asciiTheme="minorHAnsi" w:eastAsia="Times New Roman" w:hAnsiTheme="minorHAnsi"/>
        </w:rPr>
      </w:pPr>
      <w:r>
        <w:br w:type="page"/>
      </w:r>
    </w:p>
    <w:p w:rsidR="007C6A5F" w:rsidRDefault="007C6A5F" w:rsidP="005A6F87">
      <w:pPr>
        <w:pStyle w:val="BodyText"/>
        <w:numPr>
          <w:ilvl w:val="0"/>
          <w:numId w:val="19"/>
        </w:numPr>
      </w:pPr>
      <w:r>
        <w:lastRenderedPageBreak/>
        <w:t>To what degree do you expect the results of this survey will affect your rates and taxes?</w:t>
      </w:r>
    </w:p>
    <w:p w:rsidR="007C6A5F" w:rsidRDefault="007C6A5F" w:rsidP="005A6F87">
      <w:pPr>
        <w:pStyle w:val="BodyText"/>
        <w:numPr>
          <w:ilvl w:val="0"/>
          <w:numId w:val="21"/>
        </w:numPr>
      </w:pPr>
      <w:r>
        <w:t>I believe it is very likely the survey will affect my rates and taxes</w:t>
      </w:r>
    </w:p>
    <w:p w:rsidR="007C6A5F" w:rsidRDefault="007C6A5F" w:rsidP="005A6F87">
      <w:pPr>
        <w:pStyle w:val="BodyText"/>
        <w:numPr>
          <w:ilvl w:val="0"/>
          <w:numId w:val="21"/>
        </w:numPr>
      </w:pPr>
      <w:r>
        <w:t>I believe it is somewhat likely the survey will affect my rates and taxes</w:t>
      </w:r>
    </w:p>
    <w:p w:rsidR="007C6A5F" w:rsidRDefault="007C6A5F" w:rsidP="005A6F87">
      <w:pPr>
        <w:pStyle w:val="BodyText"/>
        <w:numPr>
          <w:ilvl w:val="0"/>
          <w:numId w:val="21"/>
        </w:numPr>
      </w:pPr>
      <w:r>
        <w:t>I don’t think the survey will affect my rates and taxes</w:t>
      </w:r>
    </w:p>
    <w:p w:rsidR="007C6A5F" w:rsidRDefault="007C6A5F" w:rsidP="007C6A5F">
      <w:pPr>
        <w:spacing w:before="140"/>
        <w:rPr>
          <w:rFonts w:asciiTheme="minorHAnsi" w:eastAsia="Times New Roman" w:hAnsiTheme="minorHAnsi"/>
        </w:rPr>
      </w:pPr>
    </w:p>
    <w:p w:rsidR="007C6A5F" w:rsidRDefault="007C6A5F" w:rsidP="007C6A5F">
      <w:pPr>
        <w:spacing w:before="140"/>
        <w:rPr>
          <w:rFonts w:asciiTheme="minorHAnsi" w:eastAsia="Times New Roman" w:hAnsiTheme="minorHAnsi"/>
        </w:rPr>
      </w:pPr>
      <w:r>
        <w:rPr>
          <w:rFonts w:asciiTheme="minorHAnsi" w:eastAsia="Times New Roman" w:hAnsiTheme="minorHAnsi"/>
        </w:rPr>
        <w:br w:type="page"/>
      </w:r>
    </w:p>
    <w:p w:rsidR="007C6A5F" w:rsidRPr="00FC2879" w:rsidRDefault="007C6A5F" w:rsidP="007C6A5F">
      <w:pPr>
        <w:pStyle w:val="BodyText"/>
        <w:rPr>
          <w:b/>
          <w:sz w:val="24"/>
        </w:rPr>
      </w:pPr>
      <w:bookmarkStart w:id="9907" w:name="_Toc24977934"/>
      <w:r w:rsidRPr="00FC2879">
        <w:rPr>
          <w:b/>
          <w:sz w:val="24"/>
        </w:rPr>
        <w:lastRenderedPageBreak/>
        <w:t>Questions about you</w:t>
      </w:r>
      <w:bookmarkEnd w:id="9907"/>
    </w:p>
    <w:p w:rsidR="007C6A5F" w:rsidRDefault="007C6A5F" w:rsidP="005A6F87">
      <w:pPr>
        <w:pStyle w:val="BodyText"/>
        <w:numPr>
          <w:ilvl w:val="0"/>
          <w:numId w:val="19"/>
        </w:numPr>
      </w:pPr>
      <w:r>
        <w:t>Do you have a family member or friend with limited mobility who visits you or would visit you if your home was accessible?</w:t>
      </w:r>
    </w:p>
    <w:p w:rsidR="007C6A5F" w:rsidRDefault="007C6A5F" w:rsidP="005A6F87">
      <w:pPr>
        <w:pStyle w:val="BodyText"/>
        <w:numPr>
          <w:ilvl w:val="0"/>
          <w:numId w:val="48"/>
        </w:numPr>
      </w:pPr>
      <w:r>
        <w:t>Yes</w:t>
      </w:r>
    </w:p>
    <w:p w:rsidR="007C6A5F" w:rsidRDefault="007C6A5F" w:rsidP="005A6F87">
      <w:pPr>
        <w:pStyle w:val="BodyText"/>
        <w:numPr>
          <w:ilvl w:val="0"/>
          <w:numId w:val="48"/>
        </w:numPr>
      </w:pPr>
      <w:r>
        <w:t>No</w:t>
      </w:r>
    </w:p>
    <w:p w:rsidR="007C6A5F" w:rsidRDefault="007C6A5F" w:rsidP="005A6F87">
      <w:pPr>
        <w:pStyle w:val="BodyText"/>
        <w:numPr>
          <w:ilvl w:val="0"/>
          <w:numId w:val="48"/>
        </w:numPr>
      </w:pPr>
      <w:r>
        <w:t>Unsure</w:t>
      </w:r>
    </w:p>
    <w:p w:rsidR="007C6A5F" w:rsidRDefault="007C6A5F" w:rsidP="007C6A5F">
      <w:pPr>
        <w:spacing w:before="140"/>
        <w:rPr>
          <w:rFonts w:asciiTheme="minorHAnsi" w:eastAsia="Times New Roman" w:hAnsiTheme="minorHAnsi"/>
        </w:rPr>
      </w:pPr>
    </w:p>
    <w:p w:rsidR="007C6A5F" w:rsidRDefault="007C6A5F" w:rsidP="007C6A5F">
      <w:pPr>
        <w:spacing w:before="140"/>
        <w:rPr>
          <w:rFonts w:asciiTheme="minorHAnsi" w:eastAsia="Times New Roman" w:hAnsiTheme="minorHAnsi"/>
        </w:rPr>
      </w:pPr>
      <w:r>
        <w:br w:type="page"/>
      </w:r>
    </w:p>
    <w:p w:rsidR="007C6A5F" w:rsidRDefault="007C6A5F" w:rsidP="005A6F87">
      <w:pPr>
        <w:pStyle w:val="BodyText"/>
        <w:numPr>
          <w:ilvl w:val="0"/>
          <w:numId w:val="19"/>
        </w:numPr>
      </w:pPr>
      <w:r>
        <w:lastRenderedPageBreak/>
        <w:t xml:space="preserve">Do you or anyone in your household work in the construction industry (e.g. builder, architect, quantity surveyor)? </w:t>
      </w:r>
    </w:p>
    <w:p w:rsidR="007C6A5F" w:rsidRDefault="007C6A5F" w:rsidP="005A6F87">
      <w:pPr>
        <w:pStyle w:val="BodyText"/>
        <w:numPr>
          <w:ilvl w:val="0"/>
          <w:numId w:val="22"/>
        </w:numPr>
      </w:pPr>
      <w:r>
        <w:t>Yes</w:t>
      </w:r>
    </w:p>
    <w:p w:rsidR="007C6A5F" w:rsidRDefault="007C6A5F" w:rsidP="005A6F87">
      <w:pPr>
        <w:pStyle w:val="BodyText"/>
        <w:numPr>
          <w:ilvl w:val="0"/>
          <w:numId w:val="22"/>
        </w:numPr>
      </w:pPr>
      <w:r>
        <w:t>No</w:t>
      </w:r>
    </w:p>
    <w:p w:rsidR="007C6A5F" w:rsidRDefault="007C6A5F" w:rsidP="007C6A5F">
      <w:pPr>
        <w:pStyle w:val="BodyText"/>
        <w:rPr>
          <w:rStyle w:val="DraftingNote"/>
          <w:b w:val="0"/>
        </w:rPr>
      </w:pPr>
    </w:p>
    <w:p w:rsidR="007C6A5F" w:rsidRDefault="007C6A5F" w:rsidP="007C6A5F">
      <w:pPr>
        <w:spacing w:before="140"/>
        <w:rPr>
          <w:rFonts w:asciiTheme="minorHAnsi" w:eastAsia="Times New Roman" w:hAnsiTheme="minorHAnsi"/>
        </w:rPr>
      </w:pPr>
      <w:r>
        <w:br w:type="page"/>
      </w:r>
    </w:p>
    <w:p w:rsidR="007C6A5F" w:rsidRDefault="007C6A5F" w:rsidP="005A6F87">
      <w:pPr>
        <w:pStyle w:val="BodyText"/>
        <w:numPr>
          <w:ilvl w:val="0"/>
          <w:numId w:val="19"/>
        </w:numPr>
      </w:pPr>
      <w:r>
        <w:lastRenderedPageBreak/>
        <w:t xml:space="preserve">Do you speak a language other than English at home? </w:t>
      </w:r>
    </w:p>
    <w:p w:rsidR="007C6A5F" w:rsidRDefault="007C6A5F" w:rsidP="005A6F87">
      <w:pPr>
        <w:pStyle w:val="BodyText"/>
        <w:numPr>
          <w:ilvl w:val="0"/>
          <w:numId w:val="49"/>
        </w:numPr>
      </w:pPr>
      <w:r>
        <w:t xml:space="preserve">No, English only  </w:t>
      </w:r>
    </w:p>
    <w:p w:rsidR="007C6A5F" w:rsidRDefault="007C6A5F" w:rsidP="005A6F87">
      <w:pPr>
        <w:pStyle w:val="BodyText"/>
        <w:numPr>
          <w:ilvl w:val="0"/>
          <w:numId w:val="49"/>
        </w:numPr>
      </w:pPr>
      <w:r>
        <w:t>Yes</w:t>
      </w:r>
    </w:p>
    <w:p w:rsidR="007C6A5F" w:rsidRDefault="007C6A5F" w:rsidP="007C6A5F">
      <w:pPr>
        <w:pStyle w:val="BodyText"/>
        <w:rPr>
          <w:rStyle w:val="DraftingNote"/>
          <w:b w:val="0"/>
        </w:rPr>
      </w:pPr>
    </w:p>
    <w:p w:rsidR="007C6A5F" w:rsidRDefault="007C6A5F" w:rsidP="007C6A5F">
      <w:pPr>
        <w:spacing w:before="140"/>
        <w:rPr>
          <w:rFonts w:asciiTheme="minorHAnsi" w:eastAsia="Times New Roman" w:hAnsiTheme="minorHAnsi"/>
        </w:rPr>
      </w:pPr>
      <w:r>
        <w:br w:type="page"/>
      </w:r>
    </w:p>
    <w:p w:rsidR="007C6A5F" w:rsidRDefault="007C6A5F" w:rsidP="005A6F87">
      <w:pPr>
        <w:pStyle w:val="BodyText"/>
        <w:numPr>
          <w:ilvl w:val="0"/>
          <w:numId w:val="19"/>
        </w:numPr>
      </w:pPr>
      <w:r>
        <w:lastRenderedPageBreak/>
        <w:t xml:space="preserve">Is the place you live in: </w:t>
      </w:r>
    </w:p>
    <w:p w:rsidR="007C6A5F" w:rsidRDefault="007C6A5F" w:rsidP="005A6F87">
      <w:pPr>
        <w:pStyle w:val="BodyText"/>
        <w:numPr>
          <w:ilvl w:val="0"/>
          <w:numId w:val="18"/>
        </w:numPr>
      </w:pPr>
      <w:r>
        <w:t>Owned outright or with a mortgage</w:t>
      </w:r>
    </w:p>
    <w:p w:rsidR="007C6A5F" w:rsidRDefault="007C6A5F" w:rsidP="005A6F87">
      <w:pPr>
        <w:pStyle w:val="BodyText"/>
        <w:numPr>
          <w:ilvl w:val="0"/>
          <w:numId w:val="18"/>
        </w:numPr>
      </w:pPr>
      <w:r>
        <w:t xml:space="preserve">Being rented or occupied rent-free </w:t>
      </w:r>
    </w:p>
    <w:p w:rsidR="007C6A5F" w:rsidRDefault="007C6A5F" w:rsidP="005A6F87">
      <w:pPr>
        <w:pStyle w:val="BodyText"/>
        <w:numPr>
          <w:ilvl w:val="0"/>
          <w:numId w:val="18"/>
        </w:numPr>
      </w:pPr>
      <w:r>
        <w:t>Other (please specify) ____________</w:t>
      </w:r>
    </w:p>
    <w:p w:rsidR="007C6A5F" w:rsidRDefault="007C6A5F" w:rsidP="007C6A5F">
      <w:pPr>
        <w:pStyle w:val="BodyText"/>
        <w:rPr>
          <w:rStyle w:val="DraftingNote"/>
          <w:b w:val="0"/>
        </w:rPr>
      </w:pPr>
    </w:p>
    <w:p w:rsidR="007C6A5F" w:rsidRDefault="007C6A5F" w:rsidP="007C6A5F">
      <w:pPr>
        <w:spacing w:before="140"/>
        <w:rPr>
          <w:rFonts w:asciiTheme="minorHAnsi" w:eastAsia="Times New Roman" w:hAnsiTheme="minorHAnsi"/>
        </w:rPr>
      </w:pPr>
      <w:bookmarkStart w:id="9908" w:name="_Ref2088752"/>
      <w:r>
        <w:br w:type="page"/>
      </w:r>
    </w:p>
    <w:p w:rsidR="007C6A5F" w:rsidRDefault="007C6A5F" w:rsidP="005A6F87">
      <w:pPr>
        <w:pStyle w:val="BodyText"/>
        <w:numPr>
          <w:ilvl w:val="0"/>
          <w:numId w:val="19"/>
        </w:numPr>
      </w:pPr>
      <w:bookmarkStart w:id="9909" w:name="_Ref26435202"/>
      <w:r>
        <w:lastRenderedPageBreak/>
        <w:t>Which best describes your household:</w:t>
      </w:r>
      <w:bookmarkEnd w:id="9908"/>
      <w:bookmarkEnd w:id="9909"/>
    </w:p>
    <w:p w:rsidR="007C6A5F" w:rsidRDefault="007C6A5F" w:rsidP="005A6F87">
      <w:pPr>
        <w:pStyle w:val="BodyText"/>
        <w:numPr>
          <w:ilvl w:val="0"/>
          <w:numId w:val="23"/>
        </w:numPr>
      </w:pPr>
      <w:r>
        <w:t>Couple/family without children at home</w:t>
      </w:r>
      <w:r>
        <w:tab/>
      </w:r>
    </w:p>
    <w:p w:rsidR="007C6A5F" w:rsidRDefault="007C6A5F" w:rsidP="005A6F87">
      <w:pPr>
        <w:pStyle w:val="BodyText"/>
        <w:numPr>
          <w:ilvl w:val="0"/>
          <w:numId w:val="23"/>
        </w:numPr>
      </w:pPr>
      <w:r>
        <w:t>Couple/family with children at home</w:t>
      </w:r>
    </w:p>
    <w:p w:rsidR="007C6A5F" w:rsidRDefault="007C6A5F" w:rsidP="005A6F87">
      <w:pPr>
        <w:pStyle w:val="BodyText"/>
        <w:numPr>
          <w:ilvl w:val="0"/>
          <w:numId w:val="23"/>
        </w:numPr>
      </w:pPr>
      <w:r>
        <w:t>One parent family</w:t>
      </w:r>
    </w:p>
    <w:p w:rsidR="007C6A5F" w:rsidRDefault="007C6A5F" w:rsidP="005A6F87">
      <w:pPr>
        <w:pStyle w:val="BodyText"/>
        <w:numPr>
          <w:ilvl w:val="0"/>
          <w:numId w:val="23"/>
        </w:numPr>
      </w:pPr>
      <w:bookmarkStart w:id="9910" w:name="_Ref2088742"/>
      <w:r>
        <w:t>Group household</w:t>
      </w:r>
      <w:bookmarkEnd w:id="9910"/>
    </w:p>
    <w:p w:rsidR="007C6A5F" w:rsidRDefault="007C6A5F" w:rsidP="005A6F87">
      <w:pPr>
        <w:pStyle w:val="BodyText"/>
        <w:numPr>
          <w:ilvl w:val="0"/>
          <w:numId w:val="23"/>
        </w:numPr>
      </w:pPr>
      <w:r>
        <w:t>Single person household</w:t>
      </w:r>
    </w:p>
    <w:p w:rsidR="007C6A5F" w:rsidRDefault="007C6A5F" w:rsidP="005A6F87">
      <w:pPr>
        <w:pStyle w:val="BodyText"/>
        <w:numPr>
          <w:ilvl w:val="0"/>
          <w:numId w:val="23"/>
        </w:numPr>
      </w:pPr>
      <w:r>
        <w:t>Cared accommodation (e.g. nursing home, aged care hostel)</w:t>
      </w:r>
    </w:p>
    <w:p w:rsidR="007C6A5F" w:rsidRDefault="007C6A5F" w:rsidP="005A6F87">
      <w:pPr>
        <w:pStyle w:val="BodyText"/>
        <w:numPr>
          <w:ilvl w:val="0"/>
          <w:numId w:val="23"/>
        </w:numPr>
      </w:pPr>
      <w:r>
        <w:t>Other</w:t>
      </w:r>
      <w:r>
        <w:tab/>
      </w:r>
    </w:p>
    <w:p w:rsidR="007C6A5F" w:rsidRDefault="007C6A5F" w:rsidP="007C6A5F">
      <w:pPr>
        <w:pStyle w:val="BodyText"/>
      </w:pPr>
    </w:p>
    <w:p w:rsidR="007C6A5F" w:rsidRDefault="007C6A5F" w:rsidP="007C6A5F">
      <w:pPr>
        <w:spacing w:before="140"/>
        <w:rPr>
          <w:rFonts w:asciiTheme="minorHAnsi" w:eastAsia="Times New Roman" w:hAnsiTheme="minorHAnsi"/>
        </w:rPr>
      </w:pPr>
      <w:r>
        <w:br w:type="page"/>
      </w:r>
    </w:p>
    <w:p w:rsidR="007C6A5F" w:rsidRDefault="007C6A5F" w:rsidP="005A6F87">
      <w:pPr>
        <w:pStyle w:val="BodyText"/>
        <w:numPr>
          <w:ilvl w:val="0"/>
          <w:numId w:val="19"/>
        </w:numPr>
      </w:pPr>
      <w:r>
        <w:lastRenderedPageBreak/>
        <w:t>What is your work status?</w:t>
      </w:r>
    </w:p>
    <w:p w:rsidR="007C6A5F" w:rsidRDefault="007C6A5F" w:rsidP="005A6F87">
      <w:pPr>
        <w:pStyle w:val="BodyText"/>
        <w:numPr>
          <w:ilvl w:val="0"/>
          <w:numId w:val="24"/>
        </w:numPr>
      </w:pPr>
      <w:r>
        <w:t>Working full time</w:t>
      </w:r>
    </w:p>
    <w:p w:rsidR="007C6A5F" w:rsidRDefault="007C6A5F" w:rsidP="005A6F87">
      <w:pPr>
        <w:pStyle w:val="BodyText"/>
        <w:numPr>
          <w:ilvl w:val="0"/>
          <w:numId w:val="24"/>
        </w:numPr>
      </w:pPr>
      <w:r>
        <w:t>Working part time/casually</w:t>
      </w:r>
    </w:p>
    <w:p w:rsidR="007C6A5F" w:rsidRDefault="007C6A5F" w:rsidP="005A6F87">
      <w:pPr>
        <w:pStyle w:val="BodyText"/>
        <w:numPr>
          <w:ilvl w:val="0"/>
          <w:numId w:val="24"/>
        </w:numPr>
      </w:pPr>
      <w:r>
        <w:t>Student</w:t>
      </w:r>
    </w:p>
    <w:p w:rsidR="007C6A5F" w:rsidRDefault="007C6A5F" w:rsidP="005A6F87">
      <w:pPr>
        <w:pStyle w:val="BodyText"/>
        <w:numPr>
          <w:ilvl w:val="0"/>
          <w:numId w:val="24"/>
        </w:numPr>
      </w:pPr>
      <w:r>
        <w:t>Not currently employed</w:t>
      </w:r>
    </w:p>
    <w:p w:rsidR="007C6A5F" w:rsidRDefault="007C6A5F" w:rsidP="005A6F87">
      <w:pPr>
        <w:pStyle w:val="BodyText"/>
        <w:numPr>
          <w:ilvl w:val="0"/>
          <w:numId w:val="24"/>
        </w:numPr>
      </w:pPr>
      <w:r>
        <w:t>Home duties</w:t>
      </w:r>
    </w:p>
    <w:p w:rsidR="007C6A5F" w:rsidRDefault="007C6A5F" w:rsidP="005A6F87">
      <w:pPr>
        <w:pStyle w:val="BodyText"/>
        <w:numPr>
          <w:ilvl w:val="0"/>
          <w:numId w:val="24"/>
        </w:numPr>
      </w:pPr>
      <w:r>
        <w:t>Retired</w:t>
      </w:r>
    </w:p>
    <w:p w:rsidR="007C6A5F" w:rsidRDefault="007C6A5F" w:rsidP="005A6F87">
      <w:pPr>
        <w:pStyle w:val="BodyText"/>
        <w:numPr>
          <w:ilvl w:val="0"/>
          <w:numId w:val="24"/>
        </w:numPr>
      </w:pPr>
      <w:r>
        <w:t>Other</w:t>
      </w:r>
    </w:p>
    <w:p w:rsidR="007C6A5F" w:rsidRDefault="007C6A5F" w:rsidP="007C6A5F">
      <w:pPr>
        <w:pStyle w:val="BodyText"/>
      </w:pPr>
    </w:p>
    <w:p w:rsidR="007C6A5F" w:rsidRDefault="007C6A5F" w:rsidP="007C6A5F">
      <w:pPr>
        <w:spacing w:before="140"/>
        <w:rPr>
          <w:rStyle w:val="DraftingNote"/>
          <w:rFonts w:eastAsia="Times New Roman"/>
        </w:rPr>
      </w:pPr>
      <w:r>
        <w:rPr>
          <w:rStyle w:val="DraftingNote"/>
        </w:rPr>
        <w:br w:type="page"/>
      </w:r>
    </w:p>
    <w:p w:rsidR="007C6A5F" w:rsidRDefault="007C6A5F" w:rsidP="005A6F87">
      <w:pPr>
        <w:pStyle w:val="BodyText"/>
        <w:numPr>
          <w:ilvl w:val="0"/>
          <w:numId w:val="19"/>
        </w:numPr>
      </w:pPr>
      <w:r>
        <w:rPr>
          <w:rStyle w:val="DraftingNote"/>
        </w:rPr>
        <w:lastRenderedPageBreak/>
        <w:t xml:space="preserve">IF ANSWERED </w:t>
      </w:r>
      <w:r w:rsidRPr="00FC2879">
        <w:rPr>
          <w:rStyle w:val="DraftingNote"/>
          <w:i/>
        </w:rPr>
        <w:t>NOT</w:t>
      </w:r>
      <w:r>
        <w:rPr>
          <w:rStyle w:val="DraftingNote"/>
        </w:rPr>
        <w:t xml:space="preserve"> </w:t>
      </w:r>
      <w:r>
        <w:rPr>
          <w:rStyle w:val="DraftingNote"/>
        </w:rPr>
        <w:fldChar w:fldCharType="begin"/>
      </w:r>
      <w:r>
        <w:rPr>
          <w:rStyle w:val="DraftingNote"/>
        </w:rPr>
        <w:instrText xml:space="preserve"> REF _Ref2088742 \r \h </w:instrText>
      </w:r>
      <w:r>
        <w:rPr>
          <w:rStyle w:val="DraftingNote"/>
        </w:rPr>
      </w:r>
      <w:r>
        <w:rPr>
          <w:rStyle w:val="DraftingNote"/>
        </w:rPr>
        <w:fldChar w:fldCharType="separate"/>
      </w:r>
      <w:r>
        <w:rPr>
          <w:rStyle w:val="DraftingNote"/>
        </w:rPr>
        <w:t>d</w:t>
      </w:r>
      <w:r>
        <w:rPr>
          <w:rStyle w:val="DraftingNote"/>
        </w:rPr>
        <w:fldChar w:fldCharType="end"/>
      </w:r>
      <w:r>
        <w:rPr>
          <w:rStyle w:val="DraftingNote"/>
        </w:rPr>
        <w:t xml:space="preserve"> or f in Q</w:t>
      </w:r>
      <w:r>
        <w:rPr>
          <w:rStyle w:val="DraftingNote"/>
        </w:rPr>
        <w:fldChar w:fldCharType="begin"/>
      </w:r>
      <w:r>
        <w:rPr>
          <w:rStyle w:val="DraftingNote"/>
        </w:rPr>
        <w:instrText xml:space="preserve"> REF _Ref26435202 \r \h </w:instrText>
      </w:r>
      <w:r>
        <w:rPr>
          <w:rStyle w:val="DraftingNote"/>
        </w:rPr>
      </w:r>
      <w:r>
        <w:rPr>
          <w:rStyle w:val="DraftingNote"/>
        </w:rPr>
        <w:fldChar w:fldCharType="separate"/>
      </w:r>
      <w:r>
        <w:rPr>
          <w:rStyle w:val="DraftingNote"/>
        </w:rPr>
        <w:t>41</w:t>
      </w:r>
      <w:r>
        <w:rPr>
          <w:rStyle w:val="DraftingNote"/>
        </w:rPr>
        <w:fldChar w:fldCharType="end"/>
      </w:r>
      <w:r>
        <w:t xml:space="preserve"> What is your approximate annual </w:t>
      </w:r>
      <w:r w:rsidRPr="00256518">
        <w:t>household</w:t>
      </w:r>
      <w:r>
        <w:t xml:space="preserve"> income before tax?</w:t>
      </w:r>
    </w:p>
    <w:p w:rsidR="007C6A5F" w:rsidRDefault="007C6A5F" w:rsidP="005A6F87">
      <w:pPr>
        <w:pStyle w:val="BodyText"/>
        <w:numPr>
          <w:ilvl w:val="0"/>
          <w:numId w:val="25"/>
        </w:numPr>
      </w:pPr>
      <w:r>
        <w:t>Less than $41,600 per year (less than $800 per week)</w:t>
      </w:r>
    </w:p>
    <w:p w:rsidR="007C6A5F" w:rsidRDefault="007C6A5F" w:rsidP="005A6F87">
      <w:pPr>
        <w:pStyle w:val="BodyText"/>
        <w:numPr>
          <w:ilvl w:val="0"/>
          <w:numId w:val="25"/>
        </w:numPr>
      </w:pPr>
      <w:r>
        <w:t>$41,600 - $78,000 per year ($800 - $1,500 per week)</w:t>
      </w:r>
    </w:p>
    <w:p w:rsidR="007C6A5F" w:rsidRDefault="007C6A5F" w:rsidP="005A6F87">
      <w:pPr>
        <w:pStyle w:val="BodyText"/>
        <w:numPr>
          <w:ilvl w:val="0"/>
          <w:numId w:val="25"/>
        </w:numPr>
      </w:pPr>
      <w:r>
        <w:t>$78,000 - $104,000 per year ($1,500 - $2,000 per week)</w:t>
      </w:r>
    </w:p>
    <w:p w:rsidR="007C6A5F" w:rsidRDefault="007C6A5F" w:rsidP="005A6F87">
      <w:pPr>
        <w:pStyle w:val="BodyText"/>
        <w:numPr>
          <w:ilvl w:val="0"/>
          <w:numId w:val="25"/>
        </w:numPr>
      </w:pPr>
      <w:r>
        <w:t>$104,000 - $156,000 per year ($2,000 - $3,000 per week)</w:t>
      </w:r>
    </w:p>
    <w:p w:rsidR="007C6A5F" w:rsidRDefault="007C6A5F" w:rsidP="005A6F87">
      <w:pPr>
        <w:pStyle w:val="BodyText"/>
        <w:numPr>
          <w:ilvl w:val="0"/>
          <w:numId w:val="25"/>
        </w:numPr>
      </w:pPr>
      <w:r>
        <w:t>More than $156,000 per year (more than $3,000 per week)</w:t>
      </w:r>
    </w:p>
    <w:p w:rsidR="007C6A5F" w:rsidRDefault="007C6A5F" w:rsidP="005A6F87">
      <w:pPr>
        <w:pStyle w:val="BodyText"/>
        <w:numPr>
          <w:ilvl w:val="0"/>
          <w:numId w:val="25"/>
        </w:numPr>
      </w:pPr>
      <w:r>
        <w:t>Do not wish to answer</w:t>
      </w:r>
    </w:p>
    <w:p w:rsidR="007C6A5F" w:rsidRDefault="007C6A5F" w:rsidP="007C6A5F">
      <w:pPr>
        <w:pStyle w:val="BodyText"/>
        <w:ind w:left="720"/>
        <w:rPr>
          <w:rStyle w:val="DraftingNote"/>
          <w:b w:val="0"/>
        </w:rPr>
      </w:pPr>
    </w:p>
    <w:p w:rsidR="007C6A5F" w:rsidRDefault="007C6A5F" w:rsidP="005A6F87">
      <w:pPr>
        <w:pStyle w:val="BodyText"/>
        <w:numPr>
          <w:ilvl w:val="0"/>
          <w:numId w:val="19"/>
        </w:numPr>
      </w:pPr>
      <w:r>
        <w:rPr>
          <w:rStyle w:val="DraftingNote"/>
        </w:rPr>
        <w:t xml:space="preserve">IF ANSWERED </w:t>
      </w:r>
      <w:r>
        <w:rPr>
          <w:rStyle w:val="DraftingNote"/>
        </w:rPr>
        <w:fldChar w:fldCharType="begin"/>
      </w:r>
      <w:r>
        <w:rPr>
          <w:rStyle w:val="DraftingNote"/>
        </w:rPr>
        <w:instrText xml:space="preserve"> REF _Ref2088742 \r \h </w:instrText>
      </w:r>
      <w:r>
        <w:rPr>
          <w:rStyle w:val="DraftingNote"/>
        </w:rPr>
      </w:r>
      <w:r>
        <w:rPr>
          <w:rStyle w:val="DraftingNote"/>
        </w:rPr>
        <w:fldChar w:fldCharType="separate"/>
      </w:r>
      <w:r>
        <w:rPr>
          <w:rStyle w:val="DraftingNote"/>
        </w:rPr>
        <w:t>d</w:t>
      </w:r>
      <w:r>
        <w:rPr>
          <w:rStyle w:val="DraftingNote"/>
        </w:rPr>
        <w:fldChar w:fldCharType="end"/>
      </w:r>
      <w:r>
        <w:rPr>
          <w:rStyle w:val="DraftingNote"/>
        </w:rPr>
        <w:t xml:space="preserve"> or f in Q</w:t>
      </w:r>
      <w:r>
        <w:rPr>
          <w:rStyle w:val="DraftingNote"/>
        </w:rPr>
        <w:fldChar w:fldCharType="begin"/>
      </w:r>
      <w:r>
        <w:rPr>
          <w:rStyle w:val="DraftingNote"/>
        </w:rPr>
        <w:instrText xml:space="preserve"> REF _Ref26435202 \r \h </w:instrText>
      </w:r>
      <w:r>
        <w:rPr>
          <w:rStyle w:val="DraftingNote"/>
        </w:rPr>
      </w:r>
      <w:r>
        <w:rPr>
          <w:rStyle w:val="DraftingNote"/>
        </w:rPr>
        <w:fldChar w:fldCharType="separate"/>
      </w:r>
      <w:r>
        <w:rPr>
          <w:rStyle w:val="DraftingNote"/>
        </w:rPr>
        <w:t>41</w:t>
      </w:r>
      <w:r>
        <w:rPr>
          <w:rStyle w:val="DraftingNote"/>
        </w:rPr>
        <w:fldChar w:fldCharType="end"/>
      </w:r>
      <w:r>
        <w:t xml:space="preserve"> What is your approximate annual </w:t>
      </w:r>
      <w:r w:rsidRPr="00256518">
        <w:t>personal</w:t>
      </w:r>
      <w:r>
        <w:t xml:space="preserve"> income before tax?</w:t>
      </w:r>
    </w:p>
    <w:p w:rsidR="007C6A5F" w:rsidRDefault="007C6A5F" w:rsidP="005A6F87">
      <w:pPr>
        <w:pStyle w:val="BodyText"/>
        <w:numPr>
          <w:ilvl w:val="0"/>
          <w:numId w:val="47"/>
        </w:numPr>
      </w:pPr>
      <w:r>
        <w:t>Less than $41,600 per year (less than $800 per week)</w:t>
      </w:r>
    </w:p>
    <w:p w:rsidR="007C6A5F" w:rsidRDefault="007C6A5F" w:rsidP="005A6F87">
      <w:pPr>
        <w:pStyle w:val="BodyText"/>
        <w:numPr>
          <w:ilvl w:val="0"/>
          <w:numId w:val="47"/>
        </w:numPr>
      </w:pPr>
      <w:r>
        <w:t>$41,600 - $78,000 per year ($800 - $1,500 per week)</w:t>
      </w:r>
    </w:p>
    <w:p w:rsidR="007C6A5F" w:rsidRDefault="007C6A5F" w:rsidP="005A6F87">
      <w:pPr>
        <w:pStyle w:val="BodyText"/>
        <w:numPr>
          <w:ilvl w:val="0"/>
          <w:numId w:val="47"/>
        </w:numPr>
      </w:pPr>
      <w:r>
        <w:t>$78,000 - $104,000 per year ($1,500 - $2,000 per week)</w:t>
      </w:r>
    </w:p>
    <w:p w:rsidR="007C6A5F" w:rsidRDefault="007C6A5F" w:rsidP="005A6F87">
      <w:pPr>
        <w:pStyle w:val="BodyText"/>
        <w:numPr>
          <w:ilvl w:val="0"/>
          <w:numId w:val="47"/>
        </w:numPr>
      </w:pPr>
      <w:r>
        <w:t>$104,000 - $156,000 per year ($2,000 - $3,000 per week)</w:t>
      </w:r>
    </w:p>
    <w:p w:rsidR="007C6A5F" w:rsidRDefault="007C6A5F" w:rsidP="005A6F87">
      <w:pPr>
        <w:pStyle w:val="BodyText"/>
        <w:numPr>
          <w:ilvl w:val="0"/>
          <w:numId w:val="47"/>
        </w:numPr>
      </w:pPr>
      <w:r>
        <w:t>More than $156,000 per year (more than $3,000 per week)</w:t>
      </w:r>
    </w:p>
    <w:p w:rsidR="007C6A5F" w:rsidRDefault="007C6A5F" w:rsidP="005A6F87">
      <w:pPr>
        <w:pStyle w:val="BodyText"/>
        <w:numPr>
          <w:ilvl w:val="0"/>
          <w:numId w:val="47"/>
        </w:numPr>
      </w:pPr>
      <w:r>
        <w:t>Do not wish to answer</w:t>
      </w:r>
    </w:p>
    <w:p w:rsidR="007C6A5F" w:rsidRDefault="007C6A5F" w:rsidP="007C6A5F">
      <w:pPr>
        <w:pStyle w:val="BodyText"/>
        <w:ind w:left="720"/>
        <w:rPr>
          <w:rStyle w:val="DraftingNote"/>
          <w:b w:val="0"/>
        </w:rPr>
      </w:pPr>
    </w:p>
    <w:p w:rsidR="007C6A5F" w:rsidRDefault="007C6A5F" w:rsidP="007C6A5F">
      <w:pPr>
        <w:spacing w:before="140"/>
        <w:rPr>
          <w:rFonts w:asciiTheme="minorHAnsi" w:eastAsia="Times New Roman" w:hAnsiTheme="minorHAnsi"/>
        </w:rPr>
      </w:pPr>
      <w:r>
        <w:br w:type="page"/>
      </w:r>
    </w:p>
    <w:p w:rsidR="007C6A5F" w:rsidRDefault="007C6A5F" w:rsidP="005A6F87">
      <w:pPr>
        <w:pStyle w:val="BodyText"/>
        <w:numPr>
          <w:ilvl w:val="0"/>
          <w:numId w:val="19"/>
        </w:numPr>
      </w:pPr>
      <w:r>
        <w:lastRenderedPageBreak/>
        <w:t>Finally, is there any feedback you would like to provide on this survey?</w:t>
      </w:r>
    </w:p>
    <w:p w:rsidR="007C6A5F" w:rsidRDefault="007C6A5F" w:rsidP="007C6A5F">
      <w:pPr>
        <w:pStyle w:val="BodyText"/>
        <w:ind w:left="720"/>
      </w:pPr>
      <w:r>
        <w:t>_____________________________________________________________________________________________________________________________________________________________________________________________________________________________________________</w:t>
      </w:r>
    </w:p>
    <w:p w:rsidR="007C6A5F" w:rsidRDefault="007C6A5F" w:rsidP="007C6A5F">
      <w:pPr>
        <w:pStyle w:val="BodyText"/>
      </w:pPr>
    </w:p>
    <w:p w:rsidR="007C6A5F" w:rsidRPr="003822C2" w:rsidRDefault="007C6A5F" w:rsidP="007C6A5F">
      <w:pPr>
        <w:pStyle w:val="BodyText"/>
        <w:rPr>
          <w:lang w:bidi="fa-IR"/>
        </w:rPr>
      </w:pPr>
      <w:r>
        <w:t>Thank you for participating in this survey. Your opinions are very important.</w:t>
      </w:r>
    </w:p>
    <w:p w:rsidR="007C6A5F" w:rsidRPr="00B12865" w:rsidRDefault="007C6A5F" w:rsidP="007C6A5F">
      <w:pPr>
        <w:pStyle w:val="BodyText"/>
        <w:rPr>
          <w:lang w:eastAsia="en-US"/>
        </w:rPr>
      </w:pPr>
    </w:p>
    <w:p w:rsidR="007C6A5F" w:rsidRPr="00B12865" w:rsidRDefault="007C6A5F" w:rsidP="007C6A5F">
      <w:pPr>
        <w:pStyle w:val="BodyText"/>
        <w:rPr>
          <w:lang w:eastAsia="en-US"/>
        </w:rPr>
      </w:pPr>
    </w:p>
    <w:p w:rsidR="007C6A5F" w:rsidRPr="0095339A" w:rsidRDefault="007C6A5F" w:rsidP="007C6A5F">
      <w:pPr>
        <w:pStyle w:val="BodyText"/>
        <w:rPr>
          <w:lang w:eastAsia="en-US"/>
        </w:rPr>
      </w:pPr>
    </w:p>
    <w:p w:rsidR="007C6A5F" w:rsidRDefault="007C6A5F" w:rsidP="007C6A5F">
      <w:pPr>
        <w:pStyle w:val="Heading6"/>
        <w:numPr>
          <w:ilvl w:val="5"/>
          <w:numId w:val="5"/>
        </w:numPr>
        <w:rPr>
          <w:lang w:bidi="fa-IR"/>
        </w:rPr>
      </w:pPr>
      <w:bookmarkStart w:id="9911" w:name="_Ref32940317"/>
      <w:bookmarkStart w:id="9912" w:name="_Toc44598475"/>
      <w:bookmarkStart w:id="9913" w:name="_Toc45654106"/>
      <w:r>
        <w:rPr>
          <w:lang w:bidi="fa-IR"/>
        </w:rPr>
        <w:lastRenderedPageBreak/>
        <w:t>Consultation summary</w:t>
      </w:r>
      <w:bookmarkEnd w:id="9911"/>
      <w:bookmarkEnd w:id="9912"/>
      <w:bookmarkEnd w:id="9913"/>
    </w:p>
    <w:p w:rsidR="007C6A5F" w:rsidRDefault="007C6A5F" w:rsidP="007C6A5F">
      <w:pPr>
        <w:pStyle w:val="BodyText"/>
        <w:rPr>
          <w:lang w:bidi="fa-IR"/>
        </w:rPr>
      </w:pPr>
      <w:r>
        <w:rPr>
          <w:lang w:bidi="fa-IR"/>
        </w:rPr>
        <w:t>The CIE sincerely thanks stakeholders who kindly provided their time and insights.</w:t>
      </w:r>
    </w:p>
    <w:p w:rsidR="007C6A5F" w:rsidRDefault="007C6A5F" w:rsidP="007C6A5F">
      <w:pPr>
        <w:pStyle w:val="Heading8"/>
        <w:numPr>
          <w:ilvl w:val="7"/>
          <w:numId w:val="5"/>
        </w:numPr>
        <w:rPr>
          <w:lang w:bidi="fa-IR"/>
        </w:rPr>
      </w:pPr>
      <w:r>
        <w:rPr>
          <w:lang w:bidi="fa-IR"/>
        </w:rPr>
        <w:t>Overview of consultation process</w:t>
      </w:r>
    </w:p>
    <w:p w:rsidR="007C6A5F" w:rsidRDefault="007C6A5F" w:rsidP="007C6A5F">
      <w:pPr>
        <w:pStyle w:val="BodyText"/>
        <w:rPr>
          <w:lang w:bidi="fa-IR"/>
        </w:rPr>
      </w:pPr>
      <w:r>
        <w:rPr>
          <w:lang w:bidi="fa-IR"/>
        </w:rPr>
        <w:t>For this report, The CIE and DCWC conducted two types of consultations.</w:t>
      </w:r>
    </w:p>
    <w:p w:rsidR="007C6A5F" w:rsidRDefault="007C6A5F" w:rsidP="005A6F87">
      <w:pPr>
        <w:pStyle w:val="ListNumber"/>
        <w:numPr>
          <w:ilvl w:val="0"/>
          <w:numId w:val="16"/>
        </w:numPr>
        <w:rPr>
          <w:lang w:bidi="fa-IR"/>
        </w:rPr>
      </w:pPr>
      <w:r>
        <w:rPr>
          <w:lang w:bidi="fa-IR"/>
        </w:rPr>
        <w:t>On 29 November 2019, at ABCB’s offices, we hosted a costing workshop, where stakeholders discussed how the proposed NCC changes will impact construction costs, and DCWC’s methodology for estimating these impacts.</w:t>
      </w:r>
    </w:p>
    <w:p w:rsidR="007C6A5F" w:rsidRDefault="007C6A5F" w:rsidP="005A6F87">
      <w:pPr>
        <w:pStyle w:val="ListNumber"/>
        <w:numPr>
          <w:ilvl w:val="0"/>
          <w:numId w:val="10"/>
        </w:numPr>
        <w:rPr>
          <w:lang w:bidi="fa-IR"/>
        </w:rPr>
      </w:pPr>
      <w:r>
        <w:rPr>
          <w:lang w:bidi="fa-IR"/>
        </w:rPr>
        <w:t>To further inform the development of the Consultation RIS, the CIE undertook a targeted consultation process over the November 2019 to January 2020 period, and again in May 2020. Consultations were guided by an Issues Paper setting out the CIE’s preliminary views on the issues that need to be addressed in the RIS.</w:t>
      </w:r>
    </w:p>
    <w:p w:rsidR="007C6A5F" w:rsidRDefault="007C6A5F" w:rsidP="007C6A5F">
      <w:pPr>
        <w:pStyle w:val="ListNumber"/>
        <w:numPr>
          <w:ilvl w:val="0"/>
          <w:numId w:val="0"/>
        </w:numPr>
        <w:ind w:left="284" w:hanging="284"/>
        <w:rPr>
          <w:lang w:bidi="fa-IR"/>
        </w:rPr>
      </w:pPr>
      <w:r>
        <w:rPr>
          <w:lang w:bidi="fa-IR"/>
        </w:rPr>
        <w:t>The participants in these consultations are as follows.</w:t>
      </w:r>
    </w:p>
    <w:p w:rsidR="007C6A5F" w:rsidRDefault="007C6A5F" w:rsidP="007C6A5F">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M</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M</w:instrText>
      </w:r>
      <w:r>
        <w:rPr>
          <w:noProof/>
        </w:rPr>
        <w:fldChar w:fldCharType="end"/>
      </w:r>
      <w:r w:rsidRPr="00695C93">
        <w:instrText xml:space="preserve">." </w:instrText>
      </w:r>
      <w:r w:rsidRPr="00695C93">
        <w:fldChar w:fldCharType="separate"/>
      </w:r>
      <w:r>
        <w:rPr>
          <w:noProof/>
        </w:rPr>
        <w:instrText>M</w:instrText>
      </w:r>
      <w:r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Pr>
          <w:noProof/>
        </w:rPr>
        <w:instrText>M</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Pr="00695C93">
        <w:rPr>
          <w:noProof/>
        </w:rPr>
        <w:instrText>6</w:instrText>
      </w:r>
      <w:r w:rsidRPr="00695C93">
        <w:fldChar w:fldCharType="end"/>
      </w:r>
      <w:r w:rsidRPr="00695C93">
        <w:instrText xml:space="preserve"> </w:instrText>
      </w:r>
      <w:r w:rsidRPr="00695C93">
        <w:fldChar w:fldCharType="separate"/>
      </w:r>
      <w:r>
        <w:rPr>
          <w:noProof/>
        </w:rPr>
        <w:instrText>1</w:instrText>
      </w:r>
      <w:r w:rsidRPr="00695C93">
        <w:fldChar w:fldCharType="end"/>
      </w:r>
      <w:r w:rsidRPr="00695C93">
        <w:instrText xml:space="preserve">" "" </w:instrText>
      </w:r>
      <w:r w:rsidRPr="00695C93">
        <w:fldChar w:fldCharType="separate"/>
      </w:r>
      <w:bookmarkStart w:id="9914" w:name="_Caption0732"/>
      <w:bookmarkStart w:id="9915" w:name="_Caption1911"/>
      <w:bookmarkStart w:id="9916" w:name="_Caption8443"/>
      <w:bookmarkStart w:id="9917" w:name="_Caption5055"/>
      <w:bookmarkStart w:id="9918" w:name="_Toc44598653"/>
      <w:bookmarkStart w:id="9919" w:name="_Toc45654284"/>
      <w:r>
        <w:rPr>
          <w:noProof/>
        </w:rPr>
        <w:t>M</w:t>
      </w:r>
      <w:r w:rsidRPr="00695C93">
        <w:rPr>
          <w:noProof/>
        </w:rPr>
        <w:t>.</w:t>
      </w:r>
      <w:r>
        <w:rPr>
          <w:noProof/>
        </w:rPr>
        <w:t>1</w:t>
      </w:r>
      <w:bookmarkEnd w:id="9914"/>
      <w:bookmarkEnd w:id="9915"/>
      <w:bookmarkEnd w:id="9916"/>
      <w:bookmarkEnd w:id="9917"/>
      <w:r w:rsidRPr="00695C93">
        <w:fldChar w:fldCharType="end"/>
      </w:r>
      <w:r w:rsidRPr="00695C93">
        <w:tab/>
      </w:r>
      <w:bookmarkStart w:id="9920" w:name="_Toc34122605"/>
      <w:r>
        <w:t>Stakeholder who were consulted for this project</w:t>
      </w:r>
      <w:bookmarkEnd w:id="9918"/>
      <w:bookmarkEnd w:id="9919"/>
      <w:bookmarkEnd w:id="9920"/>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Caption w:val="Table M.1"/>
        <w:tblDescription w:val="Stakeholder who were consulted for this project"/>
      </w:tblPr>
      <w:tblGrid>
        <w:gridCol w:w="2645"/>
        <w:gridCol w:w="2646"/>
        <w:gridCol w:w="2646"/>
      </w:tblGrid>
      <w:tr w:rsidR="007C6A5F" w:rsidTr="00B5160B">
        <w:trPr>
          <w:tblHeader/>
        </w:trPr>
        <w:tc>
          <w:tcPr>
            <w:tcW w:w="2645" w:type="dxa"/>
            <w:tcBorders>
              <w:top w:val="single" w:sz="8" w:space="0" w:color="FFFFFF" w:themeColor="background1"/>
              <w:bottom w:val="single" w:sz="8" w:space="0" w:color="FFFFFF" w:themeColor="background1"/>
            </w:tcBorders>
            <w:shd w:val="clear" w:color="auto" w:fill="6F6652" w:themeFill="accent5"/>
          </w:tcPr>
          <w:p w:rsidR="007C6A5F" w:rsidRDefault="0027127E" w:rsidP="00C36DA4">
            <w:pPr>
              <w:pStyle w:val="TableTextColumnHeading"/>
              <w:rPr>
                <w:lang w:bidi="fa-IR"/>
              </w:rPr>
            </w:pPr>
            <w:r>
              <w:rPr>
                <w:lang w:bidi="fa-IR"/>
              </w:rPr>
              <w:t>Consultation format</w:t>
            </w:r>
          </w:p>
        </w:tc>
        <w:tc>
          <w:tcPr>
            <w:tcW w:w="2646" w:type="dxa"/>
            <w:tcBorders>
              <w:top w:val="single" w:sz="8" w:space="0" w:color="FFFFFF" w:themeColor="background1"/>
              <w:bottom w:val="single" w:sz="8" w:space="0" w:color="FFFFFF" w:themeColor="background1"/>
            </w:tcBorders>
            <w:shd w:val="clear" w:color="auto" w:fill="6F6652" w:themeFill="accent5"/>
          </w:tcPr>
          <w:p w:rsidR="007C6A5F" w:rsidRDefault="0027127E" w:rsidP="00C36DA4">
            <w:pPr>
              <w:pStyle w:val="TableTextColumnHeading"/>
              <w:rPr>
                <w:lang w:bidi="fa-IR"/>
              </w:rPr>
            </w:pPr>
            <w:r>
              <w:rPr>
                <w:lang w:bidi="fa-IR"/>
              </w:rPr>
              <w:t>Stakeholder</w:t>
            </w:r>
          </w:p>
        </w:tc>
        <w:tc>
          <w:tcPr>
            <w:tcW w:w="2646" w:type="dxa"/>
            <w:tcBorders>
              <w:top w:val="single" w:sz="8" w:space="0" w:color="FFFFFF" w:themeColor="background1"/>
              <w:bottom w:val="single" w:sz="8" w:space="0" w:color="FFFFFF" w:themeColor="background1"/>
            </w:tcBorders>
            <w:shd w:val="clear" w:color="auto" w:fill="6F6652" w:themeFill="accent5"/>
          </w:tcPr>
          <w:p w:rsidR="007C6A5F" w:rsidRDefault="007C6A5F" w:rsidP="00DE71A3">
            <w:pPr>
              <w:pStyle w:val="TableTextColumnHeading"/>
              <w:jc w:val="right"/>
              <w:rPr>
                <w:lang w:bidi="fa-IR"/>
              </w:rPr>
            </w:pPr>
            <w:r>
              <w:rPr>
                <w:lang w:bidi="fa-IR"/>
              </w:rPr>
              <w:t>Date of discussion</w:t>
            </w:r>
          </w:p>
        </w:tc>
      </w:tr>
      <w:tr w:rsidR="0027127E" w:rsidTr="00B5160B">
        <w:tc>
          <w:tcPr>
            <w:tcW w:w="2645"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Pr>
                <w:lang w:bidi="fa-IR"/>
              </w:rPr>
              <w:t>Costing workshop</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Pr>
                <w:lang w:bidi="fa-IR"/>
              </w:rPr>
              <w:t>Housing Industry Association</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jc w:val="right"/>
              <w:rPr>
                <w:lang w:bidi="fa-IR"/>
              </w:rPr>
            </w:pPr>
            <w:r>
              <w:rPr>
                <w:lang w:bidi="fa-IR"/>
              </w:rPr>
              <w:t>29 November 2019</w:t>
            </w:r>
          </w:p>
        </w:tc>
      </w:tr>
      <w:tr w:rsidR="0027127E" w:rsidTr="00B5160B">
        <w:tc>
          <w:tcPr>
            <w:tcW w:w="2645"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sidRPr="0051588A">
              <w:rPr>
                <w:lang w:bidi="fa-IR"/>
              </w:rPr>
              <w:t>Costing workshop</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Pr>
                <w:lang w:bidi="fa-IR"/>
              </w:rPr>
              <w:t>Master Builders Australia</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jc w:val="right"/>
              <w:rPr>
                <w:lang w:bidi="fa-IR"/>
              </w:rPr>
            </w:pPr>
            <w:r>
              <w:rPr>
                <w:lang w:bidi="fa-IR"/>
              </w:rPr>
              <w:t>29 November 2019</w:t>
            </w:r>
          </w:p>
        </w:tc>
      </w:tr>
      <w:tr w:rsidR="0027127E" w:rsidTr="00B5160B">
        <w:tc>
          <w:tcPr>
            <w:tcW w:w="2645"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sidRPr="0051588A">
              <w:rPr>
                <w:lang w:bidi="fa-IR"/>
              </w:rPr>
              <w:t>Costing workshop</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Pr>
                <w:lang w:bidi="fa-IR"/>
              </w:rPr>
              <w:t>Galbraith Scott</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jc w:val="right"/>
              <w:rPr>
                <w:lang w:bidi="fa-IR"/>
              </w:rPr>
            </w:pPr>
            <w:r>
              <w:rPr>
                <w:lang w:bidi="fa-IR"/>
              </w:rPr>
              <w:t>29 November 2019</w:t>
            </w:r>
          </w:p>
        </w:tc>
      </w:tr>
      <w:tr w:rsidR="0027127E" w:rsidTr="00B5160B">
        <w:tc>
          <w:tcPr>
            <w:tcW w:w="2645"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Pr>
                <w:lang w:bidi="fa-IR"/>
              </w:rPr>
              <w:t>Separate discussions</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Pr>
                <w:lang w:bidi="fa-IR"/>
              </w:rPr>
              <w:t>Australian Network of Universal Housing Design (ANUHD)</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jc w:val="right"/>
              <w:rPr>
                <w:lang w:bidi="fa-IR"/>
              </w:rPr>
            </w:pPr>
            <w:r>
              <w:rPr>
                <w:lang w:bidi="fa-IR"/>
              </w:rPr>
              <w:t>26 November 2019</w:t>
            </w:r>
          </w:p>
        </w:tc>
      </w:tr>
      <w:tr w:rsidR="0027127E" w:rsidTr="00B5160B">
        <w:tc>
          <w:tcPr>
            <w:tcW w:w="2645"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sidRPr="008F0B6A">
              <w:rPr>
                <w:lang w:bidi="fa-IR"/>
              </w:rPr>
              <w:t>Separate discussions</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Pr>
                <w:lang w:bidi="fa-IR"/>
              </w:rPr>
              <w:t>Galbraith Scott</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jc w:val="right"/>
              <w:rPr>
                <w:lang w:bidi="fa-IR"/>
              </w:rPr>
            </w:pPr>
            <w:r>
              <w:rPr>
                <w:lang w:bidi="fa-IR"/>
              </w:rPr>
              <w:t>29 November 2019</w:t>
            </w:r>
          </w:p>
        </w:tc>
      </w:tr>
      <w:tr w:rsidR="0027127E" w:rsidTr="00B5160B">
        <w:tc>
          <w:tcPr>
            <w:tcW w:w="2645"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sidRPr="008F0B6A">
              <w:rPr>
                <w:lang w:bidi="fa-IR"/>
              </w:rPr>
              <w:t>Separate discussions</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Pr>
                <w:lang w:bidi="fa-IR"/>
              </w:rPr>
              <w:t>University of NSW</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jc w:val="right"/>
              <w:rPr>
                <w:lang w:bidi="fa-IR"/>
              </w:rPr>
            </w:pPr>
            <w:r>
              <w:rPr>
                <w:lang w:bidi="fa-IR"/>
              </w:rPr>
              <w:t>9 December 2019</w:t>
            </w:r>
          </w:p>
        </w:tc>
      </w:tr>
      <w:tr w:rsidR="0027127E" w:rsidTr="00B5160B">
        <w:tc>
          <w:tcPr>
            <w:tcW w:w="2645"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sidRPr="008F0B6A">
              <w:rPr>
                <w:lang w:bidi="fa-IR"/>
              </w:rPr>
              <w:t>Separate discussions</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Pr>
                <w:lang w:bidi="fa-IR"/>
              </w:rPr>
              <w:t>Centre for Universal Design Australia</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jc w:val="right"/>
              <w:rPr>
                <w:lang w:bidi="fa-IR"/>
              </w:rPr>
            </w:pPr>
            <w:r>
              <w:rPr>
                <w:lang w:bidi="fa-IR"/>
              </w:rPr>
              <w:t>9 December 2019</w:t>
            </w:r>
          </w:p>
        </w:tc>
      </w:tr>
      <w:tr w:rsidR="0027127E" w:rsidTr="00B5160B">
        <w:tc>
          <w:tcPr>
            <w:tcW w:w="2645"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sidRPr="008F0B6A">
              <w:rPr>
                <w:lang w:bidi="fa-IR"/>
              </w:rPr>
              <w:t>Separate discussions</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Pr>
                <w:lang w:bidi="fa-IR"/>
              </w:rPr>
              <w:t>ADACAS</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jc w:val="right"/>
              <w:rPr>
                <w:lang w:bidi="fa-IR"/>
              </w:rPr>
            </w:pPr>
            <w:r>
              <w:rPr>
                <w:lang w:bidi="fa-IR"/>
              </w:rPr>
              <w:t>17 December 2019</w:t>
            </w:r>
          </w:p>
        </w:tc>
      </w:tr>
      <w:tr w:rsidR="0027127E" w:rsidTr="00B5160B">
        <w:tc>
          <w:tcPr>
            <w:tcW w:w="2645"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sidRPr="008F0B6A">
              <w:rPr>
                <w:lang w:bidi="fa-IR"/>
              </w:rPr>
              <w:t>Separate discussions</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Pr>
                <w:lang w:bidi="fa-IR"/>
              </w:rPr>
              <w:t>Department of Social Services</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jc w:val="right"/>
              <w:rPr>
                <w:lang w:bidi="fa-IR"/>
              </w:rPr>
            </w:pPr>
            <w:r>
              <w:rPr>
                <w:lang w:bidi="fa-IR"/>
              </w:rPr>
              <w:t>4 December 2019</w:t>
            </w:r>
          </w:p>
        </w:tc>
      </w:tr>
      <w:tr w:rsidR="0027127E" w:rsidTr="00B5160B">
        <w:tc>
          <w:tcPr>
            <w:tcW w:w="2645"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sidRPr="008F0B6A">
              <w:rPr>
                <w:lang w:bidi="fa-IR"/>
              </w:rPr>
              <w:t>Separate discussions</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Pr>
                <w:lang w:bidi="fa-IR"/>
              </w:rPr>
              <w:t>Master Builders Australia</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jc w:val="right"/>
              <w:rPr>
                <w:lang w:bidi="fa-IR"/>
              </w:rPr>
            </w:pPr>
            <w:r>
              <w:rPr>
                <w:lang w:bidi="fa-IR"/>
              </w:rPr>
              <w:t>12 December 2019</w:t>
            </w:r>
          </w:p>
        </w:tc>
      </w:tr>
      <w:tr w:rsidR="0027127E" w:rsidTr="00B5160B">
        <w:tc>
          <w:tcPr>
            <w:tcW w:w="2645"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sidRPr="008F0B6A">
              <w:rPr>
                <w:lang w:bidi="fa-IR"/>
              </w:rPr>
              <w:t>Separate discussions</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Pr>
                <w:lang w:bidi="fa-IR"/>
              </w:rPr>
              <w:t>Housing Industry Association</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jc w:val="right"/>
              <w:rPr>
                <w:lang w:bidi="fa-IR"/>
              </w:rPr>
            </w:pPr>
            <w:r>
              <w:rPr>
                <w:lang w:bidi="fa-IR"/>
              </w:rPr>
              <w:t>13 December 2019</w:t>
            </w:r>
          </w:p>
        </w:tc>
      </w:tr>
      <w:tr w:rsidR="0027127E" w:rsidTr="00B5160B">
        <w:tc>
          <w:tcPr>
            <w:tcW w:w="2645"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sidRPr="008F0B6A">
              <w:rPr>
                <w:lang w:bidi="fa-IR"/>
              </w:rPr>
              <w:t>Separate discussions</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Pr>
                <w:lang w:bidi="fa-IR"/>
              </w:rPr>
              <w:t>Occupational Therapists Australia</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jc w:val="right"/>
              <w:rPr>
                <w:lang w:bidi="fa-IR"/>
              </w:rPr>
            </w:pPr>
            <w:r>
              <w:rPr>
                <w:lang w:bidi="fa-IR"/>
              </w:rPr>
              <w:t>13 December 2019</w:t>
            </w:r>
          </w:p>
        </w:tc>
      </w:tr>
      <w:tr w:rsidR="0027127E" w:rsidTr="00B5160B">
        <w:tc>
          <w:tcPr>
            <w:tcW w:w="2645"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sidRPr="008F0B6A">
              <w:rPr>
                <w:lang w:bidi="fa-IR"/>
              </w:rPr>
              <w:t>Separate discussions</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Pr>
                <w:lang w:bidi="fa-IR"/>
              </w:rPr>
              <w:t>Australian Association of Gerontology</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jc w:val="right"/>
              <w:rPr>
                <w:lang w:bidi="fa-IR"/>
              </w:rPr>
            </w:pPr>
            <w:r>
              <w:rPr>
                <w:lang w:bidi="fa-IR"/>
              </w:rPr>
              <w:t>18 December 2019</w:t>
            </w:r>
          </w:p>
        </w:tc>
      </w:tr>
      <w:tr w:rsidR="0027127E" w:rsidTr="00B5160B">
        <w:tc>
          <w:tcPr>
            <w:tcW w:w="2645"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sidRPr="006B5C52">
              <w:rPr>
                <w:lang w:bidi="fa-IR"/>
              </w:rPr>
              <w:t>Separate discussions</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Pr>
                <w:lang w:bidi="fa-IR"/>
              </w:rPr>
              <w:t>University of Technology Sydney</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jc w:val="right"/>
              <w:rPr>
                <w:lang w:bidi="fa-IR"/>
              </w:rPr>
            </w:pPr>
            <w:r>
              <w:rPr>
                <w:lang w:bidi="fa-IR"/>
              </w:rPr>
              <w:t>18 December 2019</w:t>
            </w:r>
          </w:p>
        </w:tc>
      </w:tr>
      <w:tr w:rsidR="0027127E" w:rsidTr="00B5160B">
        <w:tc>
          <w:tcPr>
            <w:tcW w:w="2645"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sidRPr="006B5C52">
              <w:rPr>
                <w:lang w:bidi="fa-IR"/>
              </w:rPr>
              <w:lastRenderedPageBreak/>
              <w:t>Separate discussions</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Pr>
                <w:lang w:bidi="fa-IR"/>
              </w:rPr>
              <w:t>Australian Human Rights Commission</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jc w:val="right"/>
              <w:rPr>
                <w:lang w:bidi="fa-IR"/>
              </w:rPr>
            </w:pPr>
            <w:r>
              <w:rPr>
                <w:lang w:bidi="fa-IR"/>
              </w:rPr>
              <w:t>18 December 2019</w:t>
            </w:r>
            <w:r>
              <w:rPr>
                <w:lang w:bidi="fa-IR"/>
              </w:rPr>
              <w:br/>
              <w:t>14 May 2020</w:t>
            </w:r>
          </w:p>
        </w:tc>
      </w:tr>
      <w:tr w:rsidR="0027127E" w:rsidTr="00B5160B">
        <w:trPr>
          <w:trHeight w:val="48"/>
        </w:trPr>
        <w:tc>
          <w:tcPr>
            <w:tcW w:w="2645"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sidRPr="006B5C52">
              <w:rPr>
                <w:lang w:bidi="fa-IR"/>
              </w:rPr>
              <w:t>Separate discussions</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Pr>
                <w:lang w:bidi="fa-IR"/>
              </w:rPr>
              <w:t>National Disability Insurance Agency</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jc w:val="right"/>
              <w:rPr>
                <w:lang w:bidi="fa-IR"/>
              </w:rPr>
            </w:pPr>
            <w:r>
              <w:rPr>
                <w:lang w:bidi="fa-IR"/>
              </w:rPr>
              <w:t>19 December 2019</w:t>
            </w:r>
          </w:p>
          <w:p w:rsidR="0027127E" w:rsidRDefault="0027127E" w:rsidP="0027127E">
            <w:pPr>
              <w:pStyle w:val="TableTextEntries"/>
              <w:jc w:val="right"/>
              <w:rPr>
                <w:lang w:bidi="fa-IR"/>
              </w:rPr>
            </w:pPr>
            <w:r>
              <w:rPr>
                <w:lang w:bidi="fa-IR"/>
              </w:rPr>
              <w:t>31 January 2020</w:t>
            </w:r>
          </w:p>
        </w:tc>
      </w:tr>
      <w:tr w:rsidR="0027127E" w:rsidTr="00B5160B">
        <w:tc>
          <w:tcPr>
            <w:tcW w:w="2645"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sidRPr="006B5C52">
              <w:rPr>
                <w:lang w:bidi="fa-IR"/>
              </w:rPr>
              <w:t>Separate discussions</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Pr>
                <w:lang w:bidi="fa-IR"/>
              </w:rPr>
              <w:t>Transport Accident Commission (Victoria)</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jc w:val="right"/>
              <w:rPr>
                <w:lang w:bidi="fa-IR"/>
              </w:rPr>
            </w:pPr>
            <w:r>
              <w:rPr>
                <w:lang w:bidi="fa-IR"/>
              </w:rPr>
              <w:t>23 January 2020</w:t>
            </w:r>
          </w:p>
        </w:tc>
      </w:tr>
      <w:tr w:rsidR="0027127E" w:rsidTr="00B5160B">
        <w:tc>
          <w:tcPr>
            <w:tcW w:w="2645"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sidRPr="006B5C52">
              <w:rPr>
                <w:lang w:bidi="fa-IR"/>
              </w:rPr>
              <w:t>Separate discussions</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Pr>
                <w:lang w:bidi="fa-IR"/>
              </w:rPr>
              <w:t>Sekisui House</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jc w:val="right"/>
              <w:rPr>
                <w:lang w:bidi="fa-IR"/>
              </w:rPr>
            </w:pPr>
            <w:r>
              <w:rPr>
                <w:lang w:bidi="fa-IR"/>
              </w:rPr>
              <w:t>24 January 2020</w:t>
            </w:r>
          </w:p>
        </w:tc>
      </w:tr>
      <w:tr w:rsidR="0027127E" w:rsidTr="00B5160B">
        <w:tc>
          <w:tcPr>
            <w:tcW w:w="2645"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sidRPr="006B5C52">
              <w:rPr>
                <w:lang w:bidi="fa-IR"/>
              </w:rPr>
              <w:t>Separate discussions</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Pr>
                <w:lang w:bidi="fa-IR"/>
              </w:rPr>
              <w:t>Royal Commission into Aged Care Quality and Safety</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jc w:val="right"/>
              <w:rPr>
                <w:lang w:bidi="fa-IR"/>
              </w:rPr>
            </w:pPr>
            <w:r>
              <w:rPr>
                <w:lang w:bidi="fa-IR"/>
              </w:rPr>
              <w:t>19 May 2020</w:t>
            </w:r>
          </w:p>
        </w:tc>
      </w:tr>
      <w:tr w:rsidR="0027127E" w:rsidTr="008819BB">
        <w:tc>
          <w:tcPr>
            <w:tcW w:w="2645"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sidRPr="006B5C52">
              <w:rPr>
                <w:lang w:bidi="fa-IR"/>
              </w:rPr>
              <w:t>Separate discussions</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rPr>
                <w:lang w:bidi="fa-IR"/>
              </w:rPr>
            </w:pPr>
            <w:r>
              <w:rPr>
                <w:lang w:bidi="fa-IR"/>
              </w:rPr>
              <w:t>Young People in Nursing Homes</w:t>
            </w:r>
          </w:p>
        </w:tc>
        <w:tc>
          <w:tcPr>
            <w:tcW w:w="2646" w:type="dxa"/>
            <w:tcBorders>
              <w:top w:val="single" w:sz="8" w:space="0" w:color="FFFFFF" w:themeColor="background1"/>
              <w:bottom w:val="single" w:sz="8" w:space="0" w:color="FFFFFF" w:themeColor="background1"/>
            </w:tcBorders>
            <w:shd w:val="clear" w:color="auto" w:fill="E9E8E5" w:themeFill="background2"/>
          </w:tcPr>
          <w:p w:rsidR="0027127E" w:rsidRDefault="0027127E" w:rsidP="0027127E">
            <w:pPr>
              <w:pStyle w:val="TableTextEntries"/>
              <w:jc w:val="right"/>
              <w:rPr>
                <w:lang w:bidi="fa-IR"/>
              </w:rPr>
            </w:pPr>
            <w:r>
              <w:rPr>
                <w:lang w:bidi="fa-IR"/>
              </w:rPr>
              <w:t>27 May 2020</w:t>
            </w:r>
          </w:p>
        </w:tc>
      </w:tr>
      <w:tr w:rsidR="0027127E" w:rsidTr="008819BB">
        <w:tc>
          <w:tcPr>
            <w:tcW w:w="2645" w:type="dxa"/>
            <w:tcBorders>
              <w:top w:val="single" w:sz="8" w:space="0" w:color="FFFFFF" w:themeColor="background1"/>
              <w:bottom w:val="single" w:sz="4" w:space="0" w:color="6F6652" w:themeColor="accent5"/>
            </w:tcBorders>
            <w:shd w:val="clear" w:color="auto" w:fill="E9E8E5" w:themeFill="background2"/>
          </w:tcPr>
          <w:p w:rsidR="0027127E" w:rsidRDefault="0027127E" w:rsidP="0027127E">
            <w:pPr>
              <w:pStyle w:val="TableTextEntries"/>
              <w:rPr>
                <w:lang w:bidi="fa-IR"/>
              </w:rPr>
            </w:pPr>
            <w:r w:rsidRPr="006B5C52">
              <w:rPr>
                <w:lang w:bidi="fa-IR"/>
              </w:rPr>
              <w:t>Separate discussions</w:t>
            </w:r>
          </w:p>
        </w:tc>
        <w:tc>
          <w:tcPr>
            <w:tcW w:w="2646" w:type="dxa"/>
            <w:tcBorders>
              <w:top w:val="single" w:sz="8" w:space="0" w:color="FFFFFF" w:themeColor="background1"/>
              <w:bottom w:val="single" w:sz="4" w:space="0" w:color="6F6652" w:themeColor="accent5"/>
            </w:tcBorders>
            <w:shd w:val="clear" w:color="auto" w:fill="E9E8E5" w:themeFill="background2"/>
          </w:tcPr>
          <w:p w:rsidR="0027127E" w:rsidRDefault="0027127E" w:rsidP="0027127E">
            <w:pPr>
              <w:pStyle w:val="TableTextEntries"/>
              <w:rPr>
                <w:lang w:bidi="fa-IR"/>
              </w:rPr>
            </w:pPr>
            <w:r>
              <w:rPr>
                <w:lang w:bidi="fa-IR"/>
              </w:rPr>
              <w:t>The Summer Foundation</w:t>
            </w:r>
          </w:p>
        </w:tc>
        <w:tc>
          <w:tcPr>
            <w:tcW w:w="2646" w:type="dxa"/>
            <w:tcBorders>
              <w:top w:val="single" w:sz="8" w:space="0" w:color="FFFFFF" w:themeColor="background1"/>
              <w:bottom w:val="single" w:sz="4" w:space="0" w:color="6F6652" w:themeColor="accent5"/>
            </w:tcBorders>
            <w:shd w:val="clear" w:color="auto" w:fill="E9E8E5" w:themeFill="background2"/>
          </w:tcPr>
          <w:p w:rsidR="0027127E" w:rsidRDefault="0027127E" w:rsidP="0027127E">
            <w:pPr>
              <w:pStyle w:val="TableTextEntries"/>
              <w:jc w:val="right"/>
              <w:rPr>
                <w:lang w:bidi="fa-IR"/>
              </w:rPr>
            </w:pPr>
            <w:r>
              <w:rPr>
                <w:lang w:bidi="fa-IR"/>
              </w:rPr>
              <w:t>28 May 2020</w:t>
            </w:r>
          </w:p>
        </w:tc>
      </w:tr>
    </w:tbl>
    <w:p w:rsidR="007C6A5F" w:rsidRDefault="007C6A5F" w:rsidP="007C6A5F">
      <w:pPr>
        <w:pStyle w:val="Source"/>
        <w:rPr>
          <w:lang w:bidi="fa-IR"/>
        </w:rPr>
      </w:pPr>
      <w:r w:rsidRPr="006E28ED">
        <w:rPr>
          <w:i/>
          <w:lang w:bidi="fa-IR"/>
        </w:rPr>
        <w:t>Source:</w:t>
      </w:r>
      <w:r>
        <w:rPr>
          <w:lang w:bidi="fa-IR"/>
        </w:rPr>
        <w:t xml:space="preserve"> CIE.</w:t>
      </w:r>
    </w:p>
    <w:p w:rsidR="007C6A5F" w:rsidRDefault="007C6A5F" w:rsidP="007C6A5F">
      <w:pPr>
        <w:pStyle w:val="Heading8"/>
        <w:numPr>
          <w:ilvl w:val="7"/>
          <w:numId w:val="5"/>
        </w:numPr>
        <w:rPr>
          <w:lang w:bidi="fa-IR"/>
        </w:rPr>
      </w:pPr>
      <w:r>
        <w:rPr>
          <w:lang w:bidi="fa-IR"/>
        </w:rPr>
        <w:t>Outcomes from costing workshop</w:t>
      </w:r>
    </w:p>
    <w:p w:rsidR="007C6A5F" w:rsidRPr="00955863" w:rsidRDefault="007C6A5F" w:rsidP="007C6A5F">
      <w:pPr>
        <w:pStyle w:val="BodyText"/>
        <w:rPr>
          <w:lang w:bidi="fa-IR"/>
        </w:rPr>
      </w:pPr>
      <w:r>
        <w:rPr>
          <w:lang w:bidi="fa-IR"/>
        </w:rPr>
        <w:t>To estimate the cost impacts of the proposed changes to the NCC, DCWC use 5 examples of new builds, called costing models. DCWC note that at the costing workshop: ‘</w:t>
      </w:r>
      <w:r>
        <w:t>there was broad agreement that these models were an acceptable representation of residential dwellings in the market.’</w:t>
      </w:r>
      <w:r>
        <w:rPr>
          <w:rStyle w:val="FootnoteReference"/>
        </w:rPr>
        <w:footnoteReference w:id="124"/>
      </w:r>
    </w:p>
    <w:p w:rsidR="007C6A5F" w:rsidRDefault="007C6A5F" w:rsidP="007C6A5F">
      <w:pPr>
        <w:pStyle w:val="Heading8"/>
        <w:numPr>
          <w:ilvl w:val="7"/>
          <w:numId w:val="5"/>
        </w:numPr>
        <w:rPr>
          <w:lang w:bidi="fa-IR"/>
        </w:rPr>
      </w:pPr>
      <w:r>
        <w:rPr>
          <w:lang w:bidi="fa-IR"/>
        </w:rPr>
        <w:t>Outcomes from targeted stakeholder consultations</w:t>
      </w:r>
    </w:p>
    <w:p w:rsidR="007C6A5F" w:rsidRDefault="007C6A5F" w:rsidP="007C6A5F">
      <w:pPr>
        <w:pStyle w:val="BodyText"/>
        <w:rPr>
          <w:lang w:bidi="fa-IR"/>
        </w:rPr>
      </w:pPr>
      <w:r>
        <w:rPr>
          <w:lang w:bidi="fa-IR"/>
        </w:rPr>
        <w:t xml:space="preserve">In general, most stakeholders expressed an opinion as to whether the idea of incorporating accessible housing standards into the NCC was appropriate. Some provided specific pieces or research or data, which we have considered in our analysis. </w:t>
      </w:r>
    </w:p>
    <w:p w:rsidR="007C6A5F" w:rsidRDefault="007C6A5F" w:rsidP="007C6A5F">
      <w:pPr>
        <w:pStyle w:val="BodyText"/>
        <w:rPr>
          <w:lang w:bidi="fa-IR"/>
        </w:rPr>
      </w:pPr>
      <w:r>
        <w:rPr>
          <w:lang w:bidi="fa-IR"/>
        </w:rPr>
        <w:t>As noted, our consultations were structured, following an issues paper that was provided to stakeholders in advance of us consulting with them. We have organised the insights provided into themes (theme 1, 2, 3 and other points), which follow. Note these themes reflect the main sections of the issues paper that was provided to consultees before we spoke with them.</w:t>
      </w:r>
    </w:p>
    <w:p w:rsidR="007C6A5F" w:rsidRDefault="007C6A5F" w:rsidP="007C6A5F">
      <w:pPr>
        <w:pStyle w:val="Heading7"/>
        <w:numPr>
          <w:ilvl w:val="6"/>
          <w:numId w:val="5"/>
        </w:numPr>
        <w:rPr>
          <w:lang w:bidi="fa-IR"/>
        </w:rPr>
      </w:pPr>
      <w:r>
        <w:rPr>
          <w:lang w:bidi="fa-IR"/>
        </w:rPr>
        <w:lastRenderedPageBreak/>
        <w:t>Theme 1: the problem accessible housing is trying to address</w:t>
      </w:r>
    </w:p>
    <w:p w:rsidR="007C6A5F" w:rsidRDefault="007C6A5F" w:rsidP="007C6A5F">
      <w:pPr>
        <w:pStyle w:val="Heading8"/>
        <w:numPr>
          <w:ilvl w:val="7"/>
          <w:numId w:val="5"/>
        </w:numPr>
        <w:rPr>
          <w:lang w:bidi="fa-IR"/>
        </w:rPr>
      </w:pPr>
      <w:r>
        <w:rPr>
          <w:lang w:bidi="fa-IR"/>
        </w:rPr>
        <w:t>Nature of the problem</w:t>
      </w:r>
    </w:p>
    <w:p w:rsidR="007C6A5F" w:rsidRPr="00955863" w:rsidRDefault="007C6A5F" w:rsidP="007C6A5F">
      <w:pPr>
        <w:pStyle w:val="Heading8"/>
        <w:numPr>
          <w:ilvl w:val="7"/>
          <w:numId w:val="5"/>
        </w:numPr>
        <w:rPr>
          <w:lang w:bidi="fa-IR"/>
        </w:rPr>
      </w:pPr>
      <w:r>
        <w:rPr>
          <w:lang w:bidi="fa-IR"/>
        </w:rPr>
        <w:t>The need for accessible housing</w:t>
      </w:r>
    </w:p>
    <w:p w:rsidR="007C6A5F" w:rsidRDefault="007C6A5F" w:rsidP="007C6A5F">
      <w:pPr>
        <w:pStyle w:val="BodyText"/>
        <w:rPr>
          <w:lang w:bidi="fa-IR"/>
        </w:rPr>
      </w:pPr>
      <w:r>
        <w:rPr>
          <w:lang w:bidi="fa-IR"/>
        </w:rPr>
        <w:t xml:space="preserve">One stakeholder noted that people who use wheelchairs require homes built to ‘gold’ level accessibility standards, but added there is a great deal of variation across people. Silver is more appropriate for people with other forms of mobility disability. </w:t>
      </w:r>
    </w:p>
    <w:p w:rsidR="007C6A5F" w:rsidRDefault="007C6A5F" w:rsidP="007C6A5F">
      <w:pPr>
        <w:pStyle w:val="BodyText"/>
        <w:rPr>
          <w:lang w:bidi="fa-IR"/>
        </w:rPr>
      </w:pPr>
      <w:r>
        <w:rPr>
          <w:lang w:bidi="fa-IR"/>
        </w:rPr>
        <w:t>Another stakeholder argued: silver is really for visitability, Gold is for liveability and Platinum is for specialist needs.</w:t>
      </w:r>
    </w:p>
    <w:p w:rsidR="007C6A5F" w:rsidRDefault="007C6A5F" w:rsidP="007C6A5F">
      <w:pPr>
        <w:pStyle w:val="BodyText"/>
        <w:rPr>
          <w:lang w:bidi="fa-IR"/>
        </w:rPr>
      </w:pPr>
      <w:r>
        <w:rPr>
          <w:lang w:bidi="fa-IR"/>
        </w:rPr>
        <w:t xml:space="preserve">Stakeholders note that even where they are not strictly </w:t>
      </w:r>
      <w:r w:rsidRPr="00C9419F">
        <w:rPr>
          <w:i/>
          <w:iCs/>
          <w:lang w:bidi="fa-IR"/>
        </w:rPr>
        <w:t>required</w:t>
      </w:r>
      <w:r>
        <w:rPr>
          <w:lang w:bidi="fa-IR"/>
        </w:rPr>
        <w:t xml:space="preserve">, accessibility features can have benefits for people with lower-needs disabilities. </w:t>
      </w:r>
    </w:p>
    <w:p w:rsidR="007C6A5F" w:rsidRDefault="007C6A5F" w:rsidP="007C6A5F">
      <w:pPr>
        <w:pStyle w:val="BodyText"/>
        <w:rPr>
          <w:lang w:bidi="fa-IR"/>
        </w:rPr>
      </w:pPr>
      <w:r>
        <w:rPr>
          <w:lang w:bidi="fa-IR"/>
        </w:rPr>
        <w:t xml:space="preserve">Stakeholders noted that people’s needs change as they progress through life. One representative example that was provided was of an elderly lady who was essentially independent, apart from her inability to deal with the step in/out of her house. </w:t>
      </w:r>
    </w:p>
    <w:p w:rsidR="007C6A5F" w:rsidRDefault="007C6A5F" w:rsidP="007C6A5F">
      <w:pPr>
        <w:pStyle w:val="BodyText"/>
        <w:rPr>
          <w:lang w:bidi="fa-IR"/>
        </w:rPr>
      </w:pPr>
      <w:r>
        <w:rPr>
          <w:lang w:bidi="fa-IR"/>
        </w:rPr>
        <w:t xml:space="preserve">Some stakeholders argued the moral case for accessible housing. </w:t>
      </w:r>
    </w:p>
    <w:p w:rsidR="007C6A5F" w:rsidRDefault="007C6A5F" w:rsidP="005A6F87">
      <w:pPr>
        <w:pStyle w:val="ListNumber"/>
        <w:numPr>
          <w:ilvl w:val="0"/>
          <w:numId w:val="16"/>
        </w:numPr>
        <w:rPr>
          <w:lang w:bidi="fa-IR"/>
        </w:rPr>
      </w:pPr>
      <w:r>
        <w:rPr>
          <w:lang w:bidi="fa-IR"/>
        </w:rPr>
        <w:t>One stakeholder noted that the housing industry is not incentivised or required to provide accessible housing, and that buyers are not incentivised to consider the ‘greater good’ in their purchasing decisions. These points were noted as problems.</w:t>
      </w:r>
    </w:p>
    <w:p w:rsidR="007C6A5F" w:rsidRDefault="007C6A5F" w:rsidP="005A6F87">
      <w:pPr>
        <w:pStyle w:val="ListNumber"/>
        <w:numPr>
          <w:ilvl w:val="0"/>
          <w:numId w:val="16"/>
        </w:numPr>
        <w:rPr>
          <w:lang w:bidi="fa-IR"/>
        </w:rPr>
      </w:pPr>
      <w:r>
        <w:rPr>
          <w:lang w:bidi="fa-IR"/>
        </w:rPr>
        <w:t>Other stakeholders noted that providing accessible housing is a human rights issue.</w:t>
      </w:r>
    </w:p>
    <w:p w:rsidR="007C6A5F" w:rsidRDefault="007C6A5F" w:rsidP="007C6A5F">
      <w:pPr>
        <w:pStyle w:val="BodyText"/>
        <w:rPr>
          <w:lang w:bidi="fa-IR"/>
        </w:rPr>
      </w:pPr>
      <w:r>
        <w:rPr>
          <w:lang w:bidi="fa-IR"/>
        </w:rPr>
        <w:t xml:space="preserve">Stakeholders argue the problem is growing, due to the aging population. </w:t>
      </w:r>
    </w:p>
    <w:p w:rsidR="007C6A5F" w:rsidRDefault="007C6A5F" w:rsidP="007C6A5F">
      <w:pPr>
        <w:pStyle w:val="Heading8"/>
        <w:numPr>
          <w:ilvl w:val="7"/>
          <w:numId w:val="5"/>
        </w:numPr>
        <w:rPr>
          <w:lang w:bidi="fa-IR"/>
        </w:rPr>
      </w:pPr>
      <w:r>
        <w:rPr>
          <w:lang w:bidi="fa-IR"/>
        </w:rPr>
        <w:t>Reasons why accessible housing is not being supplied</w:t>
      </w:r>
    </w:p>
    <w:p w:rsidR="007C6A5F" w:rsidRDefault="007C6A5F" w:rsidP="007C6A5F">
      <w:pPr>
        <w:pStyle w:val="BodyText"/>
        <w:rPr>
          <w:lang w:bidi="fa-IR"/>
        </w:rPr>
      </w:pPr>
      <w:r>
        <w:rPr>
          <w:lang w:bidi="fa-IR"/>
        </w:rPr>
        <w:t>Stakeholders noted that property development/building is fiercely competitive. Reasons why accessible housing is not provided include:</w:t>
      </w:r>
    </w:p>
    <w:p w:rsidR="007C6A5F" w:rsidRDefault="007C6A5F" w:rsidP="005A6F87">
      <w:pPr>
        <w:pStyle w:val="ListBullet"/>
        <w:numPr>
          <w:ilvl w:val="0"/>
          <w:numId w:val="17"/>
        </w:numPr>
        <w:rPr>
          <w:lang w:bidi="fa-IR"/>
        </w:rPr>
      </w:pPr>
      <w:r>
        <w:rPr>
          <w:lang w:bidi="fa-IR"/>
        </w:rPr>
        <w:t>Cost pressures – it is too costly for business</w:t>
      </w:r>
    </w:p>
    <w:p w:rsidR="007C6A5F" w:rsidRDefault="007C6A5F" w:rsidP="005A6F87">
      <w:pPr>
        <w:pStyle w:val="ListBullet"/>
        <w:numPr>
          <w:ilvl w:val="0"/>
          <w:numId w:val="17"/>
        </w:numPr>
        <w:rPr>
          <w:lang w:bidi="fa-IR"/>
        </w:rPr>
      </w:pPr>
      <w:r>
        <w:rPr>
          <w:lang w:bidi="fa-IR"/>
        </w:rPr>
        <w:t>‘Cookie cutter approach’ by developers, where it is costly to diverge from established practices. In particular, one stakeholder noted she had particular difficulty getting a volume builder to add accessibility features to a new home.</w:t>
      </w:r>
    </w:p>
    <w:p w:rsidR="007C6A5F" w:rsidRPr="00955863" w:rsidRDefault="007C6A5F" w:rsidP="005A6F87">
      <w:pPr>
        <w:pStyle w:val="ListBullet"/>
        <w:numPr>
          <w:ilvl w:val="0"/>
          <w:numId w:val="17"/>
        </w:numPr>
        <w:rPr>
          <w:lang w:bidi="fa-IR"/>
        </w:rPr>
      </w:pPr>
      <w:r>
        <w:rPr>
          <w:lang w:bidi="fa-IR"/>
        </w:rPr>
        <w:t xml:space="preserve">Behaviour of buyers: people buy homes with aspiration in mind; they do not imagine themselves as old/disabled in the future. They may have an ‘optimism bias.’ Alternatively, some people simply don’t give enough thought to their future needs when purchasing property.  </w:t>
      </w:r>
    </w:p>
    <w:p w:rsidR="007C6A5F" w:rsidRDefault="007C6A5F" w:rsidP="007C6A5F">
      <w:pPr>
        <w:pStyle w:val="BodyText"/>
        <w:rPr>
          <w:lang w:bidi="fa-IR"/>
        </w:rPr>
      </w:pPr>
      <w:r>
        <w:rPr>
          <w:lang w:bidi="fa-IR"/>
        </w:rPr>
        <w:t xml:space="preserve">Some stakeholders note information problems. </w:t>
      </w:r>
    </w:p>
    <w:p w:rsidR="007C6A5F" w:rsidRDefault="007C6A5F" w:rsidP="005A6F87">
      <w:pPr>
        <w:pStyle w:val="ListBullet"/>
        <w:numPr>
          <w:ilvl w:val="0"/>
          <w:numId w:val="17"/>
        </w:numPr>
        <w:rPr>
          <w:lang w:bidi="fa-IR"/>
        </w:rPr>
      </w:pPr>
      <w:r>
        <w:rPr>
          <w:lang w:bidi="fa-IR"/>
        </w:rPr>
        <w:t>There is no register of accessible homes, so it makes it very difficult and costly for people who need them to find them. People who require these homes have to spend more time and financial resources finding the right home.</w:t>
      </w:r>
    </w:p>
    <w:p w:rsidR="007C6A5F" w:rsidRDefault="007C6A5F" w:rsidP="005A6F87">
      <w:pPr>
        <w:pStyle w:val="ListBullet"/>
        <w:numPr>
          <w:ilvl w:val="0"/>
          <w:numId w:val="17"/>
        </w:numPr>
        <w:rPr>
          <w:lang w:bidi="fa-IR"/>
        </w:rPr>
      </w:pPr>
      <w:r>
        <w:rPr>
          <w:lang w:bidi="fa-IR"/>
        </w:rPr>
        <w:t>Equally, industry stakeholders noted people who build accessible homes get no credit and/or its difficult to market and certify homes as ‘accessible’;</w:t>
      </w:r>
    </w:p>
    <w:p w:rsidR="007C6A5F" w:rsidRDefault="007C6A5F" w:rsidP="005A6F87">
      <w:pPr>
        <w:pStyle w:val="ListBullet"/>
        <w:numPr>
          <w:ilvl w:val="0"/>
          <w:numId w:val="17"/>
        </w:numPr>
        <w:rPr>
          <w:lang w:bidi="fa-IR"/>
        </w:rPr>
      </w:pPr>
      <w:r>
        <w:rPr>
          <w:lang w:bidi="fa-IR"/>
        </w:rPr>
        <w:lastRenderedPageBreak/>
        <w:t>Further it is not possible to certify plans as accessible; homes can only be certified as accessible after they are built; while it was not raised by the stakeholder, this implies that it is particularly difficult to supply accessible townhouses and units, where they are sold ‘off the plan’</w:t>
      </w:r>
    </w:p>
    <w:p w:rsidR="007C6A5F" w:rsidRDefault="007C6A5F" w:rsidP="007C6A5F">
      <w:pPr>
        <w:pStyle w:val="Heading9"/>
        <w:rPr>
          <w:lang w:bidi="fa-IR"/>
        </w:rPr>
      </w:pPr>
      <w:r>
        <w:rPr>
          <w:lang w:bidi="fa-IR"/>
        </w:rPr>
        <w:t>Extent of the problem</w:t>
      </w:r>
    </w:p>
    <w:p w:rsidR="007C6A5F" w:rsidRDefault="007C6A5F" w:rsidP="007C6A5F">
      <w:pPr>
        <w:pStyle w:val="BodyText"/>
        <w:rPr>
          <w:lang w:bidi="fa-IR"/>
        </w:rPr>
      </w:pPr>
      <w:r>
        <w:rPr>
          <w:lang w:bidi="fa-IR"/>
        </w:rPr>
        <w:t>Where prompted, stakeholders agreed with our characterisation of sub-optimal outcomes which could potentially be avoided if (1) new homes are built with accessibility features and (2) people who require these features occupy these new homes. These sub-optimal outcomes include:</w:t>
      </w:r>
    </w:p>
    <w:p w:rsidR="007C6A5F" w:rsidRDefault="007C6A5F" w:rsidP="005A6F87">
      <w:pPr>
        <w:pStyle w:val="ListNumber"/>
        <w:numPr>
          <w:ilvl w:val="0"/>
          <w:numId w:val="16"/>
        </w:numPr>
        <w:rPr>
          <w:lang w:bidi="fa-IR"/>
        </w:rPr>
      </w:pPr>
      <w:r>
        <w:rPr>
          <w:lang w:bidi="fa-IR"/>
        </w:rPr>
        <w:t>Households with accessibility needs remain in housing without the necessary features</w:t>
      </w:r>
    </w:p>
    <w:p w:rsidR="007C6A5F" w:rsidRDefault="007C6A5F" w:rsidP="005A6F87">
      <w:pPr>
        <w:pStyle w:val="ListNumber"/>
        <w:numPr>
          <w:ilvl w:val="0"/>
          <w:numId w:val="16"/>
        </w:numPr>
        <w:rPr>
          <w:lang w:bidi="fa-IR"/>
        </w:rPr>
      </w:pPr>
      <w:r>
        <w:rPr>
          <w:lang w:bidi="fa-IR"/>
        </w:rPr>
        <w:t>Where an individual does not require specialist housing or the level of care that is provided in aged care, but end up there anyway, because they merely require the accessibility features that are provided in these residences</w:t>
      </w:r>
    </w:p>
    <w:p w:rsidR="007C6A5F" w:rsidRDefault="007C6A5F" w:rsidP="005A6F87">
      <w:pPr>
        <w:pStyle w:val="ListNumber"/>
        <w:numPr>
          <w:ilvl w:val="0"/>
          <w:numId w:val="16"/>
        </w:numPr>
        <w:rPr>
          <w:lang w:bidi="fa-IR"/>
        </w:rPr>
      </w:pPr>
      <w:r>
        <w:rPr>
          <w:lang w:bidi="fa-IR"/>
        </w:rPr>
        <w:t>Where the individual has the capacity to pay for a private rental property, but a property with the required accessibility features is not available</w:t>
      </w:r>
    </w:p>
    <w:p w:rsidR="007C6A5F" w:rsidRDefault="007C6A5F" w:rsidP="005A6F87">
      <w:pPr>
        <w:pStyle w:val="ListNumber"/>
        <w:numPr>
          <w:ilvl w:val="0"/>
          <w:numId w:val="16"/>
        </w:numPr>
        <w:rPr>
          <w:lang w:bidi="fa-IR"/>
        </w:rPr>
      </w:pPr>
      <w:r>
        <w:rPr>
          <w:lang w:bidi="fa-IR"/>
        </w:rPr>
        <w:t>Where a patient would not need to be in hospital if accessible housing is available</w:t>
      </w:r>
    </w:p>
    <w:p w:rsidR="007C6A5F" w:rsidRDefault="007C6A5F" w:rsidP="005A6F87">
      <w:pPr>
        <w:pStyle w:val="ListNumber"/>
        <w:numPr>
          <w:ilvl w:val="0"/>
          <w:numId w:val="16"/>
        </w:numPr>
        <w:rPr>
          <w:lang w:bidi="fa-IR"/>
        </w:rPr>
      </w:pPr>
      <w:r>
        <w:rPr>
          <w:lang w:bidi="fa-IR"/>
        </w:rPr>
        <w:t>A person may have accessible private/social housing, but the location does not suit them</w:t>
      </w:r>
    </w:p>
    <w:p w:rsidR="007C6A5F" w:rsidRDefault="007C6A5F" w:rsidP="007C6A5F">
      <w:pPr>
        <w:pStyle w:val="BodyText"/>
        <w:rPr>
          <w:lang w:bidi="fa-IR"/>
        </w:rPr>
      </w:pPr>
      <w:r>
        <w:rPr>
          <w:lang w:bidi="fa-IR"/>
        </w:rPr>
        <w:t>One stakeholder notes that the accessibility of retirement villages varies (older ones can be inaccessible).</w:t>
      </w:r>
    </w:p>
    <w:p w:rsidR="007C6A5F" w:rsidRDefault="007C6A5F" w:rsidP="007C6A5F">
      <w:pPr>
        <w:pStyle w:val="Heading9"/>
        <w:rPr>
          <w:lang w:bidi="fa-IR"/>
        </w:rPr>
      </w:pPr>
      <w:r>
        <w:rPr>
          <w:lang w:bidi="fa-IR"/>
        </w:rPr>
        <w:t>Other factors and points of complexity</w:t>
      </w:r>
    </w:p>
    <w:p w:rsidR="007C6A5F" w:rsidRPr="00633DC7" w:rsidRDefault="007C6A5F" w:rsidP="007C6A5F">
      <w:pPr>
        <w:pStyle w:val="BodyText"/>
        <w:rPr>
          <w:lang w:bidi="fa-IR"/>
        </w:rPr>
      </w:pPr>
      <w:r>
        <w:rPr>
          <w:lang w:bidi="fa-IR"/>
        </w:rPr>
        <w:t xml:space="preserve">Stakeholders note various factors which mean the link between ‘building more accessible homes’ and ‘desirable outcomes for disabled people/the aged’ is quite complicated. Taken together, these points imply that it may be inadequate to argue that poor outcomes for disabled people and the aged are a problem that only requires building more new, accessible homes. Consistent with this, some stakeholders question the objective of the proposed regulatory changes.  </w:t>
      </w:r>
    </w:p>
    <w:p w:rsidR="007C6A5F" w:rsidRDefault="007C6A5F" w:rsidP="007C6A5F">
      <w:pPr>
        <w:pStyle w:val="BodyText"/>
        <w:rPr>
          <w:lang w:bidi="fa-IR"/>
        </w:rPr>
      </w:pPr>
      <w:r>
        <w:rPr>
          <w:lang w:bidi="fa-IR"/>
        </w:rPr>
        <w:t>Stakeholders note that low incomes can be a substantial factor in the housing decisions of people with disabilities. (For example, building more new homes that are accessible may be a less effective solution if people with disabilities cannot afford these new homes).</w:t>
      </w:r>
    </w:p>
    <w:p w:rsidR="007C6A5F" w:rsidRDefault="007C6A5F" w:rsidP="007C6A5F">
      <w:pPr>
        <w:pStyle w:val="BodyText"/>
        <w:rPr>
          <w:lang w:bidi="fa-IR"/>
        </w:rPr>
      </w:pPr>
      <w:r>
        <w:rPr>
          <w:lang w:bidi="fa-IR"/>
        </w:rPr>
        <w:t xml:space="preserve">Stakeholders note the share of over-65s who do not own their home is growing, which complicates housing policy. </w:t>
      </w:r>
    </w:p>
    <w:p w:rsidR="007C6A5F" w:rsidRDefault="007C6A5F" w:rsidP="007C6A5F">
      <w:pPr>
        <w:pStyle w:val="BodyText"/>
        <w:rPr>
          <w:lang w:bidi="fa-IR"/>
        </w:rPr>
      </w:pPr>
      <w:r>
        <w:rPr>
          <w:lang w:bidi="fa-IR"/>
        </w:rPr>
        <w:t xml:space="preserve">Stakeholders noted links with other policy areas, including the NDIS, aged care, etc. This complicates the estimation of benefits and costs. </w:t>
      </w:r>
    </w:p>
    <w:p w:rsidR="007C6A5F" w:rsidRDefault="007C6A5F" w:rsidP="007C6A5F">
      <w:pPr>
        <w:pStyle w:val="Heading9"/>
        <w:rPr>
          <w:lang w:bidi="fa-IR"/>
        </w:rPr>
      </w:pPr>
      <w:r>
        <w:rPr>
          <w:lang w:bidi="fa-IR"/>
        </w:rPr>
        <w:t>Modifications</w:t>
      </w:r>
    </w:p>
    <w:p w:rsidR="007C6A5F" w:rsidRDefault="007C6A5F" w:rsidP="007C6A5F">
      <w:pPr>
        <w:pStyle w:val="BodyText"/>
        <w:rPr>
          <w:lang w:bidi="fa-IR"/>
        </w:rPr>
      </w:pPr>
      <w:r>
        <w:rPr>
          <w:lang w:bidi="fa-IR"/>
        </w:rPr>
        <w:t xml:space="preserve">From our stakeholder consultations, we learnt the interaction between the policy area of ‘providing accessible housing’ and the policy area of ‘home modifications’ (sometimes </w:t>
      </w:r>
      <w:r>
        <w:rPr>
          <w:lang w:bidi="fa-IR"/>
        </w:rPr>
        <w:lastRenderedPageBreak/>
        <w:t xml:space="preserve">called retrofits) is complicated. This complication may have a significant bearing on our results. We note the following points. </w:t>
      </w:r>
    </w:p>
    <w:p w:rsidR="007C6A5F" w:rsidRDefault="007C6A5F" w:rsidP="005A6F87">
      <w:pPr>
        <w:pStyle w:val="ListNumber"/>
        <w:numPr>
          <w:ilvl w:val="0"/>
          <w:numId w:val="16"/>
        </w:numPr>
        <w:rPr>
          <w:lang w:bidi="fa-IR"/>
        </w:rPr>
      </w:pPr>
      <w:r>
        <w:rPr>
          <w:lang w:bidi="fa-IR"/>
        </w:rPr>
        <w:t>Stakeholders note there is significant evidence that home modifications can improve the lives of older people and people with disabilities. This includes reduced falls and a reduced requirement for carer hours.</w:t>
      </w:r>
    </w:p>
    <w:p w:rsidR="007C6A5F" w:rsidRDefault="007C6A5F" w:rsidP="005A6F87">
      <w:pPr>
        <w:pStyle w:val="ListNumber"/>
        <w:numPr>
          <w:ilvl w:val="0"/>
          <w:numId w:val="16"/>
        </w:numPr>
        <w:rPr>
          <w:lang w:bidi="fa-IR"/>
        </w:rPr>
      </w:pPr>
      <w:r>
        <w:rPr>
          <w:lang w:bidi="fa-IR"/>
        </w:rPr>
        <w:t>Usually, the need for modifications and subsequent recommendations are diagnosed/provided by a trained occupational therapist. This means that modifications are bespoke to the user. This is what maximises the effectiveness of modifications.</w:t>
      </w:r>
    </w:p>
    <w:p w:rsidR="007C6A5F" w:rsidRDefault="007C6A5F" w:rsidP="005A6F87">
      <w:pPr>
        <w:pStyle w:val="ListNumber"/>
        <w:numPr>
          <w:ilvl w:val="0"/>
          <w:numId w:val="16"/>
        </w:numPr>
        <w:rPr>
          <w:lang w:bidi="fa-IR"/>
        </w:rPr>
      </w:pPr>
      <w:r>
        <w:rPr>
          <w:lang w:bidi="fa-IR"/>
        </w:rPr>
        <w:t xml:space="preserve">Stakeholders argue that home modifications and accessible housing are not necessarily substitutes. This centres on the fact that modifications are bespoke to the user, whereas accessible housing features are generic. Stakeholders did allow that accessible housing may be a substitute for larger home modifications. </w:t>
      </w:r>
    </w:p>
    <w:p w:rsidR="007C6A5F" w:rsidRDefault="007C6A5F" w:rsidP="005A6F87">
      <w:pPr>
        <w:pStyle w:val="ListNumber"/>
        <w:numPr>
          <w:ilvl w:val="0"/>
          <w:numId w:val="16"/>
        </w:numPr>
        <w:rPr>
          <w:lang w:bidi="fa-IR"/>
        </w:rPr>
      </w:pPr>
      <w:r>
        <w:rPr>
          <w:lang w:bidi="fa-IR"/>
        </w:rPr>
        <w:t xml:space="preserve">Many home modifications can be very simple and relatively inexpensive including: grabrails and handrails, changing lighting and sound sensors. Some home modifications can be very expensive. The most common type of ‘larger scale’ home modifications’ are modifications to bathrooms. </w:t>
      </w:r>
    </w:p>
    <w:p w:rsidR="007C6A5F" w:rsidRDefault="007C6A5F" w:rsidP="005A6F87">
      <w:pPr>
        <w:pStyle w:val="ListNumber"/>
        <w:numPr>
          <w:ilvl w:val="0"/>
          <w:numId w:val="16"/>
        </w:numPr>
        <w:rPr>
          <w:lang w:bidi="fa-IR"/>
        </w:rPr>
      </w:pPr>
      <w:r>
        <w:rPr>
          <w:lang w:bidi="fa-IR"/>
        </w:rPr>
        <w:t>Because home modifications can be very effective and (in some cases) inexpensive, some stakeholders argue that subsidising or providing home modifications, where appropriate, can be a highly desirable policy for responding to the aging population and disabilities. To some extent, the net benefits of providing home modifications may reduce the need/desirability of adopting widespread accessible housing standards.</w:t>
      </w:r>
    </w:p>
    <w:p w:rsidR="007C6A5F" w:rsidRDefault="007C6A5F" w:rsidP="005A6F87">
      <w:pPr>
        <w:pStyle w:val="ListNumber"/>
        <w:numPr>
          <w:ilvl w:val="0"/>
          <w:numId w:val="16"/>
        </w:numPr>
        <w:rPr>
          <w:lang w:bidi="fa-IR"/>
        </w:rPr>
      </w:pPr>
      <w:r>
        <w:rPr>
          <w:lang w:bidi="fa-IR"/>
        </w:rPr>
        <w:t>As explained in our report, we have implicitly assumed that in a narrow and limited way home modifications and accessible housing are substitutes.</w:t>
      </w:r>
    </w:p>
    <w:p w:rsidR="007C6A5F" w:rsidRDefault="007C6A5F" w:rsidP="005A6F87">
      <w:pPr>
        <w:pStyle w:val="ListNumber2"/>
        <w:numPr>
          <w:ilvl w:val="1"/>
          <w:numId w:val="16"/>
        </w:numPr>
        <w:rPr>
          <w:lang w:bidi="fa-IR"/>
        </w:rPr>
      </w:pPr>
      <w:r>
        <w:rPr>
          <w:lang w:bidi="fa-IR"/>
        </w:rPr>
        <w:t>We have used home modifications literature to estimate the impact of accessible housing on falls and safety issues.</w:t>
      </w:r>
    </w:p>
    <w:p w:rsidR="007C6A5F" w:rsidRDefault="007C6A5F" w:rsidP="005A6F87">
      <w:pPr>
        <w:pStyle w:val="ListNumber2"/>
        <w:numPr>
          <w:ilvl w:val="1"/>
          <w:numId w:val="16"/>
        </w:numPr>
        <w:rPr>
          <w:lang w:bidi="fa-IR"/>
        </w:rPr>
      </w:pPr>
      <w:r>
        <w:rPr>
          <w:lang w:bidi="fa-IR"/>
        </w:rPr>
        <w:t xml:space="preserve">We have assumed that some of the ‘bigger ticket’ home modifications (including bathrooms, structural changes, wider doorways, kitchens, etc.) will not need to proceed if people already live in accessible housing. We therefore calculated the potentially avoidable cost of home modifications. </w:t>
      </w:r>
    </w:p>
    <w:p w:rsidR="007C6A5F" w:rsidRDefault="007C6A5F" w:rsidP="005A6F87">
      <w:pPr>
        <w:pStyle w:val="ListNumber"/>
        <w:numPr>
          <w:ilvl w:val="0"/>
          <w:numId w:val="16"/>
        </w:numPr>
        <w:rPr>
          <w:lang w:bidi="fa-IR"/>
        </w:rPr>
      </w:pPr>
      <w:r>
        <w:rPr>
          <w:lang w:bidi="fa-IR"/>
        </w:rPr>
        <w:t xml:space="preserve">The fact that stakeholders argue that home modifications and accessible housing may not be true substitutes means that our estimates of the safety impacts of accessible housing and our estimates of avoidable home modifications may be overstated. One stakeholder noted, in writing, that our assumptions are ‘contestable’. This means we may be overstating the problem that accessible housing could solve, and therefore overstating the estimated net benefits of accessible housing. </w:t>
      </w:r>
    </w:p>
    <w:p w:rsidR="007C6A5F" w:rsidRDefault="007C6A5F" w:rsidP="005A6F87">
      <w:pPr>
        <w:pStyle w:val="ListNumber2"/>
        <w:numPr>
          <w:ilvl w:val="1"/>
          <w:numId w:val="16"/>
        </w:numPr>
        <w:rPr>
          <w:lang w:bidi="fa-IR"/>
        </w:rPr>
      </w:pPr>
      <w:r>
        <w:rPr>
          <w:lang w:bidi="fa-IR"/>
        </w:rPr>
        <w:t>However, stakeholders do note that the structure of some buildings makes it difficult to retrofit (including, for example, toilets that drop through lift shafts). To the extent that accessible housing may alleviate these issues, this mitigates the overstatement of our estimates.</w:t>
      </w:r>
    </w:p>
    <w:p w:rsidR="007C6A5F" w:rsidRDefault="007C6A5F" w:rsidP="007C6A5F">
      <w:pPr>
        <w:pStyle w:val="Heading9"/>
        <w:rPr>
          <w:lang w:bidi="fa-IR"/>
        </w:rPr>
      </w:pPr>
      <w:r>
        <w:rPr>
          <w:lang w:bidi="fa-IR"/>
        </w:rPr>
        <w:lastRenderedPageBreak/>
        <w:t>Allocation</w:t>
      </w:r>
    </w:p>
    <w:p w:rsidR="007C6A5F" w:rsidRDefault="007C6A5F" w:rsidP="007C6A5F">
      <w:pPr>
        <w:pStyle w:val="BodyText"/>
        <w:rPr>
          <w:lang w:bidi="fa-IR"/>
        </w:rPr>
      </w:pPr>
      <w:r>
        <w:rPr>
          <w:lang w:bidi="fa-IR"/>
        </w:rPr>
        <w:t>Some stakeholders note that allocation is a significant issue. Even once you’ve built accessible homes, you still have the challenge of ensuring that people who need them actually occupy them.</w:t>
      </w:r>
    </w:p>
    <w:p w:rsidR="007C6A5F" w:rsidRDefault="007C6A5F" w:rsidP="007C6A5F">
      <w:pPr>
        <w:pStyle w:val="Heading9"/>
        <w:rPr>
          <w:lang w:bidi="fa-IR"/>
        </w:rPr>
      </w:pPr>
      <w:r>
        <w:rPr>
          <w:lang w:bidi="fa-IR"/>
        </w:rPr>
        <w:t>Sizes</w:t>
      </w:r>
    </w:p>
    <w:p w:rsidR="007C6A5F" w:rsidRDefault="007C6A5F" w:rsidP="007C6A5F">
      <w:pPr>
        <w:pStyle w:val="BodyText"/>
        <w:rPr>
          <w:lang w:bidi="fa-IR"/>
        </w:rPr>
      </w:pPr>
      <w:r>
        <w:rPr>
          <w:lang w:bidi="fa-IR"/>
        </w:rPr>
        <w:t>Stakeholders noted that as land blocks and homes get smaller, it is increasingly difficult to make them accessible. Importantly, the trend towards smaller blocks and homes is driven by market forces (in particular: as homes become less affordable, the market is responding by making them smaller). There may be trade-off between ‘accessibility’ and ‘affordability’.</w:t>
      </w:r>
    </w:p>
    <w:p w:rsidR="007C6A5F" w:rsidRDefault="007C6A5F" w:rsidP="007C6A5F">
      <w:pPr>
        <w:pStyle w:val="Heading9"/>
        <w:rPr>
          <w:lang w:bidi="fa-IR"/>
        </w:rPr>
      </w:pPr>
      <w:r>
        <w:rPr>
          <w:lang w:bidi="fa-IR"/>
        </w:rPr>
        <w:t>Current market conditions</w:t>
      </w:r>
    </w:p>
    <w:p w:rsidR="007C6A5F" w:rsidRDefault="007C6A5F" w:rsidP="007C6A5F">
      <w:pPr>
        <w:pStyle w:val="BodyText"/>
        <w:rPr>
          <w:lang w:bidi="fa-IR"/>
        </w:rPr>
      </w:pPr>
      <w:r>
        <w:rPr>
          <w:lang w:bidi="fa-IR"/>
        </w:rPr>
        <w:t>There is uncertainty as to exactly how the market is responding to the need for more accessible housing. While ABCB have previously noted an estimate that ‘around 5 per cent’ of new builds are accessible, one stakeholder argued it was more likely to be 10 per cent. One stakeholder argued we cannot be certain about this because getting certification/documentation is not possible or difficult; anecdotally, one builder is building and supplying accessible homes without bothering to get them certified. 5 per cent may be an undercount because it doesn’t include uncertified properties.</w:t>
      </w:r>
    </w:p>
    <w:p w:rsidR="007C6A5F" w:rsidRDefault="007C6A5F" w:rsidP="007C6A5F">
      <w:pPr>
        <w:pStyle w:val="BodyText"/>
        <w:rPr>
          <w:lang w:bidi="fa-IR"/>
        </w:rPr>
      </w:pPr>
      <w:r>
        <w:rPr>
          <w:lang w:bidi="fa-IR"/>
        </w:rPr>
        <w:t>Stakeholders note that consumer preferences are switching towards accessibility features. There are various factors that sit behind this:</w:t>
      </w:r>
    </w:p>
    <w:p w:rsidR="007C6A5F" w:rsidRDefault="007C6A5F" w:rsidP="005A6F87">
      <w:pPr>
        <w:pStyle w:val="ListBullet"/>
        <w:numPr>
          <w:ilvl w:val="0"/>
          <w:numId w:val="17"/>
        </w:numPr>
        <w:rPr>
          <w:lang w:bidi="fa-IR"/>
        </w:rPr>
      </w:pPr>
      <w:r>
        <w:rPr>
          <w:lang w:bidi="fa-IR"/>
        </w:rPr>
        <w:t>Consumers becoming more aware of ageing in place and future needs. For example baby boomers are beginning to buy accessible apartments.</w:t>
      </w:r>
    </w:p>
    <w:p w:rsidR="007C6A5F" w:rsidRDefault="007C6A5F" w:rsidP="005A6F87">
      <w:pPr>
        <w:pStyle w:val="ListBullet"/>
        <w:numPr>
          <w:ilvl w:val="0"/>
          <w:numId w:val="17"/>
        </w:numPr>
        <w:rPr>
          <w:lang w:bidi="fa-IR"/>
        </w:rPr>
      </w:pPr>
      <w:r>
        <w:rPr>
          <w:lang w:bidi="fa-IR"/>
        </w:rPr>
        <w:t>More ‘generational living’ where more than 2 generations of one family live on one property (this includes duplexes occupied by more than 2 generations of one family)</w:t>
      </w:r>
    </w:p>
    <w:p w:rsidR="007C6A5F" w:rsidRDefault="007C6A5F" w:rsidP="005A6F87">
      <w:pPr>
        <w:pStyle w:val="ListBullet"/>
        <w:numPr>
          <w:ilvl w:val="0"/>
          <w:numId w:val="17"/>
        </w:numPr>
        <w:rPr>
          <w:lang w:bidi="fa-IR"/>
        </w:rPr>
      </w:pPr>
      <w:r>
        <w:rPr>
          <w:lang w:bidi="fa-IR"/>
        </w:rPr>
        <w:t>The thinking of ‘live in one place for whole life’ is changing</w:t>
      </w:r>
    </w:p>
    <w:p w:rsidR="007C6A5F" w:rsidRDefault="007C6A5F" w:rsidP="007C6A5F">
      <w:pPr>
        <w:pStyle w:val="Heading7"/>
        <w:numPr>
          <w:ilvl w:val="6"/>
          <w:numId w:val="5"/>
        </w:numPr>
        <w:rPr>
          <w:lang w:bidi="fa-IR"/>
        </w:rPr>
      </w:pPr>
      <w:bookmarkStart w:id="9921" w:name="_Toc32955191"/>
      <w:bookmarkStart w:id="9922" w:name="_Toc32955501"/>
      <w:r>
        <w:rPr>
          <w:lang w:bidi="fa-IR"/>
        </w:rPr>
        <w:t>Theme 2: options for addressing the problem</w:t>
      </w:r>
      <w:bookmarkEnd w:id="9921"/>
      <w:bookmarkEnd w:id="9922"/>
    </w:p>
    <w:p w:rsidR="007C6A5F" w:rsidRDefault="007C6A5F" w:rsidP="007C6A5F">
      <w:pPr>
        <w:pStyle w:val="Heading8"/>
        <w:numPr>
          <w:ilvl w:val="7"/>
          <w:numId w:val="5"/>
        </w:numPr>
        <w:rPr>
          <w:lang w:bidi="fa-IR"/>
        </w:rPr>
      </w:pPr>
      <w:r>
        <w:rPr>
          <w:lang w:bidi="fa-IR"/>
        </w:rPr>
        <w:t>NCC</w:t>
      </w:r>
    </w:p>
    <w:p w:rsidR="007C6A5F" w:rsidRDefault="007C6A5F" w:rsidP="007C6A5F">
      <w:pPr>
        <w:pStyle w:val="BodyText"/>
        <w:rPr>
          <w:lang w:bidi="fa-IR"/>
        </w:rPr>
      </w:pPr>
      <w:r>
        <w:rPr>
          <w:lang w:bidi="fa-IR"/>
        </w:rPr>
        <w:t xml:space="preserve">One stakeholder noted that a regulatory change is required because the building industry is so fragmented (it is only way to communicate with all players). </w:t>
      </w:r>
    </w:p>
    <w:p w:rsidR="007C6A5F" w:rsidRDefault="007C6A5F" w:rsidP="007C6A5F">
      <w:pPr>
        <w:pStyle w:val="BodyText"/>
        <w:rPr>
          <w:lang w:bidi="fa-IR"/>
        </w:rPr>
      </w:pPr>
      <w:r>
        <w:rPr>
          <w:lang w:bidi="fa-IR"/>
        </w:rPr>
        <w:t>Other stakeholders noted that if changes to the NCC are adopted, performance standards are not desirable due to cost (it involves assessment by a professional consultant, reporting, etc.).</w:t>
      </w:r>
    </w:p>
    <w:p w:rsidR="007C6A5F" w:rsidRDefault="007C6A5F" w:rsidP="007C6A5F">
      <w:pPr>
        <w:pStyle w:val="BodyText"/>
        <w:rPr>
          <w:lang w:bidi="fa-IR"/>
        </w:rPr>
      </w:pPr>
      <w:r>
        <w:rPr>
          <w:lang w:bidi="fa-IR"/>
        </w:rPr>
        <w:t>On choices available to the ABCB, one stakeholder argued that a no-step requirement is desirable relative to a 1-step requirement. Wheelchair users struggle with 1-step. Elderly can also struggle with just one step. On the other hand, 1-step is fine for people with a walking frame.</w:t>
      </w:r>
    </w:p>
    <w:p w:rsidR="007C6A5F" w:rsidRDefault="007C6A5F" w:rsidP="007C6A5F">
      <w:pPr>
        <w:pStyle w:val="Heading8"/>
        <w:numPr>
          <w:ilvl w:val="7"/>
          <w:numId w:val="5"/>
        </w:numPr>
        <w:rPr>
          <w:lang w:bidi="fa-IR"/>
        </w:rPr>
      </w:pPr>
      <w:r>
        <w:rPr>
          <w:lang w:bidi="fa-IR"/>
        </w:rPr>
        <w:lastRenderedPageBreak/>
        <w:t>Other options</w:t>
      </w:r>
    </w:p>
    <w:p w:rsidR="007C6A5F" w:rsidRDefault="007C6A5F" w:rsidP="007C6A5F">
      <w:pPr>
        <w:pStyle w:val="BodyText"/>
        <w:rPr>
          <w:lang w:bidi="fa-IR"/>
        </w:rPr>
      </w:pPr>
      <w:r>
        <w:rPr>
          <w:lang w:bidi="fa-IR"/>
        </w:rPr>
        <w:t>Some stakeholders argued that non-regulatory options have not been explored to a sufficient extent to warrant the consideration of regulatory options. Alternative non-regulatory strategies include:</w:t>
      </w:r>
    </w:p>
    <w:p w:rsidR="007C6A5F" w:rsidRDefault="007C6A5F" w:rsidP="005A6F87">
      <w:pPr>
        <w:pStyle w:val="ListBullet"/>
        <w:numPr>
          <w:ilvl w:val="0"/>
          <w:numId w:val="17"/>
        </w:numPr>
        <w:rPr>
          <w:lang w:bidi="fa-IR"/>
        </w:rPr>
      </w:pPr>
      <w:r>
        <w:rPr>
          <w:lang w:bidi="fa-IR"/>
        </w:rPr>
        <w:t>Voluntary performance standard or voluntary tool to verify accessibility</w:t>
      </w:r>
    </w:p>
    <w:p w:rsidR="007C6A5F" w:rsidRDefault="007C6A5F" w:rsidP="005A6F87">
      <w:pPr>
        <w:pStyle w:val="ListBullet"/>
        <w:numPr>
          <w:ilvl w:val="0"/>
          <w:numId w:val="17"/>
        </w:numPr>
        <w:rPr>
          <w:lang w:bidi="fa-IR"/>
        </w:rPr>
      </w:pPr>
      <w:r>
        <w:rPr>
          <w:lang w:bidi="fa-IR"/>
        </w:rPr>
        <w:t>Point of sale/marketing tool/rating scheme</w:t>
      </w:r>
    </w:p>
    <w:p w:rsidR="007C6A5F" w:rsidRDefault="007C6A5F" w:rsidP="005A6F87">
      <w:pPr>
        <w:pStyle w:val="ListBullet"/>
        <w:numPr>
          <w:ilvl w:val="0"/>
          <w:numId w:val="17"/>
        </w:numPr>
        <w:rPr>
          <w:lang w:bidi="fa-IR"/>
        </w:rPr>
      </w:pPr>
      <w:r>
        <w:rPr>
          <w:lang w:bidi="fa-IR"/>
        </w:rPr>
        <w:t>Best practice guidelines and accreditation scheme</w:t>
      </w:r>
    </w:p>
    <w:p w:rsidR="007C6A5F" w:rsidRDefault="007C6A5F" w:rsidP="005A6F87">
      <w:pPr>
        <w:pStyle w:val="ListBullet"/>
        <w:numPr>
          <w:ilvl w:val="0"/>
          <w:numId w:val="17"/>
        </w:numPr>
        <w:rPr>
          <w:lang w:bidi="fa-IR"/>
        </w:rPr>
      </w:pPr>
      <w:r>
        <w:rPr>
          <w:lang w:bidi="fa-IR"/>
        </w:rPr>
        <w:t>Compulsory professional development for builders, planners, designers, etc.</w:t>
      </w:r>
    </w:p>
    <w:p w:rsidR="007C6A5F" w:rsidRDefault="007C6A5F" w:rsidP="005A6F87">
      <w:pPr>
        <w:pStyle w:val="ListBullet"/>
        <w:numPr>
          <w:ilvl w:val="0"/>
          <w:numId w:val="17"/>
        </w:numPr>
        <w:rPr>
          <w:lang w:bidi="fa-IR"/>
        </w:rPr>
      </w:pPr>
      <w:r>
        <w:rPr>
          <w:lang w:bidi="fa-IR"/>
        </w:rPr>
        <w:t>New Zealand option where building code references voluntary standard</w:t>
      </w:r>
    </w:p>
    <w:p w:rsidR="007C6A5F" w:rsidRDefault="007C6A5F" w:rsidP="005A6F87">
      <w:pPr>
        <w:pStyle w:val="ListBullet"/>
        <w:numPr>
          <w:ilvl w:val="0"/>
          <w:numId w:val="17"/>
        </w:numPr>
        <w:rPr>
          <w:lang w:bidi="fa-IR"/>
        </w:rPr>
      </w:pPr>
      <w:r>
        <w:rPr>
          <w:lang w:bidi="fa-IR"/>
        </w:rPr>
        <w:t>Financial incentives (e.g. Brisbane city council offering lower developer charges if you meet gold)</w:t>
      </w:r>
    </w:p>
    <w:p w:rsidR="007C6A5F" w:rsidRDefault="007C6A5F" w:rsidP="007C6A5F">
      <w:pPr>
        <w:pStyle w:val="BodyText"/>
        <w:rPr>
          <w:lang w:bidi="fa-IR"/>
        </w:rPr>
      </w:pPr>
      <w:r>
        <w:rPr>
          <w:lang w:bidi="fa-IR"/>
        </w:rPr>
        <w:t>Stakeholders noted non-regulatory options should be backed up with more accountability measures.</w:t>
      </w:r>
    </w:p>
    <w:p w:rsidR="007C6A5F" w:rsidRPr="00633DC7" w:rsidRDefault="007C6A5F" w:rsidP="007C6A5F">
      <w:pPr>
        <w:pStyle w:val="BodyText"/>
        <w:rPr>
          <w:lang w:bidi="fa-IR"/>
        </w:rPr>
      </w:pPr>
      <w:r>
        <w:rPr>
          <w:lang w:bidi="fa-IR"/>
        </w:rPr>
        <w:t>Stakeholders also noted that changes to the NCC could be drafted to limit the number of properties they apply to. For example, the NCC has bushfire requirements that only apply via planning requirements.</w:t>
      </w:r>
    </w:p>
    <w:p w:rsidR="007C6A5F" w:rsidRDefault="007C6A5F" w:rsidP="007C6A5F">
      <w:pPr>
        <w:pStyle w:val="BodyText"/>
        <w:rPr>
          <w:lang w:bidi="fa-IR"/>
        </w:rPr>
      </w:pPr>
      <w:r>
        <w:rPr>
          <w:lang w:bidi="fa-IR"/>
        </w:rPr>
        <w:t xml:space="preserve">Stakeholders noted that more accessible social housing is not really an alternative to more accessible private housing, because the change from private housing to social housing is too big. Further, stakeholders note that social housing turns over very slowly (and therefore may not be the response that people need for this problem). Stakeholders note that social housing tends to be old, which probably means it is not very accessible. </w:t>
      </w:r>
    </w:p>
    <w:p w:rsidR="007C6A5F" w:rsidRDefault="007C6A5F" w:rsidP="007C6A5F">
      <w:pPr>
        <w:pStyle w:val="BodyText"/>
        <w:rPr>
          <w:lang w:bidi="fa-IR"/>
        </w:rPr>
      </w:pPr>
      <w:r>
        <w:rPr>
          <w:lang w:bidi="fa-IR"/>
        </w:rPr>
        <w:t xml:space="preserve">Some stakeholders believe it would be appropriate to offer financial incentives (e.g. tax concessions) to create more accessible housing. </w:t>
      </w:r>
    </w:p>
    <w:p w:rsidR="007C6A5F" w:rsidRDefault="007C6A5F" w:rsidP="007C6A5F">
      <w:pPr>
        <w:pStyle w:val="BodyText"/>
        <w:rPr>
          <w:lang w:bidi="fa-IR"/>
        </w:rPr>
      </w:pPr>
      <w:r>
        <w:rPr>
          <w:lang w:bidi="fa-IR"/>
        </w:rPr>
        <w:t>Stakeholders note the Federal government has very few levers to influence this problem (other than the NCC).</w:t>
      </w:r>
    </w:p>
    <w:p w:rsidR="007C6A5F" w:rsidRDefault="007C6A5F" w:rsidP="007C6A5F">
      <w:pPr>
        <w:pStyle w:val="BodyText"/>
        <w:rPr>
          <w:lang w:bidi="fa-IR"/>
        </w:rPr>
      </w:pPr>
      <w:r>
        <w:rPr>
          <w:lang w:bidi="fa-IR"/>
        </w:rPr>
        <w:t>One stakeholder noted that (in general) addressing building problems through planning or via local councils can be problematic because it creates the potential for:</w:t>
      </w:r>
    </w:p>
    <w:p w:rsidR="007C6A5F" w:rsidRDefault="007C6A5F" w:rsidP="005A6F87">
      <w:pPr>
        <w:pStyle w:val="ListBullet"/>
        <w:numPr>
          <w:ilvl w:val="0"/>
          <w:numId w:val="17"/>
        </w:numPr>
        <w:rPr>
          <w:lang w:bidi="fa-IR"/>
        </w:rPr>
      </w:pPr>
      <w:r>
        <w:rPr>
          <w:lang w:bidi="fa-IR"/>
        </w:rPr>
        <w:t>Too much inconsistency across councils,</w:t>
      </w:r>
    </w:p>
    <w:p w:rsidR="007C6A5F" w:rsidRDefault="007C6A5F" w:rsidP="005A6F87">
      <w:pPr>
        <w:pStyle w:val="ListBullet"/>
        <w:numPr>
          <w:ilvl w:val="0"/>
          <w:numId w:val="17"/>
        </w:numPr>
        <w:rPr>
          <w:lang w:bidi="fa-IR"/>
        </w:rPr>
      </w:pPr>
      <w:r>
        <w:rPr>
          <w:lang w:bidi="fa-IR"/>
        </w:rPr>
        <w:t>Too much regulation (overall)</w:t>
      </w:r>
    </w:p>
    <w:p w:rsidR="007C6A5F" w:rsidRDefault="007C6A5F" w:rsidP="005A6F87">
      <w:pPr>
        <w:pStyle w:val="ListBullet"/>
        <w:numPr>
          <w:ilvl w:val="0"/>
          <w:numId w:val="17"/>
        </w:numPr>
        <w:rPr>
          <w:lang w:bidi="fa-IR"/>
        </w:rPr>
      </w:pPr>
      <w:r>
        <w:rPr>
          <w:lang w:bidi="fa-IR"/>
        </w:rPr>
        <w:t>Council staff may not understand what they are regulating</w:t>
      </w:r>
    </w:p>
    <w:p w:rsidR="007C6A5F" w:rsidRPr="006D390D" w:rsidRDefault="007C6A5F" w:rsidP="007C6A5F">
      <w:pPr>
        <w:pStyle w:val="ListBullet"/>
        <w:numPr>
          <w:ilvl w:val="0"/>
          <w:numId w:val="0"/>
        </w:numPr>
        <w:rPr>
          <w:lang w:bidi="fa-IR"/>
        </w:rPr>
      </w:pPr>
      <w:r>
        <w:rPr>
          <w:lang w:bidi="fa-IR"/>
        </w:rPr>
        <w:t>On the other hand, another stakeholder noted the advantage of doing via planning is that accessible homes may be built where people who need them want to live.</w:t>
      </w:r>
    </w:p>
    <w:p w:rsidR="007C6A5F" w:rsidRDefault="007C6A5F" w:rsidP="007C6A5F">
      <w:pPr>
        <w:pStyle w:val="Heading7"/>
        <w:numPr>
          <w:ilvl w:val="6"/>
          <w:numId w:val="5"/>
        </w:numPr>
        <w:rPr>
          <w:lang w:bidi="fa-IR"/>
        </w:rPr>
      </w:pPr>
      <w:bookmarkStart w:id="9923" w:name="_Toc32955192"/>
      <w:bookmarkStart w:id="9924" w:name="_Toc32955502"/>
      <w:r>
        <w:rPr>
          <w:lang w:bidi="fa-IR"/>
        </w:rPr>
        <w:lastRenderedPageBreak/>
        <w:t>Theme 3: the impacts of accessible housing</w:t>
      </w:r>
      <w:bookmarkEnd w:id="9923"/>
      <w:bookmarkEnd w:id="9924"/>
    </w:p>
    <w:p w:rsidR="007C6A5F" w:rsidRPr="006D390D" w:rsidRDefault="007C6A5F" w:rsidP="007C6A5F">
      <w:pPr>
        <w:pStyle w:val="Heading8"/>
        <w:numPr>
          <w:ilvl w:val="7"/>
          <w:numId w:val="5"/>
        </w:numPr>
        <w:rPr>
          <w:lang w:bidi="fa-IR"/>
        </w:rPr>
      </w:pPr>
      <w:r>
        <w:rPr>
          <w:lang w:bidi="fa-IR"/>
        </w:rPr>
        <w:t>Costs</w:t>
      </w:r>
    </w:p>
    <w:p w:rsidR="007C6A5F" w:rsidRDefault="007C6A5F" w:rsidP="007C6A5F">
      <w:pPr>
        <w:pStyle w:val="BodyText"/>
        <w:rPr>
          <w:lang w:bidi="fa-IR"/>
        </w:rPr>
      </w:pPr>
      <w:r>
        <w:rPr>
          <w:lang w:bidi="fa-IR"/>
        </w:rPr>
        <w:t>Stakeholders argued that costs to the building industry of requiring accessibility features are short-term transition costs (for example: once the ‘cookie-cutter’ has been reoriented towards accessible features, over a few years, costs for industry will return to normal).</w:t>
      </w:r>
    </w:p>
    <w:p w:rsidR="007C6A5F" w:rsidRDefault="007C6A5F" w:rsidP="007C6A5F">
      <w:pPr>
        <w:pStyle w:val="BodyText"/>
        <w:rPr>
          <w:lang w:bidi="fa-IR"/>
        </w:rPr>
      </w:pPr>
      <w:r>
        <w:rPr>
          <w:lang w:bidi="fa-IR"/>
        </w:rPr>
        <w:t>Stakeholders argued that costs can be minimised with clever design solutions and elimination of less important features. For example, not having walk-in wardrobes or defining spaces with furniture rather than walls.</w:t>
      </w:r>
    </w:p>
    <w:p w:rsidR="007C6A5F" w:rsidRDefault="007C6A5F" w:rsidP="007C6A5F">
      <w:pPr>
        <w:pStyle w:val="BodyText"/>
        <w:rPr>
          <w:lang w:bidi="fa-IR"/>
        </w:rPr>
      </w:pPr>
      <w:r>
        <w:rPr>
          <w:lang w:bidi="fa-IR"/>
        </w:rPr>
        <w:t xml:space="preserve">Stakeholders note that cost for smaller builders/market players will be most significant/difficult. </w:t>
      </w:r>
    </w:p>
    <w:p w:rsidR="007C6A5F" w:rsidRDefault="007C6A5F" w:rsidP="007C6A5F">
      <w:pPr>
        <w:pStyle w:val="BodyText"/>
        <w:rPr>
          <w:lang w:bidi="fa-IR"/>
        </w:rPr>
      </w:pPr>
      <w:r>
        <w:rPr>
          <w:lang w:bidi="fa-IR"/>
        </w:rPr>
        <w:t>Stakeholders are concerned the following points may be difficult to fully cost:</w:t>
      </w:r>
    </w:p>
    <w:p w:rsidR="007C6A5F" w:rsidRDefault="007C6A5F" w:rsidP="005A6F87">
      <w:pPr>
        <w:pStyle w:val="ListBullet"/>
        <w:numPr>
          <w:ilvl w:val="0"/>
          <w:numId w:val="17"/>
        </w:numPr>
        <w:rPr>
          <w:lang w:bidi="fa-IR"/>
        </w:rPr>
      </w:pPr>
      <w:r>
        <w:rPr>
          <w:lang w:bidi="fa-IR"/>
        </w:rPr>
        <w:t>The effect of changing technology/practices</w:t>
      </w:r>
    </w:p>
    <w:p w:rsidR="007C6A5F" w:rsidRDefault="007C6A5F" w:rsidP="005A6F87">
      <w:pPr>
        <w:pStyle w:val="ListBullet"/>
        <w:numPr>
          <w:ilvl w:val="0"/>
          <w:numId w:val="17"/>
        </w:numPr>
        <w:rPr>
          <w:lang w:bidi="fa-IR"/>
        </w:rPr>
      </w:pPr>
      <w:r>
        <w:rPr>
          <w:lang w:bidi="fa-IR"/>
        </w:rPr>
        <w:t>Changing slab systems</w:t>
      </w:r>
    </w:p>
    <w:p w:rsidR="007C6A5F" w:rsidRDefault="007C6A5F" w:rsidP="005A6F87">
      <w:pPr>
        <w:pStyle w:val="ListBullet"/>
        <w:numPr>
          <w:ilvl w:val="0"/>
          <w:numId w:val="17"/>
        </w:numPr>
        <w:rPr>
          <w:lang w:bidi="fa-IR"/>
        </w:rPr>
      </w:pPr>
      <w:r>
        <w:rPr>
          <w:lang w:bidi="fa-IR"/>
        </w:rPr>
        <w:t>Losing homes in developments (where homes expand to meet new requirements)</w:t>
      </w:r>
    </w:p>
    <w:p w:rsidR="007C6A5F" w:rsidRDefault="007C6A5F" w:rsidP="005A6F87">
      <w:pPr>
        <w:pStyle w:val="ListBullet"/>
        <w:numPr>
          <w:ilvl w:val="0"/>
          <w:numId w:val="17"/>
        </w:numPr>
        <w:rPr>
          <w:lang w:bidi="fa-IR"/>
        </w:rPr>
      </w:pPr>
      <w:r>
        <w:rPr>
          <w:lang w:bidi="fa-IR"/>
        </w:rPr>
        <w:t>Excavation costs</w:t>
      </w:r>
    </w:p>
    <w:p w:rsidR="007C6A5F" w:rsidRDefault="007C6A5F" w:rsidP="005A6F87">
      <w:pPr>
        <w:pStyle w:val="ListBullet"/>
        <w:numPr>
          <w:ilvl w:val="0"/>
          <w:numId w:val="17"/>
        </w:numPr>
        <w:rPr>
          <w:lang w:bidi="fa-IR"/>
        </w:rPr>
      </w:pPr>
      <w:r>
        <w:rPr>
          <w:lang w:bidi="fa-IR"/>
        </w:rPr>
        <w:t>The cost of the loss of choice: for example, new home builders may not be able to build ‘high set’ houses – how should this be costed?</w:t>
      </w:r>
    </w:p>
    <w:p w:rsidR="007C6A5F" w:rsidRDefault="007C6A5F" w:rsidP="007C6A5F">
      <w:pPr>
        <w:pStyle w:val="BodyText"/>
        <w:rPr>
          <w:lang w:bidi="fa-IR"/>
        </w:rPr>
      </w:pPr>
      <w:r>
        <w:rPr>
          <w:lang w:bidi="fa-IR"/>
        </w:rPr>
        <w:t>One stakeholder noted that the supply chain for new build homes is so well optimised, it will be costly to change. This includes costs to changing systems within building companies. It also includes the cost of changing products within the supply chain (for example, door and frames are supplied as one product).</w:t>
      </w:r>
    </w:p>
    <w:p w:rsidR="007C6A5F" w:rsidRDefault="007C6A5F" w:rsidP="007C6A5F">
      <w:pPr>
        <w:pStyle w:val="BodyText"/>
        <w:rPr>
          <w:lang w:bidi="fa-IR"/>
        </w:rPr>
      </w:pPr>
      <w:r>
        <w:rPr>
          <w:lang w:bidi="fa-IR"/>
        </w:rPr>
        <w:t>One stakeholder noted that as regulation that applies to buildings becomes more complicated, there is a risk that the impact of regulatory changes lessens. (In essence, builders become less able to meet all requirements and may deal with this by ignoring some requirements in cases where they are difficult and this is tacitly accepted by regulators). This is a difficult outcome for everybody involved.</w:t>
      </w:r>
    </w:p>
    <w:p w:rsidR="007C6A5F" w:rsidRDefault="007C6A5F" w:rsidP="007C6A5F">
      <w:pPr>
        <w:pStyle w:val="Heading8"/>
        <w:numPr>
          <w:ilvl w:val="7"/>
          <w:numId w:val="5"/>
        </w:numPr>
        <w:rPr>
          <w:lang w:bidi="fa-IR"/>
        </w:rPr>
      </w:pPr>
      <w:r>
        <w:rPr>
          <w:lang w:bidi="fa-IR"/>
        </w:rPr>
        <w:t>Benefits</w:t>
      </w:r>
    </w:p>
    <w:p w:rsidR="007C6A5F" w:rsidRDefault="007C6A5F" w:rsidP="007C6A5F">
      <w:pPr>
        <w:pStyle w:val="BodyText"/>
        <w:rPr>
          <w:lang w:bidi="fa-IR"/>
        </w:rPr>
      </w:pPr>
      <w:r>
        <w:rPr>
          <w:lang w:bidi="fa-IR"/>
        </w:rPr>
        <w:t>Stakeholders commented on the benefits of more accessible housing. General benefits include: general social benefits, participation and inclusion, education, employment and health, more choice in the housing market, lower health-care and caring costs, smoother interaction with the hospital and health system, more amenity from the home environment.</w:t>
      </w:r>
    </w:p>
    <w:p w:rsidR="007C6A5F" w:rsidRDefault="007C6A5F" w:rsidP="007C6A5F">
      <w:pPr>
        <w:pStyle w:val="BodyText"/>
        <w:rPr>
          <w:lang w:bidi="fa-IR"/>
        </w:rPr>
      </w:pPr>
      <w:r>
        <w:rPr>
          <w:lang w:bidi="fa-IR"/>
        </w:rPr>
        <w:t>One stakeholder notes that if the NCC is changed to require ‘platinum standard’ for new housing [an option that is not currently considered by the ABCB] this will not reduce the costs of the SDA (specialist disability accommodation) component of the NDIS. This accommodation has higher specifications than platinum.</w:t>
      </w:r>
    </w:p>
    <w:p w:rsidR="007C6A5F" w:rsidRDefault="007C6A5F" w:rsidP="007C6A5F">
      <w:pPr>
        <w:pStyle w:val="Heading7"/>
        <w:numPr>
          <w:ilvl w:val="6"/>
          <w:numId w:val="5"/>
        </w:numPr>
        <w:rPr>
          <w:lang w:bidi="fa-IR"/>
        </w:rPr>
      </w:pPr>
      <w:r>
        <w:rPr>
          <w:lang w:bidi="fa-IR"/>
        </w:rPr>
        <w:lastRenderedPageBreak/>
        <w:t>Other points</w:t>
      </w:r>
    </w:p>
    <w:p w:rsidR="007C6A5F" w:rsidRPr="006D390D" w:rsidRDefault="007C6A5F" w:rsidP="007C6A5F">
      <w:pPr>
        <w:pStyle w:val="Heading8"/>
        <w:numPr>
          <w:ilvl w:val="7"/>
          <w:numId w:val="5"/>
        </w:numPr>
        <w:rPr>
          <w:lang w:bidi="fa-IR"/>
        </w:rPr>
      </w:pPr>
      <w:r>
        <w:rPr>
          <w:lang w:bidi="fa-IR"/>
        </w:rPr>
        <w:t>Methodology and framework</w:t>
      </w:r>
    </w:p>
    <w:p w:rsidR="007C6A5F" w:rsidRDefault="007C6A5F" w:rsidP="007C6A5F">
      <w:pPr>
        <w:pStyle w:val="BodyText"/>
        <w:rPr>
          <w:lang w:bidi="fa-IR"/>
        </w:rPr>
      </w:pPr>
      <w:r>
        <w:rPr>
          <w:lang w:bidi="fa-IR"/>
        </w:rPr>
        <w:t>Stakeholders argued that accessible housing, where it is occupied by people who benefit from it directly, potentially creates benefits for other people including family members, friends and carers. Further the group of people who could benefit directly from accessible housing is quite a large group (it includes people who suffer some forms of cancer and from strokes). Finally, where accessibility features are required, they influence many aspects of a person’s life: interaction and participation in the community, enjoying the backyard, right through to easy evacuations by medical personnel when required. Therefore it is necessary for the analyst to think as broadly as possible when considering this issue.</w:t>
      </w:r>
    </w:p>
    <w:p w:rsidR="007C6A5F" w:rsidRDefault="007C6A5F" w:rsidP="007C6A5F">
      <w:pPr>
        <w:pStyle w:val="BodyText"/>
        <w:rPr>
          <w:lang w:bidi="fa-IR"/>
        </w:rPr>
      </w:pPr>
      <w:r>
        <w:rPr>
          <w:lang w:bidi="fa-IR"/>
        </w:rPr>
        <w:t>Stakeholders note that the ‘framework’ for thinking about the benefits of accessible housing is important. For example, there are ‘benefits at the point of sale’ (to builders/developers, buyers) and then there are ‘benefits throughout the lifetime of the dwelling (to future owners, occupiers, etc.)</w:t>
      </w:r>
    </w:p>
    <w:p w:rsidR="007C6A5F" w:rsidRDefault="007C6A5F" w:rsidP="007C6A5F">
      <w:pPr>
        <w:pStyle w:val="Heading8"/>
        <w:numPr>
          <w:ilvl w:val="7"/>
          <w:numId w:val="5"/>
        </w:numPr>
        <w:rPr>
          <w:lang w:bidi="fa-IR"/>
        </w:rPr>
      </w:pPr>
      <w:r>
        <w:rPr>
          <w:lang w:bidi="fa-IR"/>
        </w:rPr>
        <w:t>Context</w:t>
      </w:r>
    </w:p>
    <w:p w:rsidR="007C6A5F" w:rsidRPr="00DC2825" w:rsidRDefault="007C6A5F" w:rsidP="007C6A5F">
      <w:pPr>
        <w:pStyle w:val="BodyText"/>
        <w:rPr>
          <w:lang w:bidi="fa-IR"/>
        </w:rPr>
      </w:pPr>
      <w:r>
        <w:rPr>
          <w:lang w:bidi="fa-IR"/>
        </w:rPr>
        <w:t xml:space="preserve">Stakeholders noted </w:t>
      </w:r>
      <w:r w:rsidRPr="003E42C5">
        <w:rPr>
          <w:lang w:bidi="fa-IR"/>
        </w:rPr>
        <w:t>this project is being undertaken in the environment of a Royal Commission into Aged Care and a Royal Commission into Disability abuse and neglect</w:t>
      </w:r>
      <w:r>
        <w:rPr>
          <w:lang w:bidi="fa-IR"/>
        </w:rPr>
        <w:t>.</w:t>
      </w:r>
    </w:p>
    <w:p w:rsidR="007C6A5F" w:rsidRPr="003E42C5" w:rsidRDefault="007C6A5F" w:rsidP="007C6A5F">
      <w:pPr>
        <w:pStyle w:val="BodyText"/>
        <w:rPr>
          <w:b/>
          <w:bCs/>
          <w:lang w:bidi="fa-IR"/>
        </w:rPr>
      </w:pPr>
      <w:r>
        <w:rPr>
          <w:lang w:bidi="fa-IR"/>
        </w:rPr>
        <w:t xml:space="preserve">Stakeholders noted the ‘backstory’ to this project is important, including the 2009 </w:t>
      </w:r>
      <w:r>
        <w:rPr>
          <w:shd w:val="clear" w:color="auto" w:fill="FFFFFF"/>
        </w:rPr>
        <w:t>National Dialogue on Universal Housing Design.</w:t>
      </w:r>
    </w:p>
    <w:p w:rsidR="003822C2" w:rsidRDefault="003822C2" w:rsidP="006C5856">
      <w:pPr>
        <w:pStyle w:val="BodyText"/>
        <w:rPr>
          <w:lang w:bidi="fa-IR"/>
        </w:rPr>
      </w:pPr>
    </w:p>
    <w:p w:rsidR="007C6A5F" w:rsidRDefault="007C6A5F" w:rsidP="006C5856">
      <w:pPr>
        <w:pStyle w:val="BodyText"/>
        <w:rPr>
          <w:lang w:bidi="fa-IR"/>
        </w:rPr>
        <w:sectPr w:rsidR="007C6A5F" w:rsidSect="00F96D1A">
          <w:headerReference w:type="even" r:id="rId81"/>
          <w:headerReference w:type="default" r:id="rId82"/>
          <w:footerReference w:type="even" r:id="rId83"/>
          <w:footerReference w:type="default" r:id="rId84"/>
          <w:pgSz w:w="11906" w:h="16838" w:code="9"/>
          <w:pgMar w:top="2268" w:right="1701" w:bottom="1418" w:left="2268" w:header="680" w:footer="680" w:gutter="0"/>
          <w:cols w:space="708"/>
          <w:docGrid w:linePitch="360"/>
        </w:sectPr>
      </w:pPr>
    </w:p>
    <w:tbl>
      <w:tblPr>
        <w:tblStyle w:val="LayoutGrid"/>
        <w:tblW w:w="0" w:type="auto"/>
        <w:tblLook w:val="04A0" w:firstRow="1" w:lastRow="0" w:firstColumn="1" w:lastColumn="0" w:noHBand="0" w:noVBand="1"/>
        <w:tblCaption w:val="Back cover"/>
        <w:tblDescription w:val="blank cell on back cover"/>
      </w:tblPr>
      <w:tblGrid>
        <w:gridCol w:w="7927"/>
      </w:tblGrid>
      <w:tr w:rsidR="007C6A5F" w:rsidTr="00E44C81">
        <w:trPr>
          <w:trHeight w:val="8941"/>
          <w:tblHeader/>
        </w:trPr>
        <w:tc>
          <w:tcPr>
            <w:tcW w:w="7927" w:type="dxa"/>
          </w:tcPr>
          <w:p w:rsidR="007C6A5F" w:rsidRDefault="007C6A5F" w:rsidP="00C36DA4">
            <w:pPr>
              <w:rPr>
                <w:lang w:bidi="fa-IR"/>
              </w:rPr>
            </w:pPr>
          </w:p>
        </w:tc>
      </w:tr>
      <w:tr w:rsidR="007C6A5F" w:rsidTr="00E44C81">
        <w:trPr>
          <w:tblHeader/>
        </w:trPr>
        <w:tc>
          <w:tcPr>
            <w:tcW w:w="7927" w:type="dxa"/>
          </w:tcPr>
          <w:p w:rsidR="007C6A5F" w:rsidRPr="003E1F01" w:rsidRDefault="007C6A5F" w:rsidP="00C36DA4">
            <w:pPr>
              <w:pStyle w:val="BodyText"/>
              <w:spacing w:before="0"/>
              <w:rPr>
                <w:rFonts w:ascii="Franklin Gothic Demi" w:hAnsi="Franklin Gothic Demi"/>
                <w:caps/>
                <w:spacing w:val="10"/>
                <w:sz w:val="18"/>
              </w:rPr>
            </w:pPr>
            <w:r w:rsidRPr="003E1F01">
              <w:rPr>
                <w:rFonts w:ascii="Franklin Gothic Demi" w:hAnsi="Franklin Gothic Demi"/>
                <w:caps/>
                <w:spacing w:val="10"/>
                <w:sz w:val="18"/>
              </w:rPr>
              <w:t>The Centre for International Economics</w:t>
            </w:r>
          </w:p>
          <w:p w:rsidR="007C6A5F" w:rsidRPr="003E1F01" w:rsidRDefault="007C6A5F" w:rsidP="00C36DA4">
            <w:pPr>
              <w:pStyle w:val="BodyText"/>
              <w:spacing w:before="0"/>
              <w:rPr>
                <w:i/>
                <w:sz w:val="22"/>
              </w:rPr>
            </w:pPr>
            <w:r w:rsidRPr="003E1F01">
              <w:rPr>
                <w:i/>
                <w:sz w:val="22"/>
              </w:rPr>
              <w:t>www.TheCIE.com.au</w:t>
            </w:r>
          </w:p>
          <w:p w:rsidR="007C6A5F" w:rsidRDefault="007C6A5F" w:rsidP="00C36DA4">
            <w:pPr>
              <w:rPr>
                <w:lang w:bidi="fa-IR"/>
              </w:rPr>
            </w:pPr>
          </w:p>
        </w:tc>
      </w:tr>
    </w:tbl>
    <w:p w:rsidR="007C6A5F" w:rsidRDefault="007C6A5F" w:rsidP="00C36DA4">
      <w:pPr>
        <w:rPr>
          <w:lang w:bidi="fa-IR"/>
        </w:rPr>
      </w:pPr>
      <w:r>
        <w:rPr>
          <w:noProof/>
        </w:rPr>
        <w:drawing>
          <wp:anchor distT="0" distB="0" distL="114300" distR="114300" simplePos="0" relativeHeight="251663360" behindDoc="1" locked="1" layoutInCell="0" allowOverlap="1" wp14:anchorId="5249FCDE" wp14:editId="0C60657C">
            <wp:simplePos x="0" y="0"/>
            <wp:positionH relativeFrom="page">
              <wp:posOffset>0</wp:posOffset>
            </wp:positionH>
            <wp:positionV relativeFrom="page">
              <wp:posOffset>0</wp:posOffset>
            </wp:positionV>
            <wp:extent cx="7560000" cy="10692000"/>
            <wp:effectExtent l="0" t="0" r="3175" b="0"/>
            <wp:wrapNone/>
            <wp:docPr id="8" name="Picture 8" descr="CIE logo on back cov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lients\CIE, New templates\Logo &amp; cover options\Final artwork\report cover graphics\backcover_600dpi.png"/>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6A5F" w:rsidRPr="003822C2" w:rsidRDefault="007C6A5F" w:rsidP="006C5856">
      <w:pPr>
        <w:pStyle w:val="BodyText"/>
        <w:rPr>
          <w:lang w:bidi="fa-IR"/>
        </w:rPr>
      </w:pPr>
    </w:p>
    <w:sectPr w:rsidR="007C6A5F" w:rsidRPr="003822C2" w:rsidSect="007C6A5F">
      <w:type w:val="evenPage"/>
      <w:pgSz w:w="11906" w:h="16838" w:code="9"/>
      <w:pgMar w:top="2268" w:right="1701" w:bottom="1418" w:left="2268" w:header="68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6BFF" w:rsidRDefault="00F56BFF" w:rsidP="00996DC5">
      <w:pPr>
        <w:spacing w:line="240" w:lineRule="auto"/>
      </w:pPr>
      <w:r>
        <w:separator/>
      </w:r>
    </w:p>
  </w:endnote>
  <w:endnote w:type="continuationSeparator" w:id="0">
    <w:p w:rsidR="00F56BFF" w:rsidRDefault="00F56BFF" w:rsidP="00996D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sto MT">
    <w:altName w:val="Cambria"/>
    <w:panose1 w:val="0204060305050503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altName w:val="Calibri"/>
    <w:panose1 w:val="020B0503020102020204"/>
    <w:charset w:val="00"/>
    <w:family w:val="swiss"/>
    <w:pitch w:val="variable"/>
    <w:sig w:usb0="00000287" w:usb1="00000000" w:usb2="00000000" w:usb3="00000000" w:csb0="0000009F" w:csb1="00000000"/>
  </w:font>
  <w:font w:name="Franklin Gothic Demi">
    <w:altName w:val="Calibr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80F" w:rsidRDefault="00FE580F">
    <w:pPr>
      <w:pStyle w:val="Footer"/>
    </w:pPr>
    <w:r>
      <w:t>www.TheCIE.com.au</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80F" w:rsidRDefault="00FE580F">
    <w:pPr>
      <w:pStyle w:val="Footer"/>
    </w:pPr>
    <w:r>
      <w:t>www.TheCIE.com.au</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80F" w:rsidRDefault="00FE580F" w:rsidP="007C4C46">
    <w:pPr>
      <w:pStyle w:val="Footer"/>
      <w:jc w:val="right"/>
    </w:pPr>
    <w:r>
      <w:t>www.TheCIE.com.au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80F" w:rsidRPr="005B1FD7" w:rsidRDefault="00FE580F" w:rsidP="005B1F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80F" w:rsidRDefault="00FE580F" w:rsidP="007C4C46">
    <w:pPr>
      <w:pStyle w:val="Footer"/>
      <w:jc w:val="right"/>
    </w:pPr>
    <w:r>
      <w:t>www.TheCIE.com.au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80F" w:rsidRDefault="00FE580F">
    <w:pPr>
      <w:pStyle w:val="Footer"/>
    </w:pPr>
    <w:r>
      <w:t>www.TheCIE.com.au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80F" w:rsidRDefault="00FE580F" w:rsidP="004E7620">
    <w:pPr>
      <w:pStyle w:val="Footer"/>
      <w:jc w:val="right"/>
    </w:pPr>
    <w:r>
      <w:t>www.TheCIE.com.au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80F" w:rsidRDefault="00FE580F">
    <w:pPr>
      <w:pStyle w:val="Footer"/>
    </w:pPr>
    <w:r>
      <w:t>www.TheCIE.com.au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80F" w:rsidRDefault="00FE580F" w:rsidP="007C4C46">
    <w:pPr>
      <w:pStyle w:val="Footer"/>
      <w:jc w:val="right"/>
    </w:pPr>
    <w:r>
      <w:t>www.TheCIE.com.au</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80F" w:rsidRPr="00F96D1A" w:rsidRDefault="00FE580F" w:rsidP="00F96D1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80F" w:rsidRPr="00F96D1A" w:rsidRDefault="00FE580F" w:rsidP="00F96D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6BFF" w:rsidRDefault="00F56BFF" w:rsidP="00996DC5">
      <w:pPr>
        <w:spacing w:line="240" w:lineRule="auto"/>
      </w:pPr>
      <w:r w:rsidRPr="00B75719">
        <w:rPr>
          <w:color w:val="6F6652" w:themeColor="text2"/>
        </w:rPr>
        <w:separator/>
      </w:r>
    </w:p>
  </w:footnote>
  <w:footnote w:type="continuationSeparator" w:id="0">
    <w:p w:rsidR="00F56BFF" w:rsidRDefault="00F56BFF" w:rsidP="00996DC5">
      <w:pPr>
        <w:spacing w:line="240" w:lineRule="auto"/>
      </w:pPr>
      <w:r>
        <w:continuationSeparator/>
      </w:r>
    </w:p>
  </w:footnote>
  <w:footnote w:id="1">
    <w:p w:rsidR="00FE580F" w:rsidRPr="003F66F0" w:rsidRDefault="00FE580F" w:rsidP="007C6A5F">
      <w:pPr>
        <w:pStyle w:val="FootnoteText"/>
        <w:rPr>
          <w:lang w:val="en-US"/>
        </w:rPr>
      </w:pPr>
      <w:r>
        <w:rPr>
          <w:rStyle w:val="FootnoteReference"/>
        </w:rPr>
        <w:footnoteRef/>
      </w:r>
      <w:r>
        <w:t xml:space="preserve"> </w:t>
      </w:r>
      <w:r>
        <w:tab/>
      </w:r>
      <w:r>
        <w:rPr>
          <w:lang w:val="en-US"/>
        </w:rPr>
        <w:t xml:space="preserve">Building Ministers’ Forum 2017, </w:t>
      </w:r>
      <w:r w:rsidRPr="00046F07">
        <w:rPr>
          <w:i/>
          <w:iCs/>
          <w:lang w:val="en-US"/>
        </w:rPr>
        <w:t>Communique</w:t>
      </w:r>
      <w:r>
        <w:rPr>
          <w:lang w:val="en-US"/>
        </w:rPr>
        <w:t>, 21 April 2017.</w:t>
      </w:r>
    </w:p>
  </w:footnote>
  <w:footnote w:id="2">
    <w:p w:rsidR="00FE580F" w:rsidRDefault="00FE580F" w:rsidP="007C6A5F">
      <w:pPr>
        <w:pStyle w:val="FootnoteText"/>
      </w:pPr>
      <w:r>
        <w:rPr>
          <w:rStyle w:val="FootnoteReference"/>
        </w:rPr>
        <w:footnoteRef/>
      </w:r>
      <w:r>
        <w:t xml:space="preserve"> </w:t>
      </w:r>
      <w:r>
        <w:tab/>
      </w:r>
      <w:r w:rsidRPr="00D519CE">
        <w:t>Other similar (but not identical) terms include 'visitable', 'adaptable', 'livable' and 'universal</w:t>
      </w:r>
      <w:r>
        <w:t>.</w:t>
      </w:r>
    </w:p>
  </w:footnote>
  <w:footnote w:id="3">
    <w:p w:rsidR="00FE580F" w:rsidRPr="00692247" w:rsidRDefault="00FE580F" w:rsidP="007C6A5F">
      <w:pPr>
        <w:pStyle w:val="FootnoteText"/>
        <w:rPr>
          <w:lang w:val="en-US"/>
        </w:rPr>
      </w:pPr>
      <w:r>
        <w:rPr>
          <w:rStyle w:val="FootnoteReference"/>
        </w:rPr>
        <w:footnoteRef/>
      </w:r>
      <w:r>
        <w:t xml:space="preserve"> </w:t>
      </w:r>
      <w:r>
        <w:tab/>
        <w:t xml:space="preserve">Commonwealth of Australia 2011, </w:t>
      </w:r>
      <w:r w:rsidRPr="00046F07">
        <w:rPr>
          <w:i/>
          <w:iCs/>
          <w:lang w:val="en-US"/>
        </w:rPr>
        <w:t>National Disability Strategy 2010</w:t>
      </w:r>
      <w:r w:rsidRPr="00046F07">
        <w:rPr>
          <w:i/>
          <w:iCs/>
          <w:lang w:val="en-US"/>
        </w:rPr>
        <w:noBreakHyphen/>
        <w:t>2020: An initiative of the Council of Australian Governments</w:t>
      </w:r>
      <w:r>
        <w:rPr>
          <w:lang w:val="en-US"/>
        </w:rPr>
        <w:t>, p. 32.</w:t>
      </w:r>
    </w:p>
  </w:footnote>
  <w:footnote w:id="4">
    <w:p w:rsidR="00FE580F" w:rsidRPr="00A577E2" w:rsidRDefault="00FE580F">
      <w:pPr>
        <w:pStyle w:val="FootnoteText"/>
        <w:rPr>
          <w:lang w:val="en-US"/>
        </w:rPr>
      </w:pPr>
      <w:r>
        <w:rPr>
          <w:rStyle w:val="FootnoteReference"/>
        </w:rPr>
        <w:footnoteRef/>
      </w:r>
      <w:r>
        <w:t xml:space="preserve"> </w:t>
      </w:r>
      <w:r>
        <w:rPr>
          <w:lang w:val="en-US"/>
        </w:rPr>
        <w:t>Based on SDAC data (see chapter 2 for further details).</w:t>
      </w:r>
    </w:p>
  </w:footnote>
  <w:footnote w:id="5">
    <w:p w:rsidR="00FE580F" w:rsidRDefault="00FE580F" w:rsidP="007C6A5F">
      <w:pPr>
        <w:pStyle w:val="FootnoteText"/>
      </w:pPr>
      <w:r>
        <w:rPr>
          <w:rStyle w:val="FootnoteReference"/>
        </w:rPr>
        <w:footnoteRef/>
      </w:r>
      <w:r>
        <w:t xml:space="preserve"> </w:t>
      </w:r>
      <w:r>
        <w:tab/>
        <w:t xml:space="preserve">See consultation summary in Appendix </w:t>
      </w:r>
      <w:r>
        <w:fldChar w:fldCharType="begin"/>
      </w:r>
      <w:r>
        <w:instrText xml:space="preserve"> REF _Ref32940317 \n \h </w:instrText>
      </w:r>
      <w:r>
        <w:fldChar w:fldCharType="separate"/>
      </w:r>
      <w:r>
        <w:t>M</w:t>
      </w:r>
      <w:r>
        <w:fldChar w:fldCharType="end"/>
      </w:r>
    </w:p>
  </w:footnote>
  <w:footnote w:id="6">
    <w:p w:rsidR="00FE580F" w:rsidRPr="00107F73" w:rsidRDefault="00FE580F" w:rsidP="007C6A5F">
      <w:pPr>
        <w:pStyle w:val="FootnoteText"/>
        <w:rPr>
          <w:lang w:val="en-US"/>
        </w:rPr>
      </w:pPr>
      <w:r>
        <w:rPr>
          <w:rStyle w:val="FootnoteReference"/>
        </w:rPr>
        <w:footnoteRef/>
      </w:r>
      <w:r>
        <w:t xml:space="preserve"> </w:t>
      </w:r>
      <w:r>
        <w:tab/>
      </w:r>
      <w:r>
        <w:rPr>
          <w:lang w:val="en-US"/>
        </w:rPr>
        <w:t xml:space="preserve">Department of the Prime Minister and Cabinet 2016, </w:t>
      </w:r>
      <w:r w:rsidRPr="00AB06E5">
        <w:rPr>
          <w:i/>
          <w:iCs/>
          <w:lang w:val="en-US"/>
        </w:rPr>
        <w:t>Cost</w:t>
      </w:r>
      <w:r w:rsidRPr="00AB06E5">
        <w:rPr>
          <w:i/>
          <w:iCs/>
          <w:lang w:val="en-US"/>
        </w:rPr>
        <w:noBreakHyphen/>
        <w:t>Benefit Analysis</w:t>
      </w:r>
      <w:r>
        <w:rPr>
          <w:lang w:val="en-US"/>
        </w:rPr>
        <w:t>, Guidance Note, Office of Best Practice Regulation, February 2016, p. 11.</w:t>
      </w:r>
    </w:p>
  </w:footnote>
  <w:footnote w:id="7">
    <w:p w:rsidR="00FE580F" w:rsidRPr="0075769D" w:rsidRDefault="00FE580F" w:rsidP="007C6A5F">
      <w:pPr>
        <w:pStyle w:val="FootnoteText"/>
        <w:rPr>
          <w:lang w:val="en-US"/>
        </w:rPr>
      </w:pPr>
      <w:r>
        <w:rPr>
          <w:rStyle w:val="FootnoteReference"/>
        </w:rPr>
        <w:footnoteRef/>
      </w:r>
      <w:r>
        <w:t xml:space="preserve"> </w:t>
      </w:r>
      <w:r>
        <w:tab/>
      </w:r>
      <w:r>
        <w:rPr>
          <w:lang w:val="en-US"/>
        </w:rPr>
        <w:t xml:space="preserve">National Dialogue on Universal Housing Design 2010, </w:t>
      </w:r>
      <w:r w:rsidRPr="007340AE">
        <w:rPr>
          <w:i/>
          <w:iCs/>
          <w:lang w:val="en-US"/>
        </w:rPr>
        <w:t>Strategic Plan</w:t>
      </w:r>
      <w:r>
        <w:rPr>
          <w:lang w:val="en-US"/>
        </w:rPr>
        <w:t>, July 2010, pp. 1</w:t>
      </w:r>
      <w:r>
        <w:rPr>
          <w:lang w:val="en-US"/>
        </w:rPr>
        <w:noBreakHyphen/>
        <w:t>2.</w:t>
      </w:r>
    </w:p>
  </w:footnote>
  <w:footnote w:id="8">
    <w:p w:rsidR="00FE580F" w:rsidRPr="0085412A" w:rsidRDefault="00FE580F" w:rsidP="007C6A5F">
      <w:pPr>
        <w:pStyle w:val="FootnoteText"/>
        <w:rPr>
          <w:lang w:val="en-US"/>
        </w:rPr>
      </w:pPr>
      <w:r>
        <w:rPr>
          <w:rStyle w:val="FootnoteReference"/>
        </w:rPr>
        <w:footnoteRef/>
      </w:r>
      <w:r>
        <w:t xml:space="preserve"> </w:t>
      </w:r>
      <w:r>
        <w:rPr>
          <w:lang w:val="en-US"/>
        </w:rPr>
        <w:t>Referred to Australian Building Codes Board, Accessible Housing Options Paper, Consultation Report, April 2019, pp. 16</w:t>
      </w:r>
      <w:r>
        <w:rPr>
          <w:lang w:val="en-US"/>
        </w:rPr>
        <w:noBreakHyphen/>
        <w:t>17.</w:t>
      </w:r>
    </w:p>
  </w:footnote>
  <w:footnote w:id="9">
    <w:p w:rsidR="00FE580F" w:rsidRPr="00A600F2" w:rsidRDefault="00FE580F" w:rsidP="007C6A5F">
      <w:pPr>
        <w:pStyle w:val="FootnoteText"/>
        <w:rPr>
          <w:lang w:val="en-US"/>
        </w:rPr>
      </w:pPr>
      <w:r>
        <w:rPr>
          <w:rStyle w:val="FootnoteReference"/>
        </w:rPr>
        <w:footnoteRef/>
      </w:r>
      <w:r>
        <w:t xml:space="preserve"> United Nations website, </w:t>
      </w:r>
      <w:hyperlink r:id="rId1" w:history="1">
        <w:r>
          <w:rPr>
            <w:rStyle w:val="Hyperlink"/>
          </w:rPr>
          <w:t>https://www.un.org/development/desa/disabilities/convention-on-the-rights-of-persons-with-disabilities/article-9-accessibility.html</w:t>
        </w:r>
      </w:hyperlink>
      <w:r>
        <w:t>, accessed 6 February 2020.</w:t>
      </w:r>
    </w:p>
  </w:footnote>
  <w:footnote w:id="10">
    <w:p w:rsidR="00FE580F" w:rsidRPr="003F66F0" w:rsidRDefault="00FE580F" w:rsidP="007C6A5F">
      <w:pPr>
        <w:pStyle w:val="FootnoteText"/>
        <w:rPr>
          <w:lang w:val="en-US"/>
        </w:rPr>
      </w:pPr>
      <w:r>
        <w:rPr>
          <w:rStyle w:val="FootnoteReference"/>
        </w:rPr>
        <w:footnoteRef/>
      </w:r>
      <w:r>
        <w:t xml:space="preserve"> </w:t>
      </w:r>
      <w:r>
        <w:tab/>
      </w:r>
      <w:r>
        <w:rPr>
          <w:lang w:val="en-US"/>
        </w:rPr>
        <w:t xml:space="preserve">Building Ministers’ Forum 2017, </w:t>
      </w:r>
      <w:r w:rsidRPr="007340AE">
        <w:rPr>
          <w:i/>
          <w:iCs/>
          <w:lang w:val="en-US"/>
        </w:rPr>
        <w:t>Communique</w:t>
      </w:r>
      <w:r>
        <w:rPr>
          <w:lang w:val="en-US"/>
        </w:rPr>
        <w:t>, 21 April 2017.</w:t>
      </w:r>
    </w:p>
  </w:footnote>
  <w:footnote w:id="11">
    <w:p w:rsidR="00FE580F" w:rsidRDefault="00FE580F" w:rsidP="007C6A5F">
      <w:pPr>
        <w:pStyle w:val="FootnoteText"/>
      </w:pPr>
      <w:r>
        <w:rPr>
          <w:rStyle w:val="FootnoteReference"/>
        </w:rPr>
        <w:footnoteRef/>
      </w:r>
      <w:r>
        <w:t xml:space="preserve"> </w:t>
      </w:r>
      <w:r>
        <w:tab/>
        <w:t xml:space="preserve">Based on the Commonwealth’s position found at </w:t>
      </w:r>
      <w:hyperlink r:id="rId2" w:history="1">
        <w:r>
          <w:rPr>
            <w:rStyle w:val="Hyperlink"/>
          </w:rPr>
          <w:t>https://www.ag.gov.au/rights-and-protections/human-rights-and-anti-discrimination/united-nations-human-rights-reporting</w:t>
        </w:r>
      </w:hyperlink>
      <w:r>
        <w:t>.</w:t>
      </w:r>
    </w:p>
  </w:footnote>
  <w:footnote w:id="12">
    <w:p w:rsidR="00FE580F" w:rsidRPr="00FF3C3B" w:rsidRDefault="00FE580F" w:rsidP="007C6A5F">
      <w:pPr>
        <w:pStyle w:val="FootnoteText"/>
        <w:rPr>
          <w:lang w:val="en-US"/>
        </w:rPr>
      </w:pPr>
      <w:r>
        <w:rPr>
          <w:rStyle w:val="FootnoteReference"/>
        </w:rPr>
        <w:footnoteRef/>
      </w:r>
      <w:r>
        <w:t xml:space="preserve"> </w:t>
      </w:r>
      <w:r>
        <w:tab/>
      </w:r>
      <w:r>
        <w:rPr>
          <w:lang w:val="en-US"/>
        </w:rPr>
        <w:t xml:space="preserve">Council of Australian Governments 2007, </w:t>
      </w:r>
      <w:r w:rsidRPr="007340AE">
        <w:rPr>
          <w:i/>
          <w:iCs/>
          <w:lang w:val="en-US"/>
        </w:rPr>
        <w:t>Best Practice Regulations</w:t>
      </w:r>
      <w:r>
        <w:rPr>
          <w:i/>
          <w:iCs/>
          <w:lang w:val="en-US"/>
        </w:rPr>
        <w:t>:</w:t>
      </w:r>
      <w:r w:rsidRPr="007340AE">
        <w:rPr>
          <w:i/>
          <w:iCs/>
          <w:lang w:val="en-US"/>
        </w:rPr>
        <w:t xml:space="preserve"> A Guide for Ministerial Councils and National Standards Setting Bodies</w:t>
      </w:r>
      <w:r>
        <w:rPr>
          <w:lang w:val="en-US"/>
        </w:rPr>
        <w:t>, October 2007, p. 4.</w:t>
      </w:r>
    </w:p>
  </w:footnote>
  <w:footnote w:id="13">
    <w:p w:rsidR="00FE580F" w:rsidRPr="00F36A14" w:rsidRDefault="00FE580F" w:rsidP="007C6A5F">
      <w:pPr>
        <w:pStyle w:val="FootnoteText"/>
        <w:rPr>
          <w:lang w:val="en-US"/>
        </w:rPr>
      </w:pPr>
      <w:r>
        <w:rPr>
          <w:rStyle w:val="FootnoteReference"/>
        </w:rPr>
        <w:footnoteRef/>
      </w:r>
      <w:r>
        <w:t xml:space="preserve"> </w:t>
      </w:r>
      <w:r>
        <w:rPr>
          <w:lang w:val="en-US"/>
        </w:rPr>
        <w:t xml:space="preserve">Note that the CIE is not in a position to offer a legal opinion on whether Australia has an obligation to implement the recommendations of the </w:t>
      </w:r>
      <w:r>
        <w:rPr>
          <w:lang w:bidi="fa-IR"/>
        </w:rPr>
        <w:t xml:space="preserve">Committee </w:t>
      </w:r>
      <w:r>
        <w:rPr>
          <w:rFonts w:eastAsia="Calisto MT"/>
          <w:color w:val="000000"/>
          <w:lang w:val="en-US"/>
        </w:rPr>
        <w:t>on the Rights of Persons with Disabilities.</w:t>
      </w:r>
    </w:p>
  </w:footnote>
  <w:footnote w:id="14">
    <w:p w:rsidR="00FE580F" w:rsidRPr="00F36A14" w:rsidRDefault="00FE580F" w:rsidP="007C6A5F">
      <w:pPr>
        <w:pStyle w:val="FootnoteText"/>
        <w:rPr>
          <w:lang w:val="en-US"/>
        </w:rPr>
      </w:pPr>
      <w:r>
        <w:rPr>
          <w:rStyle w:val="FootnoteReference"/>
        </w:rPr>
        <w:footnoteRef/>
      </w:r>
      <w:r>
        <w:t xml:space="preserve"> </w:t>
      </w:r>
      <w:r>
        <w:rPr>
          <w:lang w:val="en-US"/>
        </w:rPr>
        <w:t xml:space="preserve">Council of Australian Governments 2007, </w:t>
      </w:r>
      <w:r w:rsidRPr="007340AE">
        <w:rPr>
          <w:i/>
          <w:iCs/>
          <w:lang w:val="en-US"/>
        </w:rPr>
        <w:t>Best Practice Regulations</w:t>
      </w:r>
      <w:r>
        <w:rPr>
          <w:i/>
          <w:iCs/>
          <w:lang w:val="en-US"/>
        </w:rPr>
        <w:t>:</w:t>
      </w:r>
      <w:r w:rsidRPr="007340AE">
        <w:rPr>
          <w:i/>
          <w:iCs/>
          <w:lang w:val="en-US"/>
        </w:rPr>
        <w:t xml:space="preserve"> A Guide for Ministerial Councils and National Standards Setting Bodies</w:t>
      </w:r>
      <w:r>
        <w:rPr>
          <w:lang w:val="en-US"/>
        </w:rPr>
        <w:t>, October 2007.</w:t>
      </w:r>
    </w:p>
  </w:footnote>
  <w:footnote w:id="15">
    <w:p w:rsidR="00FE580F" w:rsidRPr="00692247" w:rsidRDefault="00FE580F" w:rsidP="007C6A5F">
      <w:pPr>
        <w:pStyle w:val="FootnoteText"/>
        <w:rPr>
          <w:lang w:val="en-US"/>
        </w:rPr>
      </w:pPr>
      <w:r>
        <w:rPr>
          <w:rStyle w:val="FootnoteReference"/>
        </w:rPr>
        <w:footnoteRef/>
      </w:r>
      <w:r>
        <w:t xml:space="preserve"> </w:t>
      </w:r>
      <w:r>
        <w:tab/>
        <w:t xml:space="preserve">Commonwealth of Australia 2011, </w:t>
      </w:r>
      <w:r w:rsidRPr="007340AE">
        <w:rPr>
          <w:i/>
          <w:iCs/>
          <w:lang w:val="en-US"/>
        </w:rPr>
        <w:t>National Disability Strategy 2010</w:t>
      </w:r>
      <w:r w:rsidRPr="007340AE">
        <w:rPr>
          <w:i/>
          <w:iCs/>
          <w:lang w:val="en-US"/>
        </w:rPr>
        <w:noBreakHyphen/>
        <w:t>2020</w:t>
      </w:r>
      <w:r>
        <w:rPr>
          <w:i/>
          <w:iCs/>
          <w:lang w:val="en-US"/>
        </w:rPr>
        <w:t>:</w:t>
      </w:r>
      <w:r w:rsidRPr="007340AE">
        <w:rPr>
          <w:i/>
          <w:iCs/>
          <w:lang w:val="en-US"/>
        </w:rPr>
        <w:t xml:space="preserve"> An initiative of the Council of Australian Governments</w:t>
      </w:r>
      <w:r>
        <w:rPr>
          <w:lang w:val="en-US"/>
        </w:rPr>
        <w:t>, p. 32.</w:t>
      </w:r>
    </w:p>
  </w:footnote>
  <w:footnote w:id="16">
    <w:p w:rsidR="00FE580F" w:rsidRPr="008070D1" w:rsidRDefault="00FE580F" w:rsidP="007C6A5F">
      <w:pPr>
        <w:pStyle w:val="FootnoteText"/>
        <w:rPr>
          <w:lang w:val="en-US"/>
        </w:rPr>
      </w:pPr>
      <w:r>
        <w:rPr>
          <w:rStyle w:val="FootnoteReference"/>
        </w:rPr>
        <w:footnoteRef/>
      </w:r>
      <w:r>
        <w:t xml:space="preserve"> </w:t>
      </w:r>
      <w:r>
        <w:tab/>
      </w:r>
      <w:r>
        <w:rPr>
          <w:lang w:val="en-US"/>
        </w:rPr>
        <w:t xml:space="preserve">ABCB 2018, </w:t>
      </w:r>
      <w:r w:rsidRPr="00403AB1">
        <w:rPr>
          <w:i/>
          <w:iCs/>
          <w:lang w:val="en-US"/>
        </w:rPr>
        <w:t>Accessible Housing: Options Paper</w:t>
      </w:r>
      <w:r>
        <w:rPr>
          <w:lang w:val="en-US"/>
        </w:rPr>
        <w:t>, September 2018, p. 4.</w:t>
      </w:r>
    </w:p>
  </w:footnote>
  <w:footnote w:id="17">
    <w:p w:rsidR="00FE580F" w:rsidRPr="00F85B59" w:rsidRDefault="00FE580F" w:rsidP="007C6A5F">
      <w:pPr>
        <w:pStyle w:val="FootnoteText"/>
        <w:rPr>
          <w:lang w:val="en-US"/>
        </w:rPr>
      </w:pPr>
      <w:r>
        <w:rPr>
          <w:rStyle w:val="FootnoteReference"/>
        </w:rPr>
        <w:footnoteRef/>
      </w:r>
      <w:r>
        <w:t xml:space="preserve"> </w:t>
      </w:r>
      <w:r>
        <w:tab/>
      </w:r>
      <w:r>
        <w:rPr>
          <w:lang w:val="en-US"/>
        </w:rPr>
        <w:t xml:space="preserve">Bringolf, J. 2011, </w:t>
      </w:r>
      <w:r w:rsidRPr="00323164">
        <w:rPr>
          <w:i/>
          <w:iCs/>
          <w:lang w:val="en-US"/>
        </w:rPr>
        <w:t>Barriers to Universal Design in Housing</w:t>
      </w:r>
      <w:r>
        <w:rPr>
          <w:lang w:val="en-US"/>
        </w:rPr>
        <w:t>, A thesis submitted for the degree of Doctor of Philosophy, Urban Research Centre, College of Health and Science, University of Western Sydney, September 2011, p. 54.</w:t>
      </w:r>
    </w:p>
  </w:footnote>
  <w:footnote w:id="18">
    <w:p w:rsidR="00FE580F" w:rsidRPr="00EB0160" w:rsidRDefault="00FE580F" w:rsidP="007C6A5F">
      <w:pPr>
        <w:pStyle w:val="FootnoteText"/>
        <w:rPr>
          <w:lang w:val="en-US"/>
        </w:rPr>
      </w:pPr>
      <w:r>
        <w:rPr>
          <w:rStyle w:val="FootnoteReference"/>
        </w:rPr>
        <w:footnoteRef/>
      </w:r>
      <w:r>
        <w:t xml:space="preserve"> </w:t>
      </w:r>
      <w:r>
        <w:tab/>
      </w:r>
      <w:r>
        <w:rPr>
          <w:lang w:val="en-US"/>
        </w:rPr>
        <w:t>These features are consistent with the Livable Housing Design Guidelines definition of ‘livable’ housing.</w:t>
      </w:r>
    </w:p>
  </w:footnote>
  <w:footnote w:id="19">
    <w:p w:rsidR="00FE580F" w:rsidRPr="00692247" w:rsidRDefault="00FE580F" w:rsidP="007C6A5F">
      <w:pPr>
        <w:pStyle w:val="FootnoteText"/>
        <w:rPr>
          <w:lang w:val="en-US"/>
        </w:rPr>
      </w:pPr>
      <w:r>
        <w:rPr>
          <w:rStyle w:val="FootnoteReference"/>
        </w:rPr>
        <w:footnoteRef/>
      </w:r>
      <w:r>
        <w:t xml:space="preserve"> </w:t>
      </w:r>
      <w:r>
        <w:tab/>
        <w:t xml:space="preserve">Commonwealth of Australia 2011, </w:t>
      </w:r>
      <w:r w:rsidRPr="00403AB1">
        <w:rPr>
          <w:i/>
          <w:iCs/>
          <w:lang w:val="en-US"/>
        </w:rPr>
        <w:t>National Disability Strategy 2010</w:t>
      </w:r>
      <w:r w:rsidRPr="00403AB1">
        <w:rPr>
          <w:i/>
          <w:iCs/>
          <w:lang w:val="en-US"/>
        </w:rPr>
        <w:noBreakHyphen/>
        <w:t>2020</w:t>
      </w:r>
      <w:r>
        <w:rPr>
          <w:i/>
          <w:iCs/>
          <w:lang w:val="en-US"/>
        </w:rPr>
        <w:t>:</w:t>
      </w:r>
      <w:r w:rsidRPr="00403AB1">
        <w:rPr>
          <w:i/>
          <w:iCs/>
          <w:lang w:val="en-US"/>
        </w:rPr>
        <w:t xml:space="preserve"> An initiative of the Council of Australian Governments</w:t>
      </w:r>
      <w:r>
        <w:rPr>
          <w:lang w:val="en-US"/>
        </w:rPr>
        <w:t>, p. 32.</w:t>
      </w:r>
    </w:p>
  </w:footnote>
  <w:footnote w:id="20">
    <w:p w:rsidR="00FE580F" w:rsidRPr="00D2726D" w:rsidRDefault="00FE580F" w:rsidP="007C6A5F">
      <w:pPr>
        <w:pStyle w:val="FootnoteText"/>
      </w:pPr>
      <w:r>
        <w:rPr>
          <w:rStyle w:val="FootnoteReference"/>
        </w:rPr>
        <w:footnoteRef/>
      </w:r>
      <w:r>
        <w:t xml:space="preserve"> </w:t>
      </w:r>
      <w:r>
        <w:tab/>
        <w:t xml:space="preserve">See:  </w:t>
      </w:r>
      <w:hyperlink r:id="rId3" w:history="1">
        <w:r w:rsidRPr="00B2080E">
          <w:rPr>
            <w:rStyle w:val="Hyperlink"/>
            <w:rFonts w:eastAsiaTheme="minorEastAsia"/>
          </w:rPr>
          <w:t>https://www.abs.gov.au/AUSSTATS/abs@.nsf/Lookup/4430.0Main+Features152018?</w:t>
        </w:r>
        <w:r w:rsidRPr="00123A4A">
          <w:rPr>
            <w:rStyle w:val="Hyperlink"/>
            <w:rFonts w:eastAsiaTheme="minorEastAsia"/>
          </w:rPr>
          <w:t>OpenDocument</w:t>
        </w:r>
      </w:hyperlink>
      <w:r>
        <w:rPr>
          <w:rFonts w:eastAsiaTheme="minorEastAsia"/>
          <w:color w:val="0000FF"/>
          <w:u w:val="single"/>
        </w:rPr>
        <w:t xml:space="preserve"> (accessed January 2020)</w:t>
      </w:r>
    </w:p>
  </w:footnote>
  <w:footnote w:id="21">
    <w:p w:rsidR="00FE580F" w:rsidRPr="005A2131" w:rsidRDefault="00FE580F" w:rsidP="007C6A5F">
      <w:pPr>
        <w:pStyle w:val="FootnoteText"/>
        <w:rPr>
          <w:lang w:val="en-US"/>
        </w:rPr>
      </w:pPr>
      <w:r>
        <w:rPr>
          <w:rStyle w:val="FootnoteReference"/>
        </w:rPr>
        <w:footnoteRef/>
      </w:r>
      <w:r>
        <w:t xml:space="preserve"> </w:t>
      </w:r>
      <w:r>
        <w:tab/>
      </w:r>
      <w:r>
        <w:rPr>
          <w:lang w:val="en-US"/>
        </w:rPr>
        <w:t>NDIS website</w:t>
      </w:r>
      <w:r w:rsidRPr="00094DAB">
        <w:rPr>
          <w:szCs w:val="19"/>
          <w:lang w:val="en-US"/>
        </w:rPr>
        <w:t xml:space="preserve">, </w:t>
      </w:r>
      <w:hyperlink r:id="rId4" w:history="1">
        <w:r w:rsidRPr="00094DAB">
          <w:rPr>
            <w:rFonts w:ascii="Calisto MT" w:eastAsiaTheme="minorEastAsia" w:hAnsi="Calisto MT"/>
            <w:color w:val="0000FF"/>
            <w:szCs w:val="19"/>
            <w:u w:val="single"/>
          </w:rPr>
          <w:t>https://www.ndis.gov.au/providers/essentials-providers-working-ndia/specialist-disability-accommodation</w:t>
        </w:r>
      </w:hyperlink>
      <w:r w:rsidRPr="00094DAB">
        <w:rPr>
          <w:rFonts w:ascii="Calisto MT" w:eastAsiaTheme="minorEastAsia" w:hAnsi="Calisto MT"/>
          <w:szCs w:val="19"/>
        </w:rPr>
        <w:t>, accessed 11 October 2019.</w:t>
      </w:r>
    </w:p>
  </w:footnote>
  <w:footnote w:id="22">
    <w:p w:rsidR="00FE580F" w:rsidRPr="003C2069" w:rsidRDefault="00FE580F" w:rsidP="007C6A5F">
      <w:pPr>
        <w:pStyle w:val="FootnoteText"/>
        <w:rPr>
          <w:lang w:val="en-US"/>
        </w:rPr>
      </w:pPr>
      <w:r>
        <w:rPr>
          <w:rStyle w:val="FootnoteReference"/>
        </w:rPr>
        <w:footnoteRef/>
      </w:r>
      <w:r>
        <w:t xml:space="preserve"> </w:t>
      </w:r>
      <w:r>
        <w:tab/>
      </w:r>
      <w:r>
        <w:rPr>
          <w:lang w:val="en-US"/>
        </w:rPr>
        <w:t xml:space="preserve">Australian Government My Aged Care website, </w:t>
      </w:r>
      <w:hyperlink r:id="rId5" w:history="1">
        <w:r>
          <w:rPr>
            <w:rStyle w:val="Hyperlink"/>
          </w:rPr>
          <w:t>https://www.myagedcare.gov.au/help-at-home/commonwealth-home-support-programme</w:t>
        </w:r>
      </w:hyperlink>
      <w:r>
        <w:t>, accessed 13 January 2020.</w:t>
      </w:r>
    </w:p>
  </w:footnote>
  <w:footnote w:id="23">
    <w:p w:rsidR="00FE580F" w:rsidRPr="00960C5B" w:rsidRDefault="00FE580F" w:rsidP="007C6A5F">
      <w:pPr>
        <w:pStyle w:val="FootnoteText"/>
        <w:rPr>
          <w:lang w:val="en-GB"/>
        </w:rPr>
      </w:pPr>
      <w:r>
        <w:rPr>
          <w:rStyle w:val="FootnoteReference"/>
        </w:rPr>
        <w:footnoteRef/>
      </w:r>
      <w:r>
        <w:t xml:space="preserve"> </w:t>
      </w:r>
      <w:r>
        <w:tab/>
      </w:r>
      <w:r>
        <w:rPr>
          <w:lang w:val="en-GB"/>
        </w:rPr>
        <w:t xml:space="preserve">Department of Social Security website, </w:t>
      </w:r>
      <w:hyperlink r:id="rId6" w:history="1">
        <w:r w:rsidRPr="00094DAB">
          <w:rPr>
            <w:rFonts w:ascii="Calisto MT" w:eastAsiaTheme="minorEastAsia" w:hAnsi="Calisto MT"/>
            <w:color w:val="0000FF"/>
            <w:szCs w:val="19"/>
            <w:u w:val="single"/>
          </w:rPr>
          <w:t>https://www.dss.gov.au/housing-support/programmes-services/commonwealth-rent-assistance</w:t>
        </w:r>
      </w:hyperlink>
      <w:r w:rsidRPr="00094DAB">
        <w:rPr>
          <w:rFonts w:ascii="Calisto MT" w:eastAsiaTheme="minorEastAsia" w:hAnsi="Calisto MT"/>
          <w:szCs w:val="19"/>
        </w:rPr>
        <w:t xml:space="preserve">, </w:t>
      </w:r>
      <w:r w:rsidRPr="00094DAB">
        <w:rPr>
          <w:lang w:val="en-GB"/>
        </w:rPr>
        <w:t>accessed 11 October 2019.</w:t>
      </w:r>
    </w:p>
  </w:footnote>
  <w:footnote w:id="24">
    <w:p w:rsidR="00FE580F" w:rsidRDefault="00FE580F" w:rsidP="007C6A5F">
      <w:pPr>
        <w:pStyle w:val="FootnoteText"/>
      </w:pPr>
      <w:r w:rsidRPr="00F57C28">
        <w:rPr>
          <w:rStyle w:val="FootnoteReference"/>
        </w:rPr>
        <w:footnoteRef/>
      </w:r>
      <w:r w:rsidRPr="00F57C28">
        <w:t xml:space="preserve"> </w:t>
      </w:r>
      <w:r w:rsidRPr="00F57C28">
        <w:tab/>
      </w:r>
      <w:r>
        <w:rPr>
          <w:lang w:val="en-US"/>
        </w:rPr>
        <w:t xml:space="preserve">ABCB 2018, </w:t>
      </w:r>
      <w:r w:rsidRPr="00403AB1">
        <w:rPr>
          <w:i/>
          <w:iCs/>
          <w:lang w:val="en-US"/>
        </w:rPr>
        <w:t>Accessible Housing: Options Paper</w:t>
      </w:r>
      <w:r>
        <w:rPr>
          <w:lang w:val="en-US"/>
        </w:rPr>
        <w:t>, September 2018</w:t>
      </w:r>
    </w:p>
  </w:footnote>
  <w:footnote w:id="25">
    <w:p w:rsidR="00FE580F" w:rsidRPr="00CF0F21" w:rsidRDefault="00FE580F" w:rsidP="007C6A5F">
      <w:pPr>
        <w:pStyle w:val="FootnoteText"/>
        <w:rPr>
          <w:lang w:val="en-US"/>
        </w:rPr>
      </w:pPr>
      <w:r>
        <w:rPr>
          <w:rStyle w:val="FootnoteReference"/>
        </w:rPr>
        <w:footnoteRef/>
      </w:r>
      <w:r>
        <w:t xml:space="preserve"> </w:t>
      </w:r>
      <w:r>
        <w:tab/>
        <w:t xml:space="preserve">PwC and Property Council 2018, </w:t>
      </w:r>
      <w:r w:rsidRPr="00094DAB">
        <w:rPr>
          <w:i/>
          <w:iCs/>
          <w:lang w:val="en-US"/>
        </w:rPr>
        <w:t>2018 PwC/Property Council Retirement Census</w:t>
      </w:r>
      <w:r>
        <w:rPr>
          <w:lang w:val="en-US"/>
        </w:rPr>
        <w:t>, November 2018, p. 6.</w:t>
      </w:r>
    </w:p>
  </w:footnote>
  <w:footnote w:id="26">
    <w:p w:rsidR="00FE580F" w:rsidRPr="00F36A14" w:rsidRDefault="00FE580F" w:rsidP="007C6A5F">
      <w:pPr>
        <w:pStyle w:val="FootnoteText"/>
        <w:rPr>
          <w:lang w:val="en-US"/>
        </w:rPr>
      </w:pPr>
      <w:r>
        <w:rPr>
          <w:rStyle w:val="FootnoteReference"/>
        </w:rPr>
        <w:footnoteRef/>
      </w:r>
      <w:r>
        <w:t xml:space="preserve"> </w:t>
      </w:r>
      <w:r>
        <w:tab/>
      </w:r>
      <w:hyperlink r:id="rId7" w:history="1">
        <w:r w:rsidRPr="0023217B">
          <w:rPr>
            <w:rStyle w:val="Hyperlink"/>
          </w:rPr>
          <w:t>https://www.villages.com.au/info-centre/post/news/national-survey-shows-retirement-village-residents-happier-than-their-peers</w:t>
        </w:r>
      </w:hyperlink>
      <w:r>
        <w:t>, accessed 5 June 2020.</w:t>
      </w:r>
    </w:p>
  </w:footnote>
  <w:footnote w:id="27">
    <w:p w:rsidR="00FE580F" w:rsidRPr="00C75B9B" w:rsidRDefault="00FE580F" w:rsidP="007C6A5F">
      <w:pPr>
        <w:pStyle w:val="FootnoteText"/>
        <w:rPr>
          <w:lang w:val="en-US"/>
        </w:rPr>
      </w:pPr>
      <w:r>
        <w:rPr>
          <w:rStyle w:val="FootnoteReference"/>
        </w:rPr>
        <w:footnoteRef/>
      </w:r>
      <w:r>
        <w:t xml:space="preserve"> </w:t>
      </w:r>
      <w:r>
        <w:tab/>
      </w:r>
      <w:r>
        <w:rPr>
          <w:lang w:bidi="fa-IR"/>
        </w:rPr>
        <w:t xml:space="preserve">Carnemolla, P. and Bridge, C. 2019, </w:t>
      </w:r>
      <w:r w:rsidRPr="00C75B9B">
        <w:rPr>
          <w:i/>
          <w:iCs/>
          <w:lang w:bidi="fa-IR"/>
        </w:rPr>
        <w:t>Housing Design and Community Care: How Home Modifications Reduce Care Needs of Older People and People with Disability</w:t>
      </w:r>
      <w:r>
        <w:rPr>
          <w:lang w:bidi="fa-IR"/>
        </w:rPr>
        <w:t>, International Journal of Environmental Research and Public Health, p. 7.</w:t>
      </w:r>
    </w:p>
  </w:footnote>
  <w:footnote w:id="28">
    <w:p w:rsidR="00FE580F" w:rsidRPr="003C340C" w:rsidRDefault="00FE580F" w:rsidP="007C6A5F">
      <w:pPr>
        <w:pStyle w:val="FootnoteText"/>
        <w:rPr>
          <w:lang w:val="en-US"/>
        </w:rPr>
      </w:pPr>
      <w:r>
        <w:rPr>
          <w:rStyle w:val="FootnoteReference"/>
        </w:rPr>
        <w:footnoteRef/>
      </w:r>
      <w:r>
        <w:t xml:space="preserve"> </w:t>
      </w:r>
      <w:r>
        <w:tab/>
      </w:r>
      <w:r>
        <w:rPr>
          <w:lang w:val="en-US"/>
        </w:rPr>
        <w:t>Australian Institute of Health and Welfare website</w:t>
      </w:r>
      <w:r w:rsidRPr="00094DAB">
        <w:rPr>
          <w:szCs w:val="19"/>
          <w:lang w:val="en-US"/>
        </w:rPr>
        <w:t xml:space="preserve">, </w:t>
      </w:r>
      <w:hyperlink r:id="rId8" w:history="1">
        <w:r w:rsidRPr="00094DAB">
          <w:rPr>
            <w:rFonts w:ascii="Calisto MT" w:eastAsiaTheme="minorEastAsia" w:hAnsi="Calisto MT"/>
            <w:color w:val="0000FF"/>
            <w:szCs w:val="19"/>
            <w:u w:val="single"/>
          </w:rPr>
          <w:t>https://www.gen-agedcaredata.gov.au/Resources/Access-data/2019/September/Aged-care-data-snapshot%E2%80%942019</w:t>
        </w:r>
      </w:hyperlink>
      <w:r w:rsidRPr="00094DAB">
        <w:rPr>
          <w:rFonts w:ascii="Calisto MT" w:eastAsiaTheme="minorEastAsia" w:hAnsi="Calisto MT"/>
          <w:szCs w:val="19"/>
        </w:rPr>
        <w:t>, accessed 22 December 2019.</w:t>
      </w:r>
    </w:p>
  </w:footnote>
  <w:footnote w:id="29">
    <w:p w:rsidR="00FE580F" w:rsidRPr="00031075" w:rsidRDefault="00FE580F" w:rsidP="007C6A5F">
      <w:pPr>
        <w:pStyle w:val="FootnoteText"/>
        <w:rPr>
          <w:szCs w:val="19"/>
          <w:lang w:val="en-US"/>
        </w:rPr>
      </w:pPr>
      <w:r>
        <w:rPr>
          <w:rStyle w:val="FootnoteReference"/>
        </w:rPr>
        <w:footnoteRef/>
      </w:r>
      <w:r>
        <w:t xml:space="preserve"> </w:t>
      </w:r>
      <w:r>
        <w:tab/>
      </w:r>
      <w:r>
        <w:rPr>
          <w:lang w:val="en-US"/>
        </w:rPr>
        <w:t>Australian Institute of Health and Welfare website</w:t>
      </w:r>
      <w:r w:rsidRPr="00031075">
        <w:rPr>
          <w:szCs w:val="19"/>
          <w:lang w:val="en-US"/>
        </w:rPr>
        <w:t xml:space="preserve">, </w:t>
      </w:r>
      <w:hyperlink r:id="rId9" w:history="1">
        <w:r w:rsidRPr="00031075">
          <w:rPr>
            <w:rFonts w:ascii="Calisto MT" w:eastAsiaTheme="minorEastAsia" w:hAnsi="Calisto MT"/>
            <w:color w:val="0000FF"/>
            <w:szCs w:val="19"/>
            <w:u w:val="single"/>
          </w:rPr>
          <w:t>https://www.gen-agedcaredata.gov.au/Resources/Access-data/2019/September/Aged-care-data-snapshot%E2%80%942019</w:t>
        </w:r>
      </w:hyperlink>
      <w:r w:rsidRPr="00031075">
        <w:rPr>
          <w:rFonts w:ascii="Calisto MT" w:eastAsiaTheme="minorEastAsia" w:hAnsi="Calisto MT"/>
          <w:szCs w:val="19"/>
        </w:rPr>
        <w:t>, accessed 22 December 2019.</w:t>
      </w:r>
    </w:p>
  </w:footnote>
  <w:footnote w:id="30">
    <w:p w:rsidR="00FE580F" w:rsidRPr="00E703E8" w:rsidRDefault="00FE580F" w:rsidP="007C6A5F">
      <w:pPr>
        <w:pStyle w:val="FootnoteText"/>
        <w:rPr>
          <w:lang w:val="en-US"/>
        </w:rPr>
      </w:pPr>
      <w:r>
        <w:rPr>
          <w:rStyle w:val="FootnoteReference"/>
        </w:rPr>
        <w:footnoteRef/>
      </w:r>
      <w:r>
        <w:t xml:space="preserve"> </w:t>
      </w:r>
      <w:r>
        <w:tab/>
      </w:r>
      <w:r>
        <w:rPr>
          <w:lang w:val="en-US"/>
        </w:rPr>
        <w:t xml:space="preserve">COAG Disability Reform Council 2019, </w:t>
      </w:r>
      <w:r w:rsidRPr="00031075">
        <w:rPr>
          <w:i/>
          <w:iCs/>
          <w:lang w:val="en-US"/>
        </w:rPr>
        <w:t>Quarterly Report</w:t>
      </w:r>
      <w:r>
        <w:rPr>
          <w:lang w:val="en-US"/>
        </w:rPr>
        <w:t>, 31 December 2019</w:t>
      </w:r>
      <w:r>
        <w:rPr>
          <w:rFonts w:ascii="Calisto MT" w:eastAsiaTheme="minorEastAsia" w:hAnsi="Calisto MT"/>
          <w:sz w:val="21"/>
          <w:szCs w:val="21"/>
        </w:rPr>
        <w:t>, p. 431.</w:t>
      </w:r>
    </w:p>
  </w:footnote>
  <w:footnote w:id="31">
    <w:p w:rsidR="00FE580F" w:rsidRPr="002E52D5" w:rsidRDefault="00FE580F" w:rsidP="007C6A5F">
      <w:pPr>
        <w:pStyle w:val="FootnoteText"/>
        <w:rPr>
          <w:lang w:val="en-US"/>
        </w:rPr>
      </w:pPr>
      <w:r>
        <w:rPr>
          <w:rStyle w:val="FootnoteReference"/>
        </w:rPr>
        <w:footnoteRef/>
      </w:r>
      <w:r>
        <w:t xml:space="preserve"> </w:t>
      </w:r>
      <w:r>
        <w:tab/>
      </w:r>
      <w:r>
        <w:rPr>
          <w:lang w:val="en-US"/>
        </w:rPr>
        <w:t>ibid</w:t>
      </w:r>
      <w:r>
        <w:rPr>
          <w:rFonts w:ascii="Calisto MT" w:eastAsiaTheme="minorEastAsia" w:hAnsi="Calisto MT"/>
          <w:sz w:val="21"/>
          <w:szCs w:val="21"/>
        </w:rPr>
        <w:t>, pp. 437</w:t>
      </w:r>
      <w:r>
        <w:rPr>
          <w:rFonts w:ascii="Calisto MT" w:eastAsiaTheme="minorEastAsia" w:hAnsi="Calisto MT"/>
          <w:sz w:val="21"/>
          <w:szCs w:val="21"/>
        </w:rPr>
        <w:noBreakHyphen/>
        <w:t>438.</w:t>
      </w:r>
    </w:p>
  </w:footnote>
  <w:footnote w:id="32">
    <w:p w:rsidR="00FE580F" w:rsidRPr="00084749" w:rsidRDefault="00FE580F" w:rsidP="007C6A5F">
      <w:pPr>
        <w:pStyle w:val="FootnoteText"/>
        <w:rPr>
          <w:lang w:val="en-US"/>
        </w:rPr>
      </w:pPr>
      <w:r>
        <w:rPr>
          <w:rStyle w:val="FootnoteReference"/>
        </w:rPr>
        <w:footnoteRef/>
      </w:r>
      <w:r>
        <w:t xml:space="preserve"> </w:t>
      </w:r>
      <w:r>
        <w:tab/>
      </w:r>
      <w:r>
        <w:rPr>
          <w:lang w:val="en-US"/>
        </w:rPr>
        <w:t xml:space="preserve">Australian Network for Universal Housing Design 2018, </w:t>
      </w:r>
      <w:r w:rsidRPr="008164F4">
        <w:rPr>
          <w:i/>
          <w:iCs/>
          <w:lang w:val="en-US"/>
        </w:rPr>
        <w:t>Report on the Survey on the provision of Livable housing design: the costs and benefits to Australian Society</w:t>
      </w:r>
      <w:r>
        <w:rPr>
          <w:lang w:val="en-US"/>
        </w:rPr>
        <w:t>, May 2018, p. 19</w:t>
      </w:r>
    </w:p>
  </w:footnote>
  <w:footnote w:id="33">
    <w:p w:rsidR="00FE580F" w:rsidRDefault="00FE580F" w:rsidP="007C6A5F">
      <w:pPr>
        <w:pStyle w:val="FootnoteText"/>
      </w:pPr>
      <w:r>
        <w:rPr>
          <w:rStyle w:val="FootnoteReference"/>
        </w:rPr>
        <w:footnoteRef/>
      </w:r>
      <w:r>
        <w:t xml:space="preserve"> </w:t>
      </w:r>
      <w:r>
        <w:tab/>
      </w:r>
      <w:r w:rsidRPr="00472608">
        <w:t xml:space="preserve">Chakravarthy, U., Biundo, E., Saka, R.O, Fasser, C., Bourne, R. &amp; Little, J. 2017, ‘The Economic Impact of Blindness in Europe’, </w:t>
      </w:r>
      <w:r w:rsidRPr="00472608">
        <w:rPr>
          <w:i/>
          <w:iCs/>
        </w:rPr>
        <w:t>Ophthalmic Epidemiology</w:t>
      </w:r>
      <w:r w:rsidRPr="00472608">
        <w:t>, DOI: 10.1080/09286586.2017.1281426; Frick, K.D., Gower, E.W., Kempen, J.H. &amp; Wolff, J.L. 2007, ‘Economic Impact of Visual Impairment and Blindness in the United States’, </w:t>
      </w:r>
      <w:r w:rsidRPr="00472608">
        <w:rPr>
          <w:i/>
          <w:iCs/>
        </w:rPr>
        <w:t>Archives of Ophthalmology</w:t>
      </w:r>
      <w:r w:rsidRPr="00472608">
        <w:t>, vol. 125, no. 4, pp. 544-550</w:t>
      </w:r>
    </w:p>
  </w:footnote>
  <w:footnote w:id="34">
    <w:p w:rsidR="00FE580F" w:rsidRPr="00DF7B3F" w:rsidRDefault="00FE580F" w:rsidP="007C6A5F">
      <w:pPr>
        <w:pStyle w:val="FootnoteText"/>
        <w:rPr>
          <w:lang w:val="en-US"/>
        </w:rPr>
      </w:pPr>
      <w:r>
        <w:rPr>
          <w:rStyle w:val="FootnoteReference"/>
        </w:rPr>
        <w:footnoteRef/>
      </w:r>
      <w:r>
        <w:t xml:space="preserve"> </w:t>
      </w:r>
      <w:r>
        <w:rPr>
          <w:lang w:val="en-US"/>
        </w:rPr>
        <w:t xml:space="preserve">See discussion in Davy, L. Adams, T. and Bridge, C. </w:t>
      </w:r>
      <w:r w:rsidRPr="00DF7B3F">
        <w:rPr>
          <w:i/>
          <w:iCs/>
          <w:lang w:val="en-US"/>
        </w:rPr>
        <w:t>Caring for the Carer: Home design and modification for carers of young people with disability</w:t>
      </w:r>
      <w:r>
        <w:rPr>
          <w:lang w:val="en-US"/>
        </w:rPr>
        <w:t>, Home Modification Information Clearinghouse, City Futures Research Centre, Faculty of the Built Environment, University of New South Wales, p. 19.</w:t>
      </w:r>
    </w:p>
  </w:footnote>
  <w:footnote w:id="35">
    <w:p w:rsidR="00FE580F" w:rsidRDefault="00FE580F" w:rsidP="007C6A5F">
      <w:pPr>
        <w:pStyle w:val="FootnoteText"/>
      </w:pPr>
      <w:r>
        <w:rPr>
          <w:rStyle w:val="FootnoteReference"/>
        </w:rPr>
        <w:footnoteRef/>
      </w:r>
      <w:r>
        <w:t xml:space="preserve"> </w:t>
      </w:r>
      <w:r>
        <w:tab/>
        <w:t xml:space="preserve">Carnemolla and Bridge (2019) report survey data of 157 individuals (average age 72) who have had modifications installed in the last 6 months. In the data set, bathroom modifications are the most significant modifications. There are 55 ‘full bathroom renovations’, which we use to estimate that around one third of homes require substantial modification, while around two thirds require only minor modifications. </w:t>
      </w:r>
    </w:p>
  </w:footnote>
  <w:footnote w:id="36">
    <w:p w:rsidR="00FE580F" w:rsidRDefault="00FE580F" w:rsidP="007C6A5F">
      <w:pPr>
        <w:pStyle w:val="FootnoteText"/>
      </w:pPr>
      <w:r>
        <w:rPr>
          <w:rStyle w:val="FootnoteReference"/>
        </w:rPr>
        <w:footnoteRef/>
      </w:r>
      <w:r>
        <w:t xml:space="preserve"> </w:t>
      </w:r>
      <w:r>
        <w:tab/>
        <w:t xml:space="preserve">Substantial modifications can involve full bathroom renovations. Internet commentary suggests bathroom renovations can take up to 7 weeks, including delays (see: </w:t>
      </w:r>
      <w:hyperlink r:id="rId10" w:history="1">
        <w:r w:rsidRPr="00B21740">
          <w:t>https://www.service.com.au/articles/bathroom/how-long-does-a-bathroom-renovation-take</w:t>
        </w:r>
      </w:hyperlink>
      <w:r w:rsidRPr="00B21740">
        <w:t>).</w:t>
      </w:r>
      <w:r>
        <w:rPr>
          <w:rFonts w:ascii="Calisto MT" w:eastAsiaTheme="minorEastAsia" w:hAnsi="Calisto MT"/>
          <w:sz w:val="21"/>
          <w:szCs w:val="21"/>
        </w:rPr>
        <w:t xml:space="preserve"> </w:t>
      </w:r>
      <w:r w:rsidRPr="00B21740">
        <w:t>Bathroom renovations involving modifications for accessibility are likely to be more complicated than ‘normal’ renovations</w:t>
      </w:r>
    </w:p>
  </w:footnote>
  <w:footnote w:id="37">
    <w:p w:rsidR="00FE580F" w:rsidRPr="00E32AAC" w:rsidRDefault="00FE580F" w:rsidP="007C6A5F">
      <w:pPr>
        <w:pStyle w:val="FootnoteText"/>
      </w:pPr>
      <w:r>
        <w:rPr>
          <w:rStyle w:val="FootnoteReference"/>
        </w:rPr>
        <w:footnoteRef/>
      </w:r>
      <w:r>
        <w:t xml:space="preserve"> </w:t>
      </w:r>
      <w:r>
        <w:tab/>
        <w:t xml:space="preserve">Young People In Nursing Homes National Alliance and Monash University Department of Architecture 2015, </w:t>
      </w:r>
      <w:r>
        <w:rPr>
          <w:i/>
          <w:iCs/>
        </w:rPr>
        <w:t>Shaping the Future Today: Transforming Housing Policy for Australians with Disability</w:t>
      </w:r>
      <w:r>
        <w:t>, a housing policy discussion paper, Melbourne, p. 20</w:t>
      </w:r>
    </w:p>
  </w:footnote>
  <w:footnote w:id="38">
    <w:p w:rsidR="00FE580F" w:rsidRPr="00A51510" w:rsidRDefault="00FE580F" w:rsidP="007C6A5F">
      <w:pPr>
        <w:pStyle w:val="FootnoteText"/>
        <w:rPr>
          <w:lang w:val="en-US"/>
        </w:rPr>
      </w:pPr>
      <w:r>
        <w:rPr>
          <w:rStyle w:val="FootnoteReference"/>
        </w:rPr>
        <w:footnoteRef/>
      </w:r>
      <w:r>
        <w:t xml:space="preserve"> </w:t>
      </w:r>
      <w:r>
        <w:tab/>
      </w:r>
      <w:r>
        <w:rPr>
          <w:lang w:val="en-US"/>
        </w:rPr>
        <w:t xml:space="preserve">See for example: </w:t>
      </w:r>
      <w:hyperlink r:id="rId11" w:history="1">
        <w:r>
          <w:rPr>
            <w:rStyle w:val="Hyperlink"/>
          </w:rPr>
          <w:t>https://www.openagent.com.au/blog/how-much-moving-cost?at=v5&amp;utm_expid=.6ZprDALXQh2rpM05ZARdBA.1&amp;utm_referrer=https%3A%2F%2Fwww.google.com%2F</w:t>
        </w:r>
      </w:hyperlink>
      <w:r>
        <w:t>, accessed 23 January 2020.</w:t>
      </w:r>
    </w:p>
  </w:footnote>
  <w:footnote w:id="39">
    <w:p w:rsidR="00FE580F" w:rsidRPr="007F0A69" w:rsidRDefault="00FE580F" w:rsidP="007C6A5F">
      <w:pPr>
        <w:pStyle w:val="FootnoteText"/>
        <w:rPr>
          <w:lang w:val="en-US"/>
        </w:rPr>
      </w:pPr>
      <w:r>
        <w:rPr>
          <w:rStyle w:val="FootnoteReference"/>
        </w:rPr>
        <w:footnoteRef/>
      </w:r>
      <w:r>
        <w:t xml:space="preserve"> </w:t>
      </w:r>
      <w:r>
        <w:tab/>
        <w:t xml:space="preserve">The All-Party Parliamentary Group (APPG) for Ageing and Older People (UK) 2019, </w:t>
      </w:r>
      <w:r w:rsidRPr="00F953FD">
        <w:rPr>
          <w:i/>
          <w:iCs/>
        </w:rPr>
        <w:t>Inquiry into decent and accessible homes for older people</w:t>
      </w:r>
      <w:r>
        <w:t>, Summer 2019</w:t>
      </w:r>
      <w:r>
        <w:rPr>
          <w:lang w:val="en-US"/>
        </w:rPr>
        <w:t>, p. 4.</w:t>
      </w:r>
    </w:p>
  </w:footnote>
  <w:footnote w:id="40">
    <w:p w:rsidR="00FE580F" w:rsidRPr="006A04FE" w:rsidRDefault="00FE580F" w:rsidP="007C6A5F">
      <w:pPr>
        <w:pStyle w:val="FootnoteText"/>
        <w:rPr>
          <w:lang w:val="en-US"/>
        </w:rPr>
      </w:pPr>
      <w:r>
        <w:rPr>
          <w:rStyle w:val="FootnoteReference"/>
        </w:rPr>
        <w:footnoteRef/>
      </w:r>
      <w:r>
        <w:t xml:space="preserve"> </w:t>
      </w:r>
      <w:r>
        <w:tab/>
      </w:r>
      <w:r>
        <w:rPr>
          <w:lang w:val="en-US"/>
        </w:rPr>
        <w:t xml:space="preserve">Australian Institute for Health and Welfare, </w:t>
      </w:r>
      <w:hyperlink r:id="rId12" w:history="1">
        <w:r>
          <w:rPr>
            <w:rStyle w:val="Hyperlink"/>
          </w:rPr>
          <w:t>https://www.aihw.gov.au/reports/australias-welfare/social-isolation-and-loneliness</w:t>
        </w:r>
      </w:hyperlink>
      <w:r>
        <w:t>, accessed 22 January 2020.</w:t>
      </w:r>
    </w:p>
  </w:footnote>
  <w:footnote w:id="41">
    <w:p w:rsidR="00FE580F" w:rsidRPr="000812EA" w:rsidRDefault="00FE580F" w:rsidP="007C6A5F">
      <w:pPr>
        <w:pStyle w:val="FootnoteText"/>
        <w:rPr>
          <w:lang w:val="en-US"/>
        </w:rPr>
      </w:pPr>
      <w:r>
        <w:rPr>
          <w:rStyle w:val="FootnoteReference"/>
        </w:rPr>
        <w:footnoteRef/>
      </w:r>
      <w:r>
        <w:t xml:space="preserve"> </w:t>
      </w:r>
      <w:r>
        <w:tab/>
      </w:r>
      <w:r>
        <w:rPr>
          <w:lang w:val="en-US"/>
        </w:rPr>
        <w:t>Australian Pyschological Society and Swinburne University of Technology, 2018, Australian Loneliness Report: A survey exploring the loneliness levels of Australians and the impact on their health and wellbeing, p. 5.</w:t>
      </w:r>
    </w:p>
  </w:footnote>
  <w:footnote w:id="42">
    <w:p w:rsidR="00FE580F" w:rsidRPr="003B6446" w:rsidRDefault="00FE580F" w:rsidP="007C6A5F">
      <w:pPr>
        <w:pStyle w:val="FootnoteText"/>
        <w:rPr>
          <w:lang w:val="en-US"/>
        </w:rPr>
      </w:pPr>
      <w:r>
        <w:rPr>
          <w:rStyle w:val="FootnoteReference"/>
        </w:rPr>
        <w:footnoteRef/>
      </w:r>
      <w:r>
        <w:t xml:space="preserve"> </w:t>
      </w:r>
      <w:r>
        <w:tab/>
      </w:r>
      <w:r>
        <w:rPr>
          <w:lang w:val="en-US"/>
        </w:rPr>
        <w:t xml:space="preserve">Australian Institute for Health and Welfare, </w:t>
      </w:r>
      <w:hyperlink r:id="rId13" w:history="1">
        <w:r>
          <w:rPr>
            <w:rStyle w:val="Hyperlink"/>
          </w:rPr>
          <w:t>https://www.aihw.gov.au/reports/australias-welfare/social-isolation-and-loneliness</w:t>
        </w:r>
      </w:hyperlink>
      <w:r>
        <w:t>, accessed 22 January 2020.</w:t>
      </w:r>
    </w:p>
  </w:footnote>
  <w:footnote w:id="43">
    <w:p w:rsidR="00FE580F" w:rsidRPr="00F36A14" w:rsidRDefault="00FE580F" w:rsidP="007C6A5F">
      <w:pPr>
        <w:pStyle w:val="FootnoteText"/>
        <w:rPr>
          <w:lang w:val="en-US"/>
        </w:rPr>
      </w:pPr>
      <w:r>
        <w:rPr>
          <w:rStyle w:val="FootnoteReference"/>
        </w:rPr>
        <w:footnoteRef/>
      </w:r>
      <w:r>
        <w:t xml:space="preserve"> </w:t>
      </w:r>
      <w:r>
        <w:tab/>
        <w:t xml:space="preserve">See </w:t>
      </w:r>
      <w:r>
        <w:rPr>
          <w:lang w:bidi="fa-IR"/>
        </w:rPr>
        <w:t xml:space="preserve">Jukic, M. 2017, </w:t>
      </w:r>
      <w:r w:rsidRPr="00E176B0">
        <w:rPr>
          <w:i/>
          <w:iCs/>
          <w:lang w:bidi="fa-IR"/>
        </w:rPr>
        <w:t>Modelling Residential Aged Care in Australia: Entry and Exit</w:t>
      </w:r>
      <w:r>
        <w:rPr>
          <w:lang w:bidi="fa-IR"/>
        </w:rPr>
        <w:t>, A thesis submitted for the degree of Doctor of Philosophy of the University of Melbourne</w:t>
      </w:r>
    </w:p>
  </w:footnote>
  <w:footnote w:id="44">
    <w:p w:rsidR="00FE580F" w:rsidRPr="00FC665A" w:rsidRDefault="00FE580F" w:rsidP="007C6A5F">
      <w:pPr>
        <w:pStyle w:val="FootnoteText"/>
        <w:rPr>
          <w:lang w:val="en-US"/>
        </w:rPr>
      </w:pPr>
      <w:r>
        <w:rPr>
          <w:rStyle w:val="FootnoteReference"/>
        </w:rPr>
        <w:footnoteRef/>
      </w:r>
      <w:r>
        <w:t xml:space="preserve"> </w:t>
      </w:r>
      <w:r>
        <w:tab/>
      </w:r>
      <w:r>
        <w:rPr>
          <w:lang w:val="en-US"/>
        </w:rPr>
        <w:t xml:space="preserve">Royal Commission into Aged Care Quality and Safety 2019, </w:t>
      </w:r>
      <w:r w:rsidRPr="00C30594">
        <w:rPr>
          <w:i/>
          <w:iCs/>
          <w:lang w:val="en-US"/>
        </w:rPr>
        <w:t>Interim Report: Neglect</w:t>
      </w:r>
      <w:r>
        <w:rPr>
          <w:lang w:val="en-US"/>
        </w:rPr>
        <w:t>, Volume 1, October 2019, p. 20.</w:t>
      </w:r>
    </w:p>
  </w:footnote>
  <w:footnote w:id="45">
    <w:p w:rsidR="00FE580F" w:rsidRPr="007C7FFB" w:rsidRDefault="00FE580F" w:rsidP="007C6A5F">
      <w:pPr>
        <w:pStyle w:val="FootnoteText"/>
        <w:rPr>
          <w:lang w:val="en-US"/>
        </w:rPr>
      </w:pPr>
      <w:r>
        <w:rPr>
          <w:rStyle w:val="FootnoteReference"/>
        </w:rPr>
        <w:footnoteRef/>
      </w:r>
      <w:r>
        <w:t xml:space="preserve"> </w:t>
      </w:r>
      <w:r>
        <w:tab/>
      </w:r>
      <w:r>
        <w:rPr>
          <w:lang w:val="en-US"/>
        </w:rPr>
        <w:t xml:space="preserve">Bringolf, J. 2011, </w:t>
      </w:r>
      <w:r w:rsidRPr="00C135CA">
        <w:rPr>
          <w:i/>
          <w:iCs/>
          <w:lang w:val="en-US"/>
        </w:rPr>
        <w:t>Barriers to Universal Design in Housing</w:t>
      </w:r>
      <w:r>
        <w:rPr>
          <w:lang w:val="en-US"/>
        </w:rPr>
        <w:t>, A thesis submitted for the degree of Doctor of Philosophy, Urban Research Centre, College of Health and Science, University of Western Sydney, September 2011, pp. 45</w:t>
      </w:r>
      <w:r>
        <w:rPr>
          <w:lang w:val="en-US"/>
        </w:rPr>
        <w:noBreakHyphen/>
        <w:t>47.</w:t>
      </w:r>
    </w:p>
  </w:footnote>
  <w:footnote w:id="46">
    <w:p w:rsidR="00FE580F" w:rsidRPr="00F637A2" w:rsidRDefault="00FE580F" w:rsidP="007C6A5F">
      <w:pPr>
        <w:pStyle w:val="FootnoteText"/>
      </w:pPr>
      <w:r>
        <w:rPr>
          <w:rStyle w:val="FootnoteReference"/>
        </w:rPr>
        <w:footnoteRef/>
      </w:r>
      <w:r>
        <w:t xml:space="preserve"> </w:t>
      </w:r>
      <w:r>
        <w:tab/>
        <w:t xml:space="preserve">SGS 2019, </w:t>
      </w:r>
      <w:r>
        <w:rPr>
          <w:i/>
          <w:iCs/>
        </w:rPr>
        <w:t xml:space="preserve">Planning Schemes Research, </w:t>
      </w:r>
      <w:r>
        <w:t>Prepared for ABCB July 2019.</w:t>
      </w:r>
    </w:p>
  </w:footnote>
  <w:footnote w:id="47">
    <w:p w:rsidR="00FE580F" w:rsidRPr="00DF1163" w:rsidRDefault="00FE580F" w:rsidP="007C6A5F">
      <w:pPr>
        <w:pStyle w:val="FootnoteText"/>
        <w:rPr>
          <w:lang w:val="en-US"/>
        </w:rPr>
      </w:pPr>
      <w:r>
        <w:rPr>
          <w:rStyle w:val="FootnoteReference"/>
        </w:rPr>
        <w:footnoteRef/>
      </w:r>
      <w:r>
        <w:t xml:space="preserve"> </w:t>
      </w:r>
      <w:r>
        <w:tab/>
      </w:r>
      <w:r>
        <w:rPr>
          <w:lang w:val="en-US"/>
        </w:rPr>
        <w:t xml:space="preserve">Bringolf, J. </w:t>
      </w:r>
      <w:r w:rsidRPr="00206F0A">
        <w:rPr>
          <w:lang w:val="en-US"/>
        </w:rPr>
        <w:t>2015</w:t>
      </w:r>
      <w:r>
        <w:rPr>
          <w:lang w:val="en-US"/>
        </w:rPr>
        <w:t xml:space="preserve">, </w:t>
      </w:r>
      <w:r w:rsidRPr="00DF1163">
        <w:rPr>
          <w:i/>
          <w:iCs/>
          <w:lang w:val="en-US"/>
        </w:rPr>
        <w:t>Let</w:t>
      </w:r>
      <w:r>
        <w:rPr>
          <w:i/>
          <w:iCs/>
          <w:lang w:val="en-US"/>
        </w:rPr>
        <w:t>’</w:t>
      </w:r>
      <w:r w:rsidRPr="00DF1163">
        <w:rPr>
          <w:i/>
          <w:iCs/>
          <w:lang w:val="en-US"/>
        </w:rPr>
        <w:t>s Talk About Where You Live</w:t>
      </w:r>
      <w:r>
        <w:rPr>
          <w:lang w:val="en-US"/>
        </w:rPr>
        <w:t>, Incomplete draft by Jane Bringolf based on COTA NSW 2014 survey data for the 50+ Report with a focus on how and when older people are living, unpublished draft.</w:t>
      </w:r>
    </w:p>
  </w:footnote>
  <w:footnote w:id="48">
    <w:p w:rsidR="00FE580F" w:rsidRPr="00D54991" w:rsidRDefault="00FE580F" w:rsidP="007C6A5F">
      <w:pPr>
        <w:pStyle w:val="FootnoteText"/>
        <w:rPr>
          <w:lang w:val="en-US"/>
        </w:rPr>
      </w:pPr>
      <w:r>
        <w:rPr>
          <w:rStyle w:val="FootnoteReference"/>
        </w:rPr>
        <w:footnoteRef/>
      </w:r>
      <w:r>
        <w:t xml:space="preserve"> </w:t>
      </w:r>
      <w:r>
        <w:tab/>
      </w:r>
      <w:r>
        <w:rPr>
          <w:lang w:val="en-US"/>
        </w:rPr>
        <w:t xml:space="preserve">ABCB 2019, </w:t>
      </w:r>
      <w:r w:rsidRPr="00C135CA">
        <w:rPr>
          <w:i/>
          <w:iCs/>
          <w:lang w:val="en-US"/>
        </w:rPr>
        <w:t>Accessible Housing Options Paper</w:t>
      </w:r>
      <w:r>
        <w:rPr>
          <w:lang w:val="en-US"/>
        </w:rPr>
        <w:t>, Consultation Report, April 2019, p. 55.</w:t>
      </w:r>
    </w:p>
  </w:footnote>
  <w:footnote w:id="49">
    <w:p w:rsidR="00FE580F" w:rsidRPr="00BF3BD9" w:rsidRDefault="00FE580F" w:rsidP="007C6A5F">
      <w:pPr>
        <w:pStyle w:val="FootnoteText"/>
        <w:rPr>
          <w:lang w:val="en-US"/>
        </w:rPr>
      </w:pPr>
      <w:r>
        <w:rPr>
          <w:rStyle w:val="FootnoteReference"/>
        </w:rPr>
        <w:footnoteRef/>
      </w:r>
      <w:r>
        <w:t xml:space="preserve"> </w:t>
      </w:r>
      <w:r>
        <w:tab/>
        <w:t>ibid</w:t>
      </w:r>
      <w:r>
        <w:rPr>
          <w:lang w:val="en-US"/>
        </w:rPr>
        <w:t>, p. 55.</w:t>
      </w:r>
    </w:p>
  </w:footnote>
  <w:footnote w:id="50">
    <w:p w:rsidR="00FE580F" w:rsidRPr="00F36A14" w:rsidRDefault="00FE580F" w:rsidP="007C6A5F">
      <w:pPr>
        <w:pStyle w:val="FootnoteText"/>
        <w:rPr>
          <w:lang w:val="en-US"/>
        </w:rPr>
      </w:pPr>
      <w:r>
        <w:rPr>
          <w:rStyle w:val="FootnoteReference"/>
        </w:rPr>
        <w:footnoteRef/>
      </w:r>
      <w:r>
        <w:t xml:space="preserve"> </w:t>
      </w:r>
      <w:r>
        <w:tab/>
      </w:r>
      <w:r>
        <w:rPr>
          <w:lang w:val="en-US"/>
        </w:rPr>
        <w:t>Council of Australian Governments, Best Practice Regulation, A Guide for Ministerial Councils and National Standard Setting Bodies, p. 10.</w:t>
      </w:r>
    </w:p>
  </w:footnote>
  <w:footnote w:id="51">
    <w:p w:rsidR="00FE580F" w:rsidRPr="002D3B2D" w:rsidRDefault="00FE580F" w:rsidP="007C6A5F">
      <w:pPr>
        <w:pStyle w:val="FootnoteText"/>
        <w:rPr>
          <w:lang w:val="en-US"/>
        </w:rPr>
      </w:pPr>
      <w:r>
        <w:rPr>
          <w:rStyle w:val="FootnoteReference"/>
        </w:rPr>
        <w:footnoteRef/>
      </w:r>
      <w:r>
        <w:t xml:space="preserve"> </w:t>
      </w:r>
      <w:r>
        <w:tab/>
        <w:t xml:space="preserve">Commonwealth of Australia 2011, </w:t>
      </w:r>
      <w:r w:rsidRPr="00806F63">
        <w:rPr>
          <w:i/>
          <w:iCs/>
          <w:lang w:val="en-US"/>
        </w:rPr>
        <w:t>National Disability Strategy 2010</w:t>
      </w:r>
      <w:r w:rsidRPr="00806F63">
        <w:rPr>
          <w:i/>
          <w:iCs/>
          <w:lang w:val="en-US"/>
        </w:rPr>
        <w:noBreakHyphen/>
        <w:t>2020</w:t>
      </w:r>
      <w:r>
        <w:rPr>
          <w:i/>
          <w:iCs/>
          <w:lang w:val="en-US"/>
        </w:rPr>
        <w:t>:</w:t>
      </w:r>
      <w:r w:rsidRPr="00806F63">
        <w:rPr>
          <w:i/>
          <w:iCs/>
          <w:lang w:val="en-US"/>
        </w:rPr>
        <w:t xml:space="preserve"> An initiative of the Council of Australian Governments</w:t>
      </w:r>
      <w:r>
        <w:rPr>
          <w:lang w:val="en-US"/>
        </w:rPr>
        <w:t>, p. 32.</w:t>
      </w:r>
    </w:p>
  </w:footnote>
  <w:footnote w:id="52">
    <w:p w:rsidR="00FE580F" w:rsidRPr="00E070B5" w:rsidRDefault="00FE580F" w:rsidP="007C6A5F">
      <w:pPr>
        <w:pStyle w:val="FootnoteText"/>
        <w:rPr>
          <w:lang w:val="en-US"/>
        </w:rPr>
      </w:pPr>
      <w:r>
        <w:rPr>
          <w:rStyle w:val="FootnoteReference"/>
        </w:rPr>
        <w:footnoteRef/>
      </w:r>
      <w:r>
        <w:t xml:space="preserve"> </w:t>
      </w:r>
      <w:r>
        <w:tab/>
      </w:r>
      <w:r>
        <w:rPr>
          <w:lang w:val="en-US"/>
        </w:rPr>
        <w:t>ibid, p. 32.</w:t>
      </w:r>
    </w:p>
  </w:footnote>
  <w:footnote w:id="53">
    <w:p w:rsidR="00FE580F" w:rsidRPr="00DF7B3F" w:rsidRDefault="00FE580F" w:rsidP="007C6A5F">
      <w:pPr>
        <w:pStyle w:val="FootnoteText"/>
        <w:rPr>
          <w:lang w:val="en-US"/>
        </w:rPr>
      </w:pPr>
      <w:r>
        <w:rPr>
          <w:rStyle w:val="FootnoteReference"/>
        </w:rPr>
        <w:footnoteRef/>
      </w:r>
      <w:r>
        <w:t xml:space="preserve"> </w:t>
      </w:r>
      <w:r>
        <w:rPr>
          <w:lang w:val="en-US"/>
        </w:rPr>
        <w:t xml:space="preserve">ABCB 2019, </w:t>
      </w:r>
      <w:r w:rsidRPr="00806F63">
        <w:rPr>
          <w:i/>
          <w:iCs/>
          <w:lang w:val="en-US"/>
        </w:rPr>
        <w:t>Accessible Housing Options Paper</w:t>
      </w:r>
      <w:r>
        <w:rPr>
          <w:lang w:val="en-US"/>
        </w:rPr>
        <w:t>, Consultation Report, April 2019, p. 24.</w:t>
      </w:r>
    </w:p>
  </w:footnote>
  <w:footnote w:id="54">
    <w:p w:rsidR="00FE580F" w:rsidRPr="00DF7B3F" w:rsidRDefault="00FE580F" w:rsidP="007C6A5F">
      <w:pPr>
        <w:pStyle w:val="FootnoteText"/>
        <w:rPr>
          <w:lang w:val="en-US"/>
        </w:rPr>
      </w:pPr>
      <w:r>
        <w:rPr>
          <w:rStyle w:val="FootnoteReference"/>
        </w:rPr>
        <w:footnoteRef/>
      </w:r>
      <w:r>
        <w:t xml:space="preserve"> </w:t>
      </w:r>
      <w:r>
        <w:rPr>
          <w:lang w:val="en-US"/>
        </w:rPr>
        <w:t xml:space="preserve">ABCB 2019, </w:t>
      </w:r>
      <w:r w:rsidRPr="00806F63">
        <w:rPr>
          <w:i/>
          <w:iCs/>
          <w:lang w:val="en-US"/>
        </w:rPr>
        <w:t>Accessible Housing Options Paper</w:t>
      </w:r>
      <w:r>
        <w:rPr>
          <w:lang w:val="en-US"/>
        </w:rPr>
        <w:t>, Consultation Report, April 2019, pp. 24</w:t>
      </w:r>
      <w:r>
        <w:rPr>
          <w:lang w:val="en-US"/>
        </w:rPr>
        <w:noBreakHyphen/>
        <w:t>25.</w:t>
      </w:r>
    </w:p>
  </w:footnote>
  <w:footnote w:id="55">
    <w:p w:rsidR="00FE580F" w:rsidRPr="00D42890" w:rsidRDefault="00FE580F" w:rsidP="007C6A5F">
      <w:pPr>
        <w:pStyle w:val="FootnoteText"/>
        <w:rPr>
          <w:lang w:val="en-US"/>
        </w:rPr>
      </w:pPr>
      <w:r>
        <w:rPr>
          <w:rStyle w:val="FootnoteReference"/>
        </w:rPr>
        <w:footnoteRef/>
      </w:r>
      <w:r>
        <w:t xml:space="preserve"> </w:t>
      </w:r>
      <w:r>
        <w:tab/>
      </w:r>
      <w:r>
        <w:rPr>
          <w:lang w:val="en-US"/>
        </w:rPr>
        <w:t xml:space="preserve">ABCB 2019, </w:t>
      </w:r>
      <w:r w:rsidRPr="00806F63">
        <w:rPr>
          <w:i/>
          <w:iCs/>
          <w:lang w:val="en-US"/>
        </w:rPr>
        <w:t>Accessible Housing Options Paper</w:t>
      </w:r>
      <w:r>
        <w:rPr>
          <w:lang w:val="en-US"/>
        </w:rPr>
        <w:t>, Consultation Report, April 2019, p. 20.</w:t>
      </w:r>
    </w:p>
  </w:footnote>
  <w:footnote w:id="56">
    <w:p w:rsidR="00FE580F" w:rsidRPr="00DF7B3F" w:rsidRDefault="00FE580F" w:rsidP="007C6A5F">
      <w:pPr>
        <w:pStyle w:val="FootnoteText"/>
        <w:rPr>
          <w:lang w:val="en-US"/>
        </w:rPr>
      </w:pPr>
      <w:r>
        <w:rPr>
          <w:rStyle w:val="FootnoteReference"/>
        </w:rPr>
        <w:footnoteRef/>
      </w:r>
      <w:r>
        <w:t xml:space="preserve"> </w:t>
      </w:r>
      <w:r>
        <w:rPr>
          <w:lang w:val="en-US"/>
        </w:rPr>
        <w:t xml:space="preserve">ABCB 2019, </w:t>
      </w:r>
      <w:r w:rsidRPr="00806F63">
        <w:rPr>
          <w:i/>
          <w:iCs/>
          <w:lang w:val="en-US"/>
        </w:rPr>
        <w:t>Accessible Housing Options Paper</w:t>
      </w:r>
      <w:r>
        <w:rPr>
          <w:lang w:val="en-US"/>
        </w:rPr>
        <w:t>, Consultation Report, April 2019, p. 25.</w:t>
      </w:r>
    </w:p>
  </w:footnote>
  <w:footnote w:id="57">
    <w:p w:rsidR="00FE580F" w:rsidRPr="00F36A14" w:rsidRDefault="00FE580F" w:rsidP="007C6A5F">
      <w:pPr>
        <w:pStyle w:val="FootnoteText"/>
        <w:rPr>
          <w:lang w:val="en-US"/>
        </w:rPr>
      </w:pPr>
      <w:r>
        <w:rPr>
          <w:rStyle w:val="FootnoteReference"/>
        </w:rPr>
        <w:footnoteRef/>
      </w:r>
      <w:r>
        <w:t xml:space="preserve"> </w:t>
      </w:r>
      <w:r>
        <w:rPr>
          <w:lang w:val="en-US"/>
        </w:rPr>
        <w:t>Council of Australian Governments, Best Practice Regulation, A Guide for Ministerial Councils and National Standard Setting Bodies, p. 10.</w:t>
      </w:r>
    </w:p>
  </w:footnote>
  <w:footnote w:id="58">
    <w:p w:rsidR="00FE580F" w:rsidRPr="00E931DF" w:rsidRDefault="00FE580F" w:rsidP="007C6A5F">
      <w:pPr>
        <w:pStyle w:val="FootnoteText"/>
        <w:rPr>
          <w:lang w:val="en-US"/>
        </w:rPr>
      </w:pPr>
      <w:r>
        <w:rPr>
          <w:rStyle w:val="FootnoteReference"/>
        </w:rPr>
        <w:footnoteRef/>
      </w:r>
      <w:r>
        <w:t xml:space="preserve"> </w:t>
      </w:r>
      <w:r>
        <w:tab/>
        <w:t xml:space="preserve">Council of Australian Governments 2007, </w:t>
      </w:r>
      <w:r w:rsidRPr="00806F63">
        <w:rPr>
          <w:i/>
          <w:iCs/>
        </w:rPr>
        <w:t>Best Practice Regulation</w:t>
      </w:r>
      <w:r>
        <w:rPr>
          <w:i/>
          <w:iCs/>
        </w:rPr>
        <w:t>:</w:t>
      </w:r>
      <w:r w:rsidRPr="00806F63">
        <w:rPr>
          <w:i/>
          <w:iCs/>
        </w:rPr>
        <w:t xml:space="preserve"> </w:t>
      </w:r>
      <w:r w:rsidRPr="00E931DF">
        <w:rPr>
          <w:i/>
          <w:iCs/>
        </w:rPr>
        <w:t>A Guide for Ministerial Councils and National Standard Setting Bodies</w:t>
      </w:r>
      <w:r>
        <w:t>, October 2007, p</w:t>
      </w:r>
      <w:r>
        <w:rPr>
          <w:lang w:val="en-US"/>
        </w:rPr>
        <w:t>. 10.</w:t>
      </w:r>
    </w:p>
  </w:footnote>
  <w:footnote w:id="59">
    <w:p w:rsidR="00FE580F" w:rsidRPr="00A70938" w:rsidRDefault="00FE580F" w:rsidP="007C6A5F">
      <w:pPr>
        <w:pStyle w:val="FootnoteText"/>
        <w:rPr>
          <w:lang w:val="en-US"/>
        </w:rPr>
      </w:pPr>
      <w:r>
        <w:rPr>
          <w:rStyle w:val="FootnoteReference"/>
        </w:rPr>
        <w:footnoteRef/>
      </w:r>
      <w:r>
        <w:t xml:space="preserve"> </w:t>
      </w:r>
      <w:r>
        <w:tab/>
        <w:t xml:space="preserve">Department of the Prime Minister and Cabinet 2016, </w:t>
      </w:r>
      <w:r w:rsidRPr="009F2C7B">
        <w:rPr>
          <w:i/>
          <w:iCs/>
        </w:rPr>
        <w:t>Cost</w:t>
      </w:r>
      <w:r w:rsidRPr="009F2C7B">
        <w:rPr>
          <w:i/>
          <w:iCs/>
        </w:rPr>
        <w:noBreakHyphen/>
        <w:t>Benefit Analysis</w:t>
      </w:r>
      <w:r>
        <w:t xml:space="preserve">, Office of Best Practice Regulation, February 2016, </w:t>
      </w:r>
      <w:r>
        <w:rPr>
          <w:lang w:val="en-US"/>
        </w:rPr>
        <w:t>pp. 7</w:t>
      </w:r>
      <w:r>
        <w:rPr>
          <w:lang w:val="en-US"/>
        </w:rPr>
        <w:noBreakHyphen/>
        <w:t>8.</w:t>
      </w:r>
    </w:p>
  </w:footnote>
  <w:footnote w:id="60">
    <w:p w:rsidR="00FE580F" w:rsidRPr="00F04EE6" w:rsidRDefault="00FE580F" w:rsidP="007C6A5F">
      <w:pPr>
        <w:pStyle w:val="FootnoteText"/>
        <w:rPr>
          <w:lang w:val="en-US"/>
        </w:rPr>
      </w:pPr>
      <w:r>
        <w:rPr>
          <w:rStyle w:val="FootnoteReference"/>
        </w:rPr>
        <w:footnoteRef/>
      </w:r>
      <w:r>
        <w:t xml:space="preserve"> </w:t>
      </w:r>
      <w:r>
        <w:tab/>
        <w:t xml:space="preserve">SGS Economics and Planning 2016, </w:t>
      </w:r>
      <w:r w:rsidRPr="00180CA2">
        <w:rPr>
          <w:i/>
          <w:iCs/>
        </w:rPr>
        <w:t>Economic analysis of the Better Apartments initiative</w:t>
      </w:r>
      <w:r>
        <w:t>, Final report, Prepared for Department of Environment, Land, Water and Planning and the Office of the Government Architect, Appendix C: Secret Agent Study Part 1 and 2, 18 November 2016.</w:t>
      </w:r>
    </w:p>
  </w:footnote>
  <w:footnote w:id="61">
    <w:p w:rsidR="00FE580F" w:rsidRDefault="00FE580F" w:rsidP="007C6A5F">
      <w:pPr>
        <w:pStyle w:val="FootnoteText"/>
      </w:pPr>
      <w:r>
        <w:rPr>
          <w:rStyle w:val="FootnoteReference"/>
        </w:rPr>
        <w:footnoteRef/>
      </w:r>
      <w:r>
        <w:t xml:space="preserve"> </w:t>
      </w:r>
      <w:r>
        <w:tab/>
        <w:t xml:space="preserve">From ABS Cat. 6306, data for May 2018 on total hourly cash earnings is available for the occupations: construction, distribution and production managers (which we use for construction managers), architects, designers, planners and surveyors (architects), and building and engineering technicians (certifiers). We grow these data forward to 2019 using nationwide WPI. ABS Cash earnings data is a gross amount that includes superannuation and taxation. We wish to exclude taxation as it is a transfer to government (not a cost). We multiply the data by 0.8, which is equivalent to assuming each of these individuals has an average tax rate of 20 per cent. </w:t>
      </w:r>
    </w:p>
  </w:footnote>
  <w:footnote w:id="62">
    <w:p w:rsidR="00FE580F" w:rsidRDefault="00FE580F" w:rsidP="007C6A5F">
      <w:pPr>
        <w:pStyle w:val="FootnoteText"/>
      </w:pPr>
      <w:r>
        <w:rPr>
          <w:rStyle w:val="FootnoteReference"/>
        </w:rPr>
        <w:footnoteRef/>
      </w:r>
      <w:r>
        <w:t xml:space="preserve"> </w:t>
      </w:r>
      <w:r>
        <w:tab/>
        <w:t>Blacktown, Parramatta, Liverpool, The Hills Shire, Camden, Bayside, Cumberland, Penrith, Canterbury-Bankstown, Sutherland Shire, Campbelltown, Central Coast</w:t>
      </w:r>
    </w:p>
  </w:footnote>
  <w:footnote w:id="63">
    <w:p w:rsidR="00FE580F" w:rsidRPr="00C23517" w:rsidRDefault="00FE580F" w:rsidP="007C6A5F">
      <w:pPr>
        <w:pStyle w:val="FootnoteText"/>
        <w:rPr>
          <w:lang w:val="en-US"/>
        </w:rPr>
      </w:pPr>
      <w:r>
        <w:rPr>
          <w:rStyle w:val="FootnoteReference"/>
        </w:rPr>
        <w:footnoteRef/>
      </w:r>
      <w:r>
        <w:t xml:space="preserve"> </w:t>
      </w:r>
      <w:r>
        <w:tab/>
      </w:r>
      <w:hyperlink r:id="rId14" w:history="1">
        <w:r w:rsidRPr="004E3B53">
          <w:rPr>
            <w:rStyle w:val="Hyperlink"/>
          </w:rPr>
          <w:t>https://www.rentprep.com/legal/average-apartment-turnover-rate/</w:t>
        </w:r>
      </w:hyperlink>
      <w:r>
        <w:t>, accessed 7 February 2020.</w:t>
      </w:r>
    </w:p>
  </w:footnote>
  <w:footnote w:id="64">
    <w:p w:rsidR="00FE580F" w:rsidRDefault="00FE580F" w:rsidP="007C6A5F">
      <w:pPr>
        <w:pStyle w:val="FootnoteText"/>
      </w:pPr>
      <w:r>
        <w:rPr>
          <w:rStyle w:val="FootnoteReference"/>
        </w:rPr>
        <w:footnoteRef/>
      </w:r>
      <w:r>
        <w:t xml:space="preserve"> </w:t>
      </w:r>
      <w:r>
        <w:tab/>
      </w:r>
      <w:r w:rsidRPr="0050333A">
        <w:t>The elasticities were also used to adjust average WTP for the estimated difference in the age and income characteristics of people who move into newly-constructed homes compared with the broader population. We estimated, based on ABS data for a set of local government areas that contain 60 per cent of recent housing completions, that the average age of adults in the former group is 8.2 per cent lower for owners and 1.4 per cent higher for renters, compared to the population. Income is 3.3 per cent lower for owners and 12.8 per cent lower for renters.</w:t>
      </w:r>
    </w:p>
  </w:footnote>
  <w:footnote w:id="65">
    <w:p w:rsidR="00FE580F" w:rsidRDefault="00FE580F" w:rsidP="007C6A5F">
      <w:pPr>
        <w:pStyle w:val="FootnoteText"/>
      </w:pPr>
      <w:r>
        <w:rPr>
          <w:rStyle w:val="FootnoteReference"/>
        </w:rPr>
        <w:footnoteRef/>
      </w:r>
      <w:r>
        <w:t xml:space="preserve"> </w:t>
      </w:r>
      <w:r>
        <w:tab/>
      </w:r>
      <w:r w:rsidRPr="00A95EB5">
        <w:t>Leal, H., Parsons, S., White, G. and Zurawski, A., 2017</w:t>
      </w:r>
      <w:r>
        <w:t>,</w:t>
      </w:r>
      <w:r w:rsidRPr="00A95EB5">
        <w:t xml:space="preserve"> </w:t>
      </w:r>
      <w:r w:rsidRPr="003A5E33">
        <w:rPr>
          <w:i/>
          <w:iCs/>
        </w:rPr>
        <w:t>Housing Market Turnover</w:t>
      </w:r>
      <w:r>
        <w:t>,</w:t>
      </w:r>
      <w:r w:rsidRPr="00A95EB5">
        <w:t xml:space="preserve"> RBA Bulletin, March, pp.21-30.</w:t>
      </w:r>
    </w:p>
  </w:footnote>
  <w:footnote w:id="66">
    <w:p w:rsidR="00FE580F" w:rsidRPr="00107F73" w:rsidRDefault="00FE580F" w:rsidP="007C6A5F">
      <w:pPr>
        <w:pStyle w:val="FootnoteText"/>
        <w:rPr>
          <w:lang w:val="en-US"/>
        </w:rPr>
      </w:pPr>
      <w:r>
        <w:rPr>
          <w:rStyle w:val="FootnoteReference"/>
        </w:rPr>
        <w:footnoteRef/>
      </w:r>
      <w:r>
        <w:t xml:space="preserve"> </w:t>
      </w:r>
      <w:r>
        <w:tab/>
      </w:r>
      <w:r>
        <w:rPr>
          <w:lang w:val="en-US"/>
        </w:rPr>
        <w:t xml:space="preserve">Department of Prime Minister and Cabinet 2016, </w:t>
      </w:r>
      <w:r w:rsidRPr="00E12BE3">
        <w:rPr>
          <w:i/>
          <w:iCs/>
          <w:lang w:val="en-US"/>
        </w:rPr>
        <w:t>Cost</w:t>
      </w:r>
      <w:r w:rsidRPr="00E12BE3">
        <w:rPr>
          <w:i/>
          <w:iCs/>
          <w:lang w:val="en-US"/>
        </w:rPr>
        <w:noBreakHyphen/>
        <w:t>Benefit Analysis</w:t>
      </w:r>
      <w:r>
        <w:rPr>
          <w:lang w:val="en-US"/>
        </w:rPr>
        <w:t>, Guidance Note, Office of Best Practice Regulation, February 2016, p. 11.</w:t>
      </w:r>
    </w:p>
  </w:footnote>
  <w:footnote w:id="67">
    <w:p w:rsidR="00FE580F" w:rsidRPr="002F3BFE" w:rsidRDefault="00FE580F" w:rsidP="007C6A5F">
      <w:pPr>
        <w:pStyle w:val="FootnoteText"/>
        <w:rPr>
          <w:lang w:val="en-US"/>
        </w:rPr>
      </w:pPr>
      <w:r>
        <w:rPr>
          <w:rStyle w:val="FootnoteReference"/>
        </w:rPr>
        <w:footnoteRef/>
      </w:r>
      <w:r>
        <w:t xml:space="preserve"> </w:t>
      </w:r>
      <w:r>
        <w:tab/>
      </w:r>
      <w:r>
        <w:rPr>
          <w:lang w:val="en-US"/>
        </w:rPr>
        <w:t xml:space="preserve">Department of the Prime Minister and Cabinet 2016, </w:t>
      </w:r>
      <w:r w:rsidRPr="00B74F77">
        <w:rPr>
          <w:i/>
          <w:iCs/>
          <w:lang w:val="en-US"/>
        </w:rPr>
        <w:t>Cost</w:t>
      </w:r>
      <w:r w:rsidRPr="00B74F77">
        <w:rPr>
          <w:i/>
          <w:iCs/>
          <w:lang w:val="en-US"/>
        </w:rPr>
        <w:noBreakHyphen/>
        <w:t>Benefit Analysis</w:t>
      </w:r>
      <w:r>
        <w:rPr>
          <w:lang w:val="en-US"/>
        </w:rPr>
        <w:t>, Guidance Note, Office of Best Practice Regulation, February 2016, p. 11.</w:t>
      </w:r>
    </w:p>
  </w:footnote>
  <w:footnote w:id="68">
    <w:p w:rsidR="00FE580F" w:rsidRPr="009B0AED" w:rsidRDefault="00FE580F" w:rsidP="007C6A5F">
      <w:pPr>
        <w:pStyle w:val="FootnoteText"/>
        <w:rPr>
          <w:lang w:val="en-US"/>
        </w:rPr>
      </w:pPr>
      <w:r>
        <w:rPr>
          <w:rStyle w:val="FootnoteReference"/>
        </w:rPr>
        <w:footnoteRef/>
      </w:r>
      <w:r>
        <w:t xml:space="preserve"> </w:t>
      </w:r>
      <w:r>
        <w:tab/>
      </w:r>
      <w:r>
        <w:rPr>
          <w:lang w:val="en-US"/>
        </w:rPr>
        <w:t xml:space="preserve">Bringolf, J. 2015, </w:t>
      </w:r>
      <w:r w:rsidRPr="009B0AED">
        <w:rPr>
          <w:i/>
          <w:iCs/>
          <w:lang w:val="en-US"/>
        </w:rPr>
        <w:t>Let’s Talk About Where You Live</w:t>
      </w:r>
      <w:r>
        <w:rPr>
          <w:lang w:val="en-US"/>
        </w:rPr>
        <w:t>, Incomplete draft based on COTA NSW 2014 survey data for the 50+ Report with a focus on how and where older people are living, unpublished, p. 10.</w:t>
      </w:r>
    </w:p>
  </w:footnote>
  <w:footnote w:id="69">
    <w:p w:rsidR="00FE580F" w:rsidRDefault="00FE580F" w:rsidP="007C6A5F">
      <w:pPr>
        <w:pStyle w:val="FootnoteText"/>
      </w:pPr>
      <w:r>
        <w:rPr>
          <w:rStyle w:val="FootnoteReference"/>
        </w:rPr>
        <w:footnoteRef/>
      </w:r>
      <w:r>
        <w:t xml:space="preserve"> </w:t>
      </w:r>
      <w:r>
        <w:tab/>
        <w:t>Note this differs slightly from the number reported above (322 300). This reflects the procedure whereby TableBuilder randomly adjusts cells to minimise the risk of identifying individuals in aggregate statistics. This means that estimates derived from TableBuilder are not always identical.</w:t>
      </w:r>
    </w:p>
  </w:footnote>
  <w:footnote w:id="70">
    <w:p w:rsidR="00FE580F" w:rsidRPr="007E461A" w:rsidRDefault="00FE580F" w:rsidP="007C6A5F">
      <w:pPr>
        <w:pStyle w:val="FootnoteText"/>
        <w:rPr>
          <w:lang w:val="en-US"/>
        </w:rPr>
      </w:pPr>
      <w:r>
        <w:rPr>
          <w:rStyle w:val="FootnoteReference"/>
        </w:rPr>
        <w:footnoteRef/>
      </w:r>
      <w:r>
        <w:t xml:space="preserve"> </w:t>
      </w:r>
      <w:r>
        <w:tab/>
        <w:t>Stathakis, V. Gray, S. and Berecki</w:t>
      </w:r>
      <w:r>
        <w:noBreakHyphen/>
        <w:t>Gisolf, J. 2015, “Fall</w:t>
      </w:r>
      <w:r>
        <w:noBreakHyphen/>
        <w:t xml:space="preserve">related injury profile for Victorians aged 65 years and older”, </w:t>
      </w:r>
      <w:r w:rsidRPr="00845C4B">
        <w:rPr>
          <w:i/>
          <w:iCs/>
        </w:rPr>
        <w:t>Hazard</w:t>
      </w:r>
      <w:r>
        <w:t>, Edition No. 80, Summer 2015, Victorian Injury Surveillance Unit, Monash University Accident Research Centre, p. 6.</w:t>
      </w:r>
    </w:p>
  </w:footnote>
  <w:footnote w:id="71">
    <w:p w:rsidR="00FE580F" w:rsidRPr="0053773C" w:rsidRDefault="00FE580F" w:rsidP="007C6A5F">
      <w:pPr>
        <w:pStyle w:val="FootnoteText"/>
        <w:rPr>
          <w:lang w:val="en-US"/>
        </w:rPr>
      </w:pPr>
      <w:r>
        <w:rPr>
          <w:rStyle w:val="FootnoteReference"/>
        </w:rPr>
        <w:footnoteRef/>
      </w:r>
      <w:r>
        <w:t xml:space="preserve"> </w:t>
      </w:r>
      <w:r>
        <w:tab/>
      </w:r>
      <w:r>
        <w:rPr>
          <w:lang w:val="en-US"/>
        </w:rPr>
        <w:t xml:space="preserve">University of Massachusetts Medical School, Eunice Kennedy Shriver Center, </w:t>
      </w:r>
      <w:hyperlink r:id="rId15" w:history="1">
        <w:r>
          <w:rPr>
            <w:rStyle w:val="Hyperlink"/>
          </w:rPr>
          <w:t>https://shriver.umassmed.edu/news/2015-07-08-130000/shriver-center-studying-falls-prevention-people-intellectual-and-developmental-disabilities</w:t>
        </w:r>
      </w:hyperlink>
      <w:r>
        <w:t>, accessed 12 February 2020.</w:t>
      </w:r>
    </w:p>
  </w:footnote>
  <w:footnote w:id="72">
    <w:p w:rsidR="00FE580F" w:rsidRPr="002B2386" w:rsidRDefault="00FE580F" w:rsidP="007C6A5F">
      <w:pPr>
        <w:pStyle w:val="FootnoteText"/>
        <w:rPr>
          <w:lang w:val="en-US"/>
        </w:rPr>
      </w:pPr>
      <w:r>
        <w:rPr>
          <w:rStyle w:val="FootnoteReference"/>
        </w:rPr>
        <w:footnoteRef/>
      </w:r>
      <w:r>
        <w:t xml:space="preserve"> </w:t>
      </w:r>
      <w:r>
        <w:tab/>
        <w:t>Stathakis, V. Gray, S. and Berecki</w:t>
      </w:r>
      <w:r>
        <w:noBreakHyphen/>
        <w:t>Gisolf, J. 2015, “Fall</w:t>
      </w:r>
      <w:r>
        <w:noBreakHyphen/>
        <w:t xml:space="preserve">related injury profile for Victorians aged 65 years and older”, </w:t>
      </w:r>
      <w:r w:rsidRPr="00845C4B">
        <w:rPr>
          <w:i/>
          <w:iCs/>
        </w:rPr>
        <w:t>Hazard</w:t>
      </w:r>
      <w:r>
        <w:t>, Edition No. 80, Summer 2015, Victorian Injury Surveillance Unit, Monash University Accident Research Centre, p. 2.</w:t>
      </w:r>
    </w:p>
  </w:footnote>
  <w:footnote w:id="73">
    <w:p w:rsidR="00FE580F" w:rsidRPr="00463E18" w:rsidRDefault="00FE580F" w:rsidP="007C6A5F">
      <w:pPr>
        <w:pStyle w:val="FootnoteText"/>
        <w:rPr>
          <w:lang w:val="en-US"/>
        </w:rPr>
      </w:pPr>
      <w:r>
        <w:rPr>
          <w:rStyle w:val="FootnoteReference"/>
        </w:rPr>
        <w:footnoteRef/>
      </w:r>
      <w:r>
        <w:t xml:space="preserve"> </w:t>
      </w:r>
      <w:r>
        <w:rPr>
          <w:lang w:val="en-US"/>
        </w:rPr>
        <w:t xml:space="preserve">ABS 2019, </w:t>
      </w:r>
      <w:r w:rsidRPr="00706E8B">
        <w:rPr>
          <w:i/>
          <w:iCs/>
          <w:lang w:val="en-US"/>
        </w:rPr>
        <w:t>Life Tables, States, Territories and Australia 2016</w:t>
      </w:r>
      <w:r w:rsidRPr="00706E8B">
        <w:rPr>
          <w:i/>
          <w:iCs/>
          <w:lang w:val="en-US"/>
        </w:rPr>
        <w:noBreakHyphen/>
        <w:t>2018</w:t>
      </w:r>
      <w:r>
        <w:rPr>
          <w:lang w:val="en-US"/>
        </w:rPr>
        <w:t xml:space="preserve">, Cat. 3302.0.55.001, </w:t>
      </w:r>
      <w:hyperlink r:id="rId16" w:history="1">
        <w:r w:rsidRPr="00350BCE">
          <w:rPr>
            <w:rStyle w:val="Hyperlink"/>
          </w:rPr>
          <w:t>https://www.abs.gov.au/AUSSTATS/abs@.nsf/Lookup/3302.0.55.001Main+Features12016-2018?OpenDocument</w:t>
        </w:r>
      </w:hyperlink>
      <w:r>
        <w:t>, accessed 15 January 2020.</w:t>
      </w:r>
    </w:p>
  </w:footnote>
  <w:footnote w:id="74">
    <w:p w:rsidR="00FE580F" w:rsidRPr="007E461A" w:rsidRDefault="00FE580F" w:rsidP="007C6A5F">
      <w:pPr>
        <w:pStyle w:val="FootnoteText"/>
        <w:rPr>
          <w:lang w:val="en-US"/>
        </w:rPr>
      </w:pPr>
      <w:r>
        <w:rPr>
          <w:rStyle w:val="FootnoteReference"/>
        </w:rPr>
        <w:footnoteRef/>
      </w:r>
      <w:r>
        <w:t xml:space="preserve"> </w:t>
      </w:r>
      <w:r>
        <w:tab/>
        <w:t xml:space="preserve">University of NSW 2010, </w:t>
      </w:r>
      <w:r w:rsidRPr="00FB0C5C">
        <w:rPr>
          <w:i/>
          <w:iCs/>
        </w:rPr>
        <w:t>The Incidence and Cost of Falls Injury Among Older People in New South Wales 2006/07</w:t>
      </w:r>
      <w:r>
        <w:t>, A Report to NSW Health, September 2010, p. 28.</w:t>
      </w:r>
    </w:p>
  </w:footnote>
  <w:footnote w:id="75">
    <w:p w:rsidR="00FE580F" w:rsidRPr="002B2386" w:rsidRDefault="00FE580F" w:rsidP="007C6A5F">
      <w:pPr>
        <w:pStyle w:val="FootnoteText"/>
        <w:rPr>
          <w:lang w:val="en-US"/>
        </w:rPr>
      </w:pPr>
      <w:r>
        <w:rPr>
          <w:rStyle w:val="FootnoteReference"/>
        </w:rPr>
        <w:footnoteRef/>
      </w:r>
      <w:r>
        <w:t xml:space="preserve"> </w:t>
      </w:r>
      <w:r>
        <w:tab/>
        <w:t>Stathakis, V. Gray, S. and Berecki</w:t>
      </w:r>
      <w:r>
        <w:noBreakHyphen/>
        <w:t>Gisolf, J. 2015, “Fall</w:t>
      </w:r>
      <w:r>
        <w:noBreakHyphen/>
        <w:t xml:space="preserve">related injury profile for Victorians aged 65 years and older”, </w:t>
      </w:r>
      <w:r w:rsidRPr="00845C4B">
        <w:rPr>
          <w:i/>
          <w:iCs/>
        </w:rPr>
        <w:t>Hazard</w:t>
      </w:r>
      <w:r>
        <w:t>, Edition No. 80, Summer 2015, Victorian Injury Surveillance Unit, Monash University Accident Research Centre, p. 2.</w:t>
      </w:r>
    </w:p>
  </w:footnote>
  <w:footnote w:id="76">
    <w:p w:rsidR="00FE580F" w:rsidRPr="002B2386" w:rsidRDefault="00FE580F" w:rsidP="007C6A5F">
      <w:pPr>
        <w:pStyle w:val="FootnoteText"/>
        <w:rPr>
          <w:lang w:val="en-US"/>
        </w:rPr>
      </w:pPr>
      <w:r>
        <w:rPr>
          <w:rStyle w:val="FootnoteReference"/>
        </w:rPr>
        <w:footnoteRef/>
      </w:r>
      <w:r>
        <w:t xml:space="preserve"> </w:t>
      </w:r>
      <w:r>
        <w:tab/>
        <w:t xml:space="preserve">University of NSW 2010, </w:t>
      </w:r>
      <w:r w:rsidRPr="00FB0C5C">
        <w:rPr>
          <w:i/>
          <w:iCs/>
        </w:rPr>
        <w:t>The Incidence and Cost of Falls Injury Among Older People in New South Wales 2006/07</w:t>
      </w:r>
      <w:r>
        <w:t>, A Report to NSW Health, September 2010, p. 33.</w:t>
      </w:r>
    </w:p>
  </w:footnote>
  <w:footnote w:id="77">
    <w:p w:rsidR="00FE580F" w:rsidRPr="007E461A" w:rsidRDefault="00FE580F" w:rsidP="007C6A5F">
      <w:pPr>
        <w:pStyle w:val="FootnoteText"/>
        <w:rPr>
          <w:lang w:val="en-US"/>
        </w:rPr>
      </w:pPr>
      <w:r>
        <w:rPr>
          <w:rStyle w:val="FootnoteReference"/>
        </w:rPr>
        <w:footnoteRef/>
      </w:r>
      <w:r>
        <w:t xml:space="preserve"> </w:t>
      </w:r>
      <w:r>
        <w:tab/>
        <w:t xml:space="preserve">University of NSW 2010, </w:t>
      </w:r>
      <w:r w:rsidRPr="00FB0C5C">
        <w:rPr>
          <w:i/>
          <w:iCs/>
        </w:rPr>
        <w:t>The Incidence and Cost of Falls Injury Among Older People in New South Wales 2006/07</w:t>
      </w:r>
      <w:r>
        <w:t>, A Report to NSW Health, September 2010, p. 28.</w:t>
      </w:r>
    </w:p>
  </w:footnote>
  <w:footnote w:id="78">
    <w:p w:rsidR="00FE580F" w:rsidRPr="002B2386" w:rsidRDefault="00FE580F" w:rsidP="007C6A5F">
      <w:pPr>
        <w:pStyle w:val="FootnoteText"/>
        <w:rPr>
          <w:lang w:val="en-US"/>
        </w:rPr>
      </w:pPr>
      <w:r>
        <w:rPr>
          <w:rStyle w:val="FootnoteReference"/>
        </w:rPr>
        <w:footnoteRef/>
      </w:r>
      <w:r>
        <w:t xml:space="preserve"> </w:t>
      </w:r>
      <w:r>
        <w:tab/>
        <w:t>Stathakis, V. Gray, S. and Berecki</w:t>
      </w:r>
      <w:r>
        <w:noBreakHyphen/>
        <w:t>Gisolf, J. 2015, “Fall</w:t>
      </w:r>
      <w:r>
        <w:noBreakHyphen/>
        <w:t xml:space="preserve">related injury profile for Victorians aged 65 years and older”, </w:t>
      </w:r>
      <w:r w:rsidRPr="00845C4B">
        <w:rPr>
          <w:i/>
          <w:iCs/>
        </w:rPr>
        <w:t>Hazard</w:t>
      </w:r>
      <w:r>
        <w:t>, Edition No. 80, Summer 2015, Victorian Injury Surveillance Unit, Monash University Accident Research Centre, p. 2.</w:t>
      </w:r>
    </w:p>
  </w:footnote>
  <w:footnote w:id="79">
    <w:p w:rsidR="00FE580F" w:rsidRPr="002B2386" w:rsidRDefault="00FE580F" w:rsidP="007C6A5F">
      <w:pPr>
        <w:pStyle w:val="FootnoteText"/>
        <w:rPr>
          <w:lang w:val="en-US"/>
        </w:rPr>
      </w:pPr>
      <w:r>
        <w:rPr>
          <w:rStyle w:val="FootnoteReference"/>
        </w:rPr>
        <w:footnoteRef/>
      </w:r>
      <w:r>
        <w:t xml:space="preserve"> </w:t>
      </w:r>
      <w:r>
        <w:tab/>
        <w:t xml:space="preserve">University of NSW 2010, </w:t>
      </w:r>
      <w:r w:rsidRPr="00FB0C5C">
        <w:rPr>
          <w:i/>
          <w:iCs/>
        </w:rPr>
        <w:t>The Incidence and Cost of Falls Injury Among Older People in New South Wales 2006/07</w:t>
      </w:r>
      <w:r>
        <w:t>, A Report to NSW Health, September 2010, p. 33.</w:t>
      </w:r>
    </w:p>
  </w:footnote>
  <w:footnote w:id="80">
    <w:p w:rsidR="00FE580F" w:rsidRPr="007E461A" w:rsidRDefault="00FE580F" w:rsidP="007C6A5F">
      <w:pPr>
        <w:pStyle w:val="FootnoteText"/>
        <w:rPr>
          <w:lang w:val="en-US"/>
        </w:rPr>
      </w:pPr>
      <w:r>
        <w:rPr>
          <w:rStyle w:val="FootnoteReference"/>
        </w:rPr>
        <w:footnoteRef/>
      </w:r>
      <w:r>
        <w:t xml:space="preserve"> </w:t>
      </w:r>
      <w:r>
        <w:tab/>
        <w:t xml:space="preserve">University of NSW 2010, </w:t>
      </w:r>
      <w:r w:rsidRPr="00FB0C5C">
        <w:rPr>
          <w:i/>
          <w:iCs/>
        </w:rPr>
        <w:t>The Incidence and Cost of Falls Injury Among Older People in New South Wales 2006/07</w:t>
      </w:r>
      <w:r>
        <w:t>, A Report to NSW Health, September 2010, p. 28.</w:t>
      </w:r>
    </w:p>
  </w:footnote>
  <w:footnote w:id="81">
    <w:p w:rsidR="00FE580F" w:rsidRPr="002B2386" w:rsidRDefault="00FE580F" w:rsidP="007C6A5F">
      <w:pPr>
        <w:pStyle w:val="FootnoteText"/>
        <w:rPr>
          <w:lang w:val="en-US"/>
        </w:rPr>
      </w:pPr>
      <w:r>
        <w:rPr>
          <w:rStyle w:val="FootnoteReference"/>
        </w:rPr>
        <w:footnoteRef/>
      </w:r>
      <w:r>
        <w:t xml:space="preserve"> </w:t>
      </w:r>
      <w:r>
        <w:tab/>
        <w:t>Stathakis, V. Gray, S. and Berecki</w:t>
      </w:r>
      <w:r>
        <w:noBreakHyphen/>
        <w:t>Gisolf, J. 2015, “Fall</w:t>
      </w:r>
      <w:r>
        <w:noBreakHyphen/>
        <w:t xml:space="preserve">related injury profile for Victorians aged 65 years and older”, </w:t>
      </w:r>
      <w:r w:rsidRPr="00845C4B">
        <w:rPr>
          <w:i/>
          <w:iCs/>
        </w:rPr>
        <w:t>Hazard</w:t>
      </w:r>
      <w:r>
        <w:t>, Edition No. 80, Summer 2015, Victorian Injury Surveillance Unit, Monash University Accident Research Centre, p. 2.</w:t>
      </w:r>
    </w:p>
  </w:footnote>
  <w:footnote w:id="82">
    <w:p w:rsidR="00FE580F" w:rsidRPr="002B2386" w:rsidRDefault="00FE580F" w:rsidP="007C6A5F">
      <w:pPr>
        <w:pStyle w:val="FootnoteText"/>
        <w:rPr>
          <w:lang w:val="en-US"/>
        </w:rPr>
      </w:pPr>
      <w:r>
        <w:rPr>
          <w:rStyle w:val="FootnoteReference"/>
        </w:rPr>
        <w:footnoteRef/>
      </w:r>
      <w:r>
        <w:t xml:space="preserve"> </w:t>
      </w:r>
      <w:r>
        <w:tab/>
        <w:t xml:space="preserve">University of NSW 2010, </w:t>
      </w:r>
      <w:r w:rsidRPr="00FB0C5C">
        <w:rPr>
          <w:i/>
          <w:iCs/>
        </w:rPr>
        <w:t>The Incidence and Cost of Falls Injury Among Older People in New South Wales 2006/07</w:t>
      </w:r>
      <w:r>
        <w:t>, A Report to NSW Health, September 2010, p. 33.</w:t>
      </w:r>
    </w:p>
  </w:footnote>
  <w:footnote w:id="83">
    <w:p w:rsidR="00FE580F" w:rsidRDefault="00FE580F" w:rsidP="007C6A5F">
      <w:pPr>
        <w:pStyle w:val="FootnoteText"/>
      </w:pPr>
      <w:r>
        <w:rPr>
          <w:rStyle w:val="FootnoteReference"/>
        </w:rPr>
        <w:footnoteRef/>
      </w:r>
      <w:r>
        <w:t xml:space="preserve"> </w:t>
      </w:r>
      <w:r>
        <w:tab/>
        <w:t xml:space="preserve">Carnemolla, P. and Bridge, C. 2019, Housing Design and Community Care: How Home Modifications Reduce Care Needs of Older People and People with Disability, </w:t>
      </w:r>
      <w:r w:rsidRPr="00F36A14">
        <w:rPr>
          <w:i/>
          <w:iCs/>
        </w:rPr>
        <w:t>International Journal of Environmental Research and Public Health</w:t>
      </w:r>
      <w:r>
        <w:t>.</w:t>
      </w:r>
    </w:p>
  </w:footnote>
  <w:footnote w:id="84">
    <w:p w:rsidR="00FE580F" w:rsidRPr="00F36A14" w:rsidRDefault="00FE580F" w:rsidP="007C6A5F">
      <w:pPr>
        <w:pStyle w:val="FootnoteText"/>
        <w:rPr>
          <w:lang w:val="en-US"/>
        </w:rPr>
      </w:pPr>
      <w:r>
        <w:rPr>
          <w:rStyle w:val="FootnoteReference"/>
        </w:rPr>
        <w:footnoteRef/>
      </w:r>
      <w:r>
        <w:t xml:space="preserve"> </w:t>
      </w:r>
      <w:r>
        <w:rPr>
          <w:lang w:val="en-US"/>
        </w:rPr>
        <w:t xml:space="preserve">Fair Work Ombudsman website, </w:t>
      </w:r>
      <w:hyperlink r:id="rId17" w:history="1">
        <w:r>
          <w:rPr>
            <w:rStyle w:val="Hyperlink"/>
          </w:rPr>
          <w:t>https://www.fairwork.gov.au/how-we-will-help/templates-and-guides/fact-sheets/minimum-workplace-entitlements/minimum-wages</w:t>
        </w:r>
      </w:hyperlink>
      <w:r>
        <w:t>, accessed 24 May 2020.</w:t>
      </w:r>
    </w:p>
  </w:footnote>
  <w:footnote w:id="85">
    <w:p w:rsidR="00FE580F" w:rsidRDefault="00FE580F" w:rsidP="007C6A5F">
      <w:pPr>
        <w:pStyle w:val="FootnoteText"/>
      </w:pPr>
      <w:r>
        <w:rPr>
          <w:rStyle w:val="FootnoteReference"/>
        </w:rPr>
        <w:footnoteRef/>
      </w:r>
      <w:r>
        <w:t xml:space="preserve"> Carnemolla, P. and Bridge, C. 2019, Housing Design and Community Care: How Home Modifications Reduce Care Needs of Older People and People with Disability, International Journal of Environmental Research and Public Health, </w:t>
      </w:r>
    </w:p>
    <w:p w:rsidR="00FE580F" w:rsidRDefault="00FE580F" w:rsidP="007C6A5F">
      <w:pPr>
        <w:pStyle w:val="FootnoteText"/>
      </w:pPr>
      <w:r>
        <w:rPr>
          <w:rStyle w:val="FootnoteReference"/>
        </w:rPr>
        <w:footnoteRef/>
      </w:r>
      <w:r>
        <w:t xml:space="preserve"> </w:t>
      </w:r>
      <w:r>
        <w:tab/>
        <w:t xml:space="preserve">See for example: </w:t>
      </w:r>
      <w:r w:rsidRPr="009B1E0B">
        <w:t>Chakrav</w:t>
      </w:r>
      <w:r>
        <w:t xml:space="preserve">arthy, U., Biundo, E., Saka, R.O, Fasser, C., Bourne, R. &amp; Little, J. 2017, ‘The Economic Impact of Blindness in Europe’, </w:t>
      </w:r>
      <w:r w:rsidRPr="009B1E0B">
        <w:rPr>
          <w:i/>
          <w:iCs/>
        </w:rPr>
        <w:t>Ophthalmic Epidemiology</w:t>
      </w:r>
      <w:r>
        <w:t>, DOI: 10.1080/09286586.2017.1281426; Frick, K.D., Gower, E.W., Kempen, J.H. &amp; Wolff, J.L. 2007, ‘Economic Impact of Visual Impairment and Blindness in the United States’, </w:t>
      </w:r>
      <w:r w:rsidRPr="009B1E0B">
        <w:rPr>
          <w:i/>
          <w:iCs/>
        </w:rPr>
        <w:t>Archives of Ophthalmology</w:t>
      </w:r>
      <w:r>
        <w:t>, </w:t>
      </w:r>
      <w:r w:rsidRPr="00F07485">
        <w:rPr>
          <w:b/>
          <w:bCs/>
        </w:rPr>
        <w:t>125</w:t>
      </w:r>
      <w:r>
        <w:t xml:space="preserve"> (4), pp. 544-550</w:t>
      </w:r>
    </w:p>
  </w:footnote>
  <w:footnote w:id="86">
    <w:p w:rsidR="00FE580F" w:rsidRPr="00F36A14" w:rsidRDefault="00FE580F" w:rsidP="007C6A5F">
      <w:pPr>
        <w:pStyle w:val="FootnoteText"/>
        <w:rPr>
          <w:lang w:val="en-US"/>
        </w:rPr>
      </w:pPr>
      <w:r>
        <w:rPr>
          <w:rStyle w:val="FootnoteReference"/>
        </w:rPr>
        <w:footnoteRef/>
      </w:r>
      <w:r>
        <w:t xml:space="preserve"> </w:t>
      </w:r>
      <w:r>
        <w:rPr>
          <w:lang w:val="en-US"/>
        </w:rPr>
        <w:t xml:space="preserve">NDIS website, </w:t>
      </w:r>
      <w:hyperlink r:id="rId18" w:history="1">
        <w:r>
          <w:rPr>
            <w:rStyle w:val="Hyperlink"/>
          </w:rPr>
          <w:t>https://www.ndis.gov.au/providers/price-guides-and-pricing</w:t>
        </w:r>
      </w:hyperlink>
      <w:r>
        <w:t>, accessed 24 May 2020.</w:t>
      </w:r>
    </w:p>
  </w:footnote>
  <w:footnote w:id="87">
    <w:p w:rsidR="00FE580F" w:rsidRPr="001F09C8" w:rsidRDefault="00FE580F" w:rsidP="007C6A5F">
      <w:pPr>
        <w:pStyle w:val="FootnoteText"/>
      </w:pPr>
      <w:r>
        <w:rPr>
          <w:rStyle w:val="FootnoteReference"/>
        </w:rPr>
        <w:footnoteRef/>
      </w:r>
      <w:r>
        <w:t xml:space="preserve"> </w:t>
      </w:r>
      <w:r>
        <w:tab/>
        <w:t xml:space="preserve">Young People In Nursing Homes National Alliance, Monash University Department of Architecture 2015, </w:t>
      </w:r>
      <w:r>
        <w:rPr>
          <w:i/>
          <w:iCs/>
        </w:rPr>
        <w:t>Shaping the Future Today: Transforming Housing Policy for Australians with Disability</w:t>
      </w:r>
      <w:r>
        <w:t>, Melbourne, p.20</w:t>
      </w:r>
    </w:p>
  </w:footnote>
  <w:footnote w:id="88">
    <w:p w:rsidR="00FE580F" w:rsidRPr="00792BBC" w:rsidRDefault="00FE580F" w:rsidP="007C6A5F">
      <w:pPr>
        <w:pStyle w:val="FootnoteText"/>
        <w:rPr>
          <w:lang w:val="en-US"/>
        </w:rPr>
      </w:pPr>
      <w:r>
        <w:rPr>
          <w:rStyle w:val="FootnoteReference"/>
        </w:rPr>
        <w:footnoteRef/>
      </w:r>
      <w:r>
        <w:t xml:space="preserve"> </w:t>
      </w:r>
      <w:r>
        <w:tab/>
      </w:r>
      <w:r>
        <w:rPr>
          <w:lang w:val="en-US"/>
        </w:rPr>
        <w:t xml:space="preserve">Bringolf, J. 2015, </w:t>
      </w:r>
      <w:r w:rsidRPr="009B0AED">
        <w:rPr>
          <w:i/>
          <w:iCs/>
          <w:lang w:val="en-US"/>
        </w:rPr>
        <w:t>Let’s Talk About Where You Live</w:t>
      </w:r>
      <w:r>
        <w:rPr>
          <w:lang w:val="en-US"/>
        </w:rPr>
        <w:t>, Incomplete draft based on COTA NSW 2014 sruvey data for the 50+ Report with a focus on how and where older people are living, unpublished, p. 14.</w:t>
      </w:r>
    </w:p>
  </w:footnote>
  <w:footnote w:id="89">
    <w:p w:rsidR="00FE580F" w:rsidRPr="00A51510" w:rsidRDefault="00FE580F" w:rsidP="007C6A5F">
      <w:pPr>
        <w:pStyle w:val="FootnoteText"/>
        <w:rPr>
          <w:lang w:val="en-US"/>
        </w:rPr>
      </w:pPr>
      <w:r>
        <w:rPr>
          <w:rStyle w:val="FootnoteReference"/>
        </w:rPr>
        <w:footnoteRef/>
      </w:r>
      <w:r>
        <w:t xml:space="preserve"> </w:t>
      </w:r>
      <w:r>
        <w:tab/>
      </w:r>
      <w:r>
        <w:rPr>
          <w:lang w:val="en-US"/>
        </w:rPr>
        <w:t xml:space="preserve">See for example: </w:t>
      </w:r>
      <w:hyperlink r:id="rId19" w:history="1">
        <w:r>
          <w:rPr>
            <w:rStyle w:val="Hyperlink"/>
          </w:rPr>
          <w:t>https://www.openagent.com.au/blog/how-much-moving-cost?at=v5&amp;utm_expid=.6ZprDALXQh2rpM05ZARdBA.1&amp;utm_referrer=https%3A%2F%2Fwww.google.com%2F</w:t>
        </w:r>
      </w:hyperlink>
      <w:r>
        <w:t>, accessed 23 January 2020.</w:t>
      </w:r>
    </w:p>
  </w:footnote>
  <w:footnote w:id="90">
    <w:p w:rsidR="00FE580F" w:rsidRPr="004A5374" w:rsidRDefault="00FE580F" w:rsidP="007C6A5F">
      <w:pPr>
        <w:pStyle w:val="FootnoteText"/>
        <w:rPr>
          <w:lang w:val="en-US"/>
        </w:rPr>
      </w:pPr>
      <w:r>
        <w:rPr>
          <w:rStyle w:val="FootnoteReference"/>
        </w:rPr>
        <w:footnoteRef/>
      </w:r>
      <w:r>
        <w:t xml:space="preserve"> </w:t>
      </w:r>
      <w:r>
        <w:tab/>
      </w:r>
      <w:r>
        <w:rPr>
          <w:lang w:val="en-US"/>
        </w:rPr>
        <w:t xml:space="preserve">New, P.W. Jolley, D.J. Cameron, P.A. Olver, J.H. Stoelwinder, J.U. 2013, “A prospective multicenter study to discharge from inpatient rehabilitations”, </w:t>
      </w:r>
      <w:r w:rsidRPr="00BB5DEA">
        <w:rPr>
          <w:i/>
          <w:iCs/>
          <w:lang w:val="en-US"/>
        </w:rPr>
        <w:t>Medical Journal of Australia</w:t>
      </w:r>
      <w:r>
        <w:rPr>
          <w:lang w:val="en-US"/>
        </w:rPr>
        <w:t xml:space="preserve">, </w:t>
      </w:r>
      <w:r w:rsidRPr="00662FCD">
        <w:rPr>
          <w:b/>
          <w:bCs/>
          <w:lang w:val="en-US"/>
        </w:rPr>
        <w:t>198</w:t>
      </w:r>
      <w:r>
        <w:rPr>
          <w:lang w:val="en-US"/>
        </w:rPr>
        <w:t xml:space="preserve"> (2), pp. 104</w:t>
      </w:r>
      <w:r>
        <w:rPr>
          <w:lang w:val="en-US"/>
        </w:rPr>
        <w:noBreakHyphen/>
        <w:t>108.</w:t>
      </w:r>
    </w:p>
  </w:footnote>
  <w:footnote w:id="91">
    <w:p w:rsidR="00FE580F" w:rsidRPr="00995D55" w:rsidRDefault="00FE580F" w:rsidP="007C6A5F">
      <w:pPr>
        <w:pStyle w:val="FootnoteText"/>
        <w:rPr>
          <w:lang w:val="en-US"/>
        </w:rPr>
      </w:pPr>
      <w:r>
        <w:rPr>
          <w:rStyle w:val="FootnoteReference"/>
        </w:rPr>
        <w:footnoteRef/>
      </w:r>
      <w:r>
        <w:t xml:space="preserve"> </w:t>
      </w:r>
      <w:r>
        <w:tab/>
      </w:r>
      <w:r>
        <w:rPr>
          <w:lang w:val="en-US"/>
        </w:rPr>
        <w:t xml:space="preserve">Ou, L. Chen, J. and Santiano, N. 2009, “Discharge delays in acute care: Reasons and determinants of delay in general ward patients”, </w:t>
      </w:r>
      <w:r w:rsidRPr="00662FCD">
        <w:rPr>
          <w:i/>
          <w:iCs/>
          <w:lang w:val="en-US"/>
        </w:rPr>
        <w:t>Australian Health Review</w:t>
      </w:r>
      <w:r>
        <w:rPr>
          <w:lang w:val="en-US"/>
        </w:rPr>
        <w:t xml:space="preserve">, August 2009, </w:t>
      </w:r>
      <w:r w:rsidRPr="00662FCD">
        <w:rPr>
          <w:b/>
          <w:bCs/>
          <w:lang w:val="en-US"/>
        </w:rPr>
        <w:t>33</w:t>
      </w:r>
      <w:r>
        <w:rPr>
          <w:lang w:val="en-US"/>
        </w:rPr>
        <w:t xml:space="preserve"> (3), pp. 513</w:t>
      </w:r>
      <w:r>
        <w:rPr>
          <w:lang w:val="en-US"/>
        </w:rPr>
        <w:noBreakHyphen/>
        <w:t>521.</w:t>
      </w:r>
    </w:p>
  </w:footnote>
  <w:footnote w:id="92">
    <w:p w:rsidR="00FE580F" w:rsidRPr="003B6F2D" w:rsidRDefault="00FE580F" w:rsidP="007C6A5F">
      <w:pPr>
        <w:pStyle w:val="FootnoteText"/>
        <w:rPr>
          <w:lang w:val="en-US"/>
        </w:rPr>
      </w:pPr>
      <w:r>
        <w:rPr>
          <w:rStyle w:val="FootnoteReference"/>
        </w:rPr>
        <w:footnoteRef/>
      </w:r>
      <w:r>
        <w:t xml:space="preserve"> </w:t>
      </w:r>
      <w:r>
        <w:tab/>
      </w:r>
      <w:r>
        <w:rPr>
          <w:lang w:val="en-US"/>
        </w:rPr>
        <w:t xml:space="preserve">Australian Institute of Health and Welfare website, </w:t>
      </w:r>
      <w:hyperlink r:id="rId20" w:history="1">
        <w:r>
          <w:rPr>
            <w:rStyle w:val="Hyperlink"/>
          </w:rPr>
          <w:t>https://www.aihw.gov.au/reports-data/myhospitals/content/glossary</w:t>
        </w:r>
      </w:hyperlink>
      <w:r>
        <w:t>, accessed 21 January 2020.</w:t>
      </w:r>
    </w:p>
  </w:footnote>
  <w:footnote w:id="93">
    <w:p w:rsidR="00FE580F" w:rsidRPr="006021A0" w:rsidRDefault="00FE580F" w:rsidP="007C6A5F">
      <w:pPr>
        <w:pStyle w:val="FootnoteText"/>
        <w:rPr>
          <w:lang w:val="en-US"/>
        </w:rPr>
      </w:pPr>
      <w:r>
        <w:rPr>
          <w:rStyle w:val="FootnoteReference"/>
        </w:rPr>
        <w:footnoteRef/>
      </w:r>
      <w:r>
        <w:t xml:space="preserve"> </w:t>
      </w:r>
      <w:r>
        <w:tab/>
      </w:r>
      <w:r>
        <w:rPr>
          <w:lang w:val="en-US"/>
        </w:rPr>
        <w:t xml:space="preserve">IHPA website, </w:t>
      </w:r>
      <w:hyperlink r:id="rId21" w:history="1">
        <w:r>
          <w:rPr>
            <w:rStyle w:val="Hyperlink"/>
          </w:rPr>
          <w:t>https://www.ihpa.gov.au/what-we-do/subacute-and-non-acute-care</w:t>
        </w:r>
      </w:hyperlink>
      <w:r>
        <w:t>, accessed 20 January 2020.</w:t>
      </w:r>
    </w:p>
  </w:footnote>
  <w:footnote w:id="94">
    <w:p w:rsidR="00FE580F" w:rsidRPr="00E368EE" w:rsidRDefault="00FE580F" w:rsidP="007C6A5F">
      <w:pPr>
        <w:pStyle w:val="FootnoteText"/>
        <w:rPr>
          <w:lang w:val="en-US"/>
        </w:rPr>
      </w:pPr>
      <w:r>
        <w:rPr>
          <w:rStyle w:val="FootnoteReference"/>
        </w:rPr>
        <w:footnoteRef/>
      </w:r>
      <w:r>
        <w:t xml:space="preserve"> </w:t>
      </w:r>
      <w:r>
        <w:tab/>
        <w:t xml:space="preserve">Australian Government, My aged care website, </w:t>
      </w:r>
      <w:hyperlink r:id="rId22" w:history="1">
        <w:r w:rsidRPr="003B5825">
          <w:rPr>
            <w:rStyle w:val="Hyperlink"/>
          </w:rPr>
          <w:t>https://www.myagedcare.gov.au/short-term-care/transition-care</w:t>
        </w:r>
      </w:hyperlink>
      <w:r>
        <w:t>, accessed 20 January 2020.</w:t>
      </w:r>
    </w:p>
  </w:footnote>
  <w:footnote w:id="95">
    <w:p w:rsidR="00FE580F" w:rsidRPr="00B62603" w:rsidRDefault="00FE580F" w:rsidP="007C6A5F">
      <w:pPr>
        <w:pStyle w:val="FootnoteText"/>
        <w:rPr>
          <w:lang w:val="en-US"/>
        </w:rPr>
      </w:pPr>
      <w:r>
        <w:rPr>
          <w:rStyle w:val="FootnoteReference"/>
        </w:rPr>
        <w:footnoteRef/>
      </w:r>
      <w:r>
        <w:t xml:space="preserve"> </w:t>
      </w:r>
      <w:r>
        <w:tab/>
      </w:r>
      <w:r>
        <w:rPr>
          <w:lang w:val="en-US"/>
        </w:rPr>
        <w:t>This includes people who indicated the question was not applicable. As the question asks for the reason that respondents do not leave the residence as often as they would like, we assume that if the question is not applicable, the respondent is leaving the residence as often as they like.</w:t>
      </w:r>
    </w:p>
  </w:footnote>
  <w:footnote w:id="96">
    <w:p w:rsidR="00FE580F" w:rsidRPr="002D004B" w:rsidRDefault="00FE580F" w:rsidP="007C6A5F">
      <w:pPr>
        <w:pStyle w:val="FootnoteText"/>
        <w:rPr>
          <w:lang w:val="en-US"/>
        </w:rPr>
      </w:pPr>
      <w:r>
        <w:rPr>
          <w:rStyle w:val="FootnoteReference"/>
        </w:rPr>
        <w:footnoteRef/>
      </w:r>
      <w:r>
        <w:t xml:space="preserve"> </w:t>
      </w:r>
      <w:r>
        <w:tab/>
      </w:r>
      <w:r>
        <w:rPr>
          <w:lang w:val="en-US"/>
        </w:rPr>
        <w:t xml:space="preserve">McDaid, D., Park, A.L. and Fernandez, J.L. 2016, </w:t>
      </w:r>
      <w:r w:rsidRPr="003967D7">
        <w:rPr>
          <w:i/>
          <w:iCs/>
          <w:lang w:val="en-US"/>
        </w:rPr>
        <w:t>Reconnections Evaluation Interim Report</w:t>
      </w:r>
      <w:r>
        <w:rPr>
          <w:lang w:val="en-US"/>
        </w:rPr>
        <w:t>, Personal Social Services Research Unit (PSSRU), London School of Economics, June 2016, p. 30.</w:t>
      </w:r>
    </w:p>
  </w:footnote>
  <w:footnote w:id="97">
    <w:p w:rsidR="00FE580F" w:rsidRPr="002D004B" w:rsidRDefault="00FE580F" w:rsidP="007C6A5F">
      <w:pPr>
        <w:pStyle w:val="FootnoteText"/>
        <w:rPr>
          <w:lang w:val="en-US"/>
        </w:rPr>
      </w:pPr>
      <w:r>
        <w:rPr>
          <w:rStyle w:val="FootnoteReference"/>
        </w:rPr>
        <w:footnoteRef/>
      </w:r>
      <w:r>
        <w:t xml:space="preserve"> </w:t>
      </w:r>
      <w:r>
        <w:tab/>
      </w:r>
      <w:r>
        <w:rPr>
          <w:lang w:val="en-US"/>
        </w:rPr>
        <w:t xml:space="preserve">McDaid, D., Park, A.L. and Fernandez, J.L. 2016, </w:t>
      </w:r>
      <w:r w:rsidRPr="00CD2EEC">
        <w:rPr>
          <w:i/>
          <w:iCs/>
          <w:lang w:val="en-US"/>
        </w:rPr>
        <w:t>Reconnections Evaluation Interim Report</w:t>
      </w:r>
      <w:r>
        <w:rPr>
          <w:lang w:val="en-US"/>
        </w:rPr>
        <w:t>, Personal Social Services Research Unit (PSSRU), London School of Economics, June 2016, p. 30.</w:t>
      </w:r>
    </w:p>
  </w:footnote>
  <w:footnote w:id="98">
    <w:p w:rsidR="00FE580F" w:rsidRPr="004D2F3B" w:rsidRDefault="00FE580F" w:rsidP="007C6A5F">
      <w:pPr>
        <w:pStyle w:val="FootnoteText"/>
        <w:rPr>
          <w:szCs w:val="19"/>
          <w:lang w:val="en-US"/>
        </w:rPr>
      </w:pPr>
      <w:r>
        <w:rPr>
          <w:rStyle w:val="FootnoteReference"/>
        </w:rPr>
        <w:footnoteRef/>
      </w:r>
      <w:r>
        <w:t xml:space="preserve"> </w:t>
      </w:r>
      <w:r>
        <w:tab/>
      </w:r>
      <w:r>
        <w:rPr>
          <w:lang w:val="en-US"/>
        </w:rPr>
        <w:t>Australian Institute of Health and Welfare website</w:t>
      </w:r>
      <w:r w:rsidRPr="004D2F3B">
        <w:rPr>
          <w:szCs w:val="19"/>
          <w:lang w:val="en-US"/>
        </w:rPr>
        <w:t xml:space="preserve">, </w:t>
      </w:r>
      <w:hyperlink r:id="rId23" w:history="1">
        <w:r w:rsidRPr="004D2F3B">
          <w:rPr>
            <w:rFonts w:ascii="Calisto MT" w:eastAsiaTheme="minorEastAsia" w:hAnsi="Calisto MT"/>
            <w:color w:val="0000FF"/>
            <w:szCs w:val="19"/>
            <w:u w:val="single"/>
          </w:rPr>
          <w:t>https://www.gen-agedcaredata.gov.au/Resources/Access-data/2019/September/Aged-care-data-snapshot%E2%80%942019</w:t>
        </w:r>
      </w:hyperlink>
      <w:r w:rsidRPr="004D2F3B">
        <w:rPr>
          <w:rFonts w:ascii="Calisto MT" w:eastAsiaTheme="minorEastAsia" w:hAnsi="Calisto MT"/>
          <w:szCs w:val="19"/>
        </w:rPr>
        <w:t>, accessed 22 December 2019.</w:t>
      </w:r>
    </w:p>
  </w:footnote>
  <w:footnote w:id="99">
    <w:p w:rsidR="00FE580F" w:rsidRPr="00F36A14" w:rsidRDefault="00FE580F" w:rsidP="007C6A5F">
      <w:pPr>
        <w:pStyle w:val="FootnoteText"/>
        <w:rPr>
          <w:lang w:val="en-US"/>
        </w:rPr>
      </w:pPr>
      <w:r>
        <w:rPr>
          <w:rStyle w:val="FootnoteReference"/>
        </w:rPr>
        <w:footnoteRef/>
      </w:r>
      <w:r>
        <w:t xml:space="preserve"> </w:t>
      </w:r>
      <w:r>
        <w:rPr>
          <w:lang w:val="en-US"/>
        </w:rPr>
        <w:t xml:space="preserve">Jukic, M. and Temple, J.B. 2018, Recommended long term care settings following aged care assessments in Australia, </w:t>
      </w:r>
      <w:r w:rsidRPr="00F36A14">
        <w:rPr>
          <w:i/>
          <w:iCs/>
          <w:lang w:val="en-US"/>
        </w:rPr>
        <w:t>PLOS One</w:t>
      </w:r>
      <w:r>
        <w:rPr>
          <w:lang w:val="en-US"/>
        </w:rPr>
        <w:t>.</w:t>
      </w:r>
    </w:p>
  </w:footnote>
  <w:footnote w:id="100">
    <w:p w:rsidR="00FE580F" w:rsidRPr="001A6961" w:rsidRDefault="00FE580F" w:rsidP="007C6A5F">
      <w:pPr>
        <w:pStyle w:val="FootnoteText"/>
        <w:rPr>
          <w:szCs w:val="19"/>
          <w:lang w:val="en-US"/>
        </w:rPr>
      </w:pPr>
      <w:r>
        <w:rPr>
          <w:rStyle w:val="FootnoteReference"/>
        </w:rPr>
        <w:footnoteRef/>
      </w:r>
      <w:r>
        <w:t xml:space="preserve"> </w:t>
      </w:r>
      <w:r>
        <w:tab/>
      </w:r>
      <w:r>
        <w:rPr>
          <w:lang w:val="en-US"/>
        </w:rPr>
        <w:t xml:space="preserve">Australian Institute of Health and Welfare website, </w:t>
      </w:r>
      <w:hyperlink r:id="rId24" w:history="1">
        <w:r w:rsidRPr="001A6961">
          <w:rPr>
            <w:rFonts w:ascii="Calisto MT" w:eastAsiaTheme="minorEastAsia" w:hAnsi="Calisto MT"/>
            <w:color w:val="0000FF"/>
            <w:szCs w:val="19"/>
            <w:u w:val="single"/>
          </w:rPr>
          <w:t>https://www.gen-agedcaredata.gov.au/Resources/Access-data/2019/September/Aged-care-data-snapshot%E2%80%942019</w:t>
        </w:r>
      </w:hyperlink>
      <w:r w:rsidRPr="001A6961">
        <w:rPr>
          <w:rFonts w:ascii="Calisto MT" w:eastAsiaTheme="minorEastAsia" w:hAnsi="Calisto MT"/>
          <w:szCs w:val="19"/>
        </w:rPr>
        <w:t>, accessed 22 December 2019.</w:t>
      </w:r>
    </w:p>
  </w:footnote>
  <w:footnote w:id="101">
    <w:p w:rsidR="00FE580F" w:rsidRPr="0067715A" w:rsidRDefault="00FE580F" w:rsidP="007C6A5F">
      <w:pPr>
        <w:pStyle w:val="FootnoteText"/>
        <w:rPr>
          <w:lang w:val="en-US"/>
        </w:rPr>
      </w:pPr>
      <w:r>
        <w:rPr>
          <w:rStyle w:val="FootnoteReference"/>
        </w:rPr>
        <w:footnoteRef/>
      </w:r>
      <w:r>
        <w:t xml:space="preserve"> </w:t>
      </w:r>
      <w:r>
        <w:tab/>
      </w:r>
      <w:r>
        <w:rPr>
          <w:lang w:val="en-US"/>
        </w:rPr>
        <w:t xml:space="preserve">Royal Commission into Aged Care Quality and Safety 2019, </w:t>
      </w:r>
      <w:r w:rsidRPr="00C30594">
        <w:rPr>
          <w:i/>
          <w:iCs/>
          <w:lang w:val="en-US"/>
        </w:rPr>
        <w:t>Interim Report: Neglect</w:t>
      </w:r>
      <w:r>
        <w:rPr>
          <w:lang w:val="en-US"/>
        </w:rPr>
        <w:t>, Volume 1, October 2019, p. 4.</w:t>
      </w:r>
    </w:p>
  </w:footnote>
  <w:footnote w:id="102">
    <w:p w:rsidR="00FE580F" w:rsidRPr="00085F58" w:rsidRDefault="00FE580F" w:rsidP="007C6A5F">
      <w:pPr>
        <w:pStyle w:val="FootnoteText"/>
        <w:rPr>
          <w:lang w:val="en-US"/>
        </w:rPr>
      </w:pPr>
      <w:r>
        <w:rPr>
          <w:rStyle w:val="FootnoteReference"/>
        </w:rPr>
        <w:footnoteRef/>
      </w:r>
      <w:r>
        <w:t xml:space="preserve"> </w:t>
      </w:r>
      <w:r>
        <w:tab/>
      </w:r>
      <w:r>
        <w:rPr>
          <w:lang w:val="en-US"/>
        </w:rPr>
        <w:t xml:space="preserve">Department of Social Services website, </w:t>
      </w:r>
      <w:hyperlink r:id="rId25" w:history="1">
        <w:r>
          <w:rPr>
            <w:rStyle w:val="Hyperlink"/>
          </w:rPr>
          <w:t>https://www.dss.gov.au/disability-and-carers/programmes-services/for-people-with-disability/younger-people-with-disability-in-residential-aged-care-initiative</w:t>
        </w:r>
      </w:hyperlink>
      <w:r>
        <w:t>, accessed 17 February 2020.</w:t>
      </w:r>
    </w:p>
  </w:footnote>
  <w:footnote w:id="103">
    <w:p w:rsidR="00FE580F" w:rsidRPr="007D7DA0" w:rsidRDefault="00FE580F" w:rsidP="007C6A5F">
      <w:pPr>
        <w:pStyle w:val="FootnoteText"/>
        <w:rPr>
          <w:lang w:val="en-US"/>
        </w:rPr>
      </w:pPr>
      <w:r>
        <w:rPr>
          <w:rStyle w:val="FootnoteReference"/>
        </w:rPr>
        <w:footnoteRef/>
      </w:r>
      <w:r>
        <w:t xml:space="preserve"> </w:t>
      </w:r>
      <w:r>
        <w:tab/>
        <w:t xml:space="preserve">NDIA 2019, </w:t>
      </w:r>
      <w:r w:rsidRPr="00237183">
        <w:rPr>
          <w:i/>
          <w:iCs/>
          <w:lang w:val="en-US"/>
        </w:rPr>
        <w:t>COAG Disability Reform Council Quarterly Report</w:t>
      </w:r>
      <w:r>
        <w:rPr>
          <w:lang w:val="en-US"/>
        </w:rPr>
        <w:t>, December 2019, p. 27.</w:t>
      </w:r>
    </w:p>
  </w:footnote>
  <w:footnote w:id="104">
    <w:p w:rsidR="00FE580F" w:rsidRPr="007F37E3" w:rsidRDefault="00FE580F" w:rsidP="007C6A5F">
      <w:pPr>
        <w:pStyle w:val="FootnoteText"/>
        <w:rPr>
          <w:lang w:val="en-US"/>
        </w:rPr>
      </w:pPr>
      <w:r>
        <w:rPr>
          <w:rStyle w:val="FootnoteReference"/>
        </w:rPr>
        <w:footnoteRef/>
      </w:r>
      <w:r>
        <w:t xml:space="preserve"> </w:t>
      </w:r>
      <w:r>
        <w:tab/>
        <w:t>ibid</w:t>
      </w:r>
      <w:r>
        <w:rPr>
          <w:lang w:val="en-US"/>
        </w:rPr>
        <w:t>, pp. 26-27.</w:t>
      </w:r>
    </w:p>
  </w:footnote>
  <w:footnote w:id="105">
    <w:p w:rsidR="00FE580F" w:rsidRPr="00F36A14" w:rsidRDefault="00FE580F" w:rsidP="007C6A5F">
      <w:pPr>
        <w:pStyle w:val="FootnoteText"/>
        <w:rPr>
          <w:lang w:val="en-US"/>
        </w:rPr>
      </w:pPr>
      <w:r>
        <w:rPr>
          <w:rStyle w:val="FootnoteReference"/>
        </w:rPr>
        <w:footnoteRef/>
      </w:r>
      <w:r>
        <w:t xml:space="preserve"> Australian Government, Younger People in Residential Aged Care – Action Plan, pp. 4</w:t>
      </w:r>
      <w:r>
        <w:noBreakHyphen/>
        <w:t>5.</w:t>
      </w:r>
    </w:p>
  </w:footnote>
  <w:footnote w:id="106">
    <w:p w:rsidR="00FE580F" w:rsidRPr="00FE4E74" w:rsidRDefault="00FE580F" w:rsidP="007C6A5F">
      <w:pPr>
        <w:pStyle w:val="FootnoteText"/>
        <w:rPr>
          <w:lang w:val="en-US"/>
        </w:rPr>
      </w:pPr>
      <w:r>
        <w:rPr>
          <w:rStyle w:val="FootnoteReference"/>
        </w:rPr>
        <w:footnoteRef/>
      </w:r>
      <w:r>
        <w:t xml:space="preserve"> </w:t>
      </w:r>
      <w:r>
        <w:tab/>
      </w:r>
      <w:r>
        <w:rPr>
          <w:lang w:val="en-US"/>
        </w:rPr>
        <w:t xml:space="preserve">Royal Commission into Aged Care Quality and Safety 2019, </w:t>
      </w:r>
      <w:r w:rsidRPr="00C30594">
        <w:rPr>
          <w:i/>
          <w:iCs/>
          <w:lang w:val="en-US"/>
        </w:rPr>
        <w:t>Interim Report: Neglect</w:t>
      </w:r>
      <w:r>
        <w:rPr>
          <w:lang w:val="en-US"/>
        </w:rPr>
        <w:t>, Volume 1, October 2019, p. 4.</w:t>
      </w:r>
    </w:p>
  </w:footnote>
  <w:footnote w:id="107">
    <w:p w:rsidR="00FE580F" w:rsidRPr="004E20BD" w:rsidRDefault="00FE580F" w:rsidP="007C6A5F">
      <w:pPr>
        <w:pStyle w:val="FootnoteText"/>
        <w:rPr>
          <w:lang w:val="en-US"/>
        </w:rPr>
      </w:pPr>
      <w:r>
        <w:rPr>
          <w:rStyle w:val="FootnoteReference"/>
        </w:rPr>
        <w:footnoteRef/>
      </w:r>
      <w:r>
        <w:t xml:space="preserve"> </w:t>
      </w:r>
      <w:r>
        <w:tab/>
      </w:r>
      <w:r>
        <w:rPr>
          <w:lang w:val="en-US"/>
        </w:rPr>
        <w:t xml:space="preserve">Royal Commission into Aged Care Quality and Safety website, </w:t>
      </w:r>
      <w:hyperlink r:id="rId26" w:history="1">
        <w:r>
          <w:rPr>
            <w:rStyle w:val="Hyperlink"/>
          </w:rPr>
          <w:t>https://agedcare.royalcommission.gov.au/Pages/default.aspx</w:t>
        </w:r>
      </w:hyperlink>
      <w:r>
        <w:t>, accessed 29 January 2020.</w:t>
      </w:r>
    </w:p>
  </w:footnote>
  <w:footnote w:id="108">
    <w:p w:rsidR="00FE580F" w:rsidRPr="00C30594" w:rsidRDefault="00FE580F" w:rsidP="007C6A5F">
      <w:pPr>
        <w:pStyle w:val="FootnoteText"/>
        <w:rPr>
          <w:lang w:val="en-US"/>
        </w:rPr>
      </w:pPr>
      <w:r>
        <w:rPr>
          <w:rStyle w:val="FootnoteReference"/>
        </w:rPr>
        <w:footnoteRef/>
      </w:r>
      <w:r>
        <w:t xml:space="preserve"> </w:t>
      </w:r>
      <w:r>
        <w:tab/>
      </w:r>
      <w:r>
        <w:rPr>
          <w:lang w:val="en-US"/>
        </w:rPr>
        <w:t xml:space="preserve">Royal Commission into Aged Care Quality and Safety 2019, </w:t>
      </w:r>
      <w:r w:rsidRPr="00C30594">
        <w:rPr>
          <w:i/>
          <w:iCs/>
          <w:lang w:val="en-US"/>
        </w:rPr>
        <w:t>Interim Report: Neglect</w:t>
      </w:r>
      <w:r>
        <w:rPr>
          <w:lang w:val="en-US"/>
        </w:rPr>
        <w:t>, Volume 1, October 2019, p. 12.</w:t>
      </w:r>
    </w:p>
  </w:footnote>
  <w:footnote w:id="109">
    <w:p w:rsidR="00FE580F" w:rsidRPr="001A1368" w:rsidRDefault="00FE580F" w:rsidP="007C6A5F">
      <w:pPr>
        <w:pStyle w:val="FootnoteText"/>
        <w:rPr>
          <w:lang w:val="en-US"/>
        </w:rPr>
      </w:pPr>
      <w:r>
        <w:rPr>
          <w:rStyle w:val="FootnoteReference"/>
        </w:rPr>
        <w:footnoteRef/>
      </w:r>
      <w:r>
        <w:t xml:space="preserve"> </w:t>
      </w:r>
      <w:r>
        <w:tab/>
      </w:r>
      <w:r>
        <w:rPr>
          <w:lang w:val="en-US"/>
        </w:rPr>
        <w:t>ibid, p. 5.</w:t>
      </w:r>
    </w:p>
  </w:footnote>
  <w:footnote w:id="110">
    <w:p w:rsidR="00FE580F" w:rsidRPr="001060CE" w:rsidRDefault="00FE580F" w:rsidP="007C6A5F">
      <w:pPr>
        <w:pStyle w:val="FootnoteText"/>
        <w:rPr>
          <w:lang w:val="en-US"/>
        </w:rPr>
      </w:pPr>
      <w:r>
        <w:rPr>
          <w:rStyle w:val="FootnoteReference"/>
        </w:rPr>
        <w:footnoteRef/>
      </w:r>
      <w:r>
        <w:t xml:space="preserve"> Australian Institute of Health and Welfare, 2019, Consumers’ experience of residential aged care Australia 2017</w:t>
      </w:r>
      <w:r>
        <w:noBreakHyphen/>
        <w:t>19, p. 30.</w:t>
      </w:r>
    </w:p>
  </w:footnote>
  <w:footnote w:id="111">
    <w:p w:rsidR="00FE580F" w:rsidRPr="00F36A14" w:rsidRDefault="00FE580F" w:rsidP="007C6A5F">
      <w:pPr>
        <w:pStyle w:val="FootnoteText"/>
        <w:rPr>
          <w:lang w:val="en-US"/>
        </w:rPr>
      </w:pPr>
      <w:r>
        <w:rPr>
          <w:rStyle w:val="FootnoteReference"/>
        </w:rPr>
        <w:footnoteRef/>
      </w:r>
      <w:r>
        <w:t xml:space="preserve"> Australian Institute of Health and Welfare, 2019, Consumers’ experience of residential aged care Australia 2017</w:t>
      </w:r>
      <w:r>
        <w:noBreakHyphen/>
        <w:t>19, p. 1.</w:t>
      </w:r>
    </w:p>
  </w:footnote>
  <w:footnote w:id="112">
    <w:p w:rsidR="00FE580F" w:rsidRPr="00150766" w:rsidRDefault="00FE580F" w:rsidP="007C6A5F">
      <w:pPr>
        <w:pStyle w:val="FootnoteText"/>
        <w:rPr>
          <w:lang w:val="en-US"/>
        </w:rPr>
      </w:pPr>
      <w:r>
        <w:rPr>
          <w:rStyle w:val="FootnoteReference"/>
        </w:rPr>
        <w:footnoteRef/>
      </w:r>
      <w:r>
        <w:t xml:space="preserve"> </w:t>
      </w:r>
      <w:r>
        <w:tab/>
      </w:r>
      <w:r>
        <w:rPr>
          <w:lang w:val="en-US"/>
        </w:rPr>
        <w:t>Australian Institute of Health and Welfare 2013, Depression in residential aged care 2008</w:t>
      </w:r>
      <w:r>
        <w:rPr>
          <w:lang w:val="en-US"/>
        </w:rPr>
        <w:noBreakHyphen/>
        <w:t>2012, Aged Care Statistics Series Number 39, p. 6.</w:t>
      </w:r>
    </w:p>
  </w:footnote>
  <w:footnote w:id="113">
    <w:p w:rsidR="00FE580F" w:rsidRPr="00150766" w:rsidRDefault="00FE580F" w:rsidP="007C6A5F">
      <w:pPr>
        <w:pStyle w:val="FootnoteText"/>
        <w:rPr>
          <w:lang w:val="en-US"/>
        </w:rPr>
      </w:pPr>
      <w:r>
        <w:rPr>
          <w:rStyle w:val="FootnoteReference"/>
        </w:rPr>
        <w:footnoteRef/>
      </w:r>
      <w:r>
        <w:t xml:space="preserve"> </w:t>
      </w:r>
      <w:r>
        <w:tab/>
      </w:r>
      <w:r>
        <w:rPr>
          <w:lang w:val="en-US"/>
        </w:rPr>
        <w:t>ibid, p. 6.</w:t>
      </w:r>
    </w:p>
  </w:footnote>
  <w:footnote w:id="114">
    <w:p w:rsidR="00FE580F" w:rsidRPr="00BC4493" w:rsidRDefault="00FE580F" w:rsidP="007C6A5F">
      <w:pPr>
        <w:pStyle w:val="FootnoteText"/>
        <w:rPr>
          <w:lang w:val="en-US"/>
        </w:rPr>
      </w:pPr>
      <w:r>
        <w:rPr>
          <w:rStyle w:val="FootnoteReference"/>
        </w:rPr>
        <w:footnoteRef/>
      </w:r>
      <w:r>
        <w:t xml:space="preserve"> </w:t>
      </w:r>
      <w:r>
        <w:tab/>
      </w:r>
      <w:r>
        <w:rPr>
          <w:lang w:val="en-US"/>
        </w:rPr>
        <w:t>Aged Care Financing Authority, Seventh report on the Funding and Financing of the Aged Care Industry, July 2019, p. 77.</w:t>
      </w:r>
    </w:p>
  </w:footnote>
  <w:footnote w:id="115">
    <w:p w:rsidR="00FE580F" w:rsidRPr="00257A63" w:rsidRDefault="00FE580F" w:rsidP="007C6A5F">
      <w:pPr>
        <w:pStyle w:val="FootnoteText"/>
        <w:rPr>
          <w:lang w:val="en-US"/>
        </w:rPr>
      </w:pPr>
      <w:r>
        <w:rPr>
          <w:rStyle w:val="FootnoteReference"/>
        </w:rPr>
        <w:footnoteRef/>
      </w:r>
      <w:r>
        <w:t xml:space="preserve"> </w:t>
      </w:r>
      <w:r>
        <w:tab/>
      </w:r>
      <w:r>
        <w:rPr>
          <w:lang w:val="en-US"/>
        </w:rPr>
        <w:t>ibid, p. 78.</w:t>
      </w:r>
    </w:p>
  </w:footnote>
  <w:footnote w:id="116">
    <w:p w:rsidR="00FE580F" w:rsidRPr="00AD52B9" w:rsidRDefault="00FE580F" w:rsidP="007C6A5F">
      <w:pPr>
        <w:pStyle w:val="FootnoteText"/>
        <w:rPr>
          <w:lang w:val="en-US"/>
        </w:rPr>
      </w:pPr>
      <w:r>
        <w:rPr>
          <w:rStyle w:val="FootnoteReference"/>
        </w:rPr>
        <w:footnoteRef/>
      </w:r>
      <w:r>
        <w:t xml:space="preserve"> See for example, Commonwealth of Australia, 2015, </w:t>
      </w:r>
      <w:r w:rsidRPr="00AD52B9">
        <w:rPr>
          <w:i/>
          <w:iCs/>
        </w:rPr>
        <w:t>A</w:t>
      </w:r>
      <w:r>
        <w:t xml:space="preserve"> </w:t>
      </w:r>
      <w:r w:rsidRPr="00AD52B9">
        <w:rPr>
          <w:i/>
          <w:iCs/>
        </w:rPr>
        <w:t>New System for Better Employment and Social Outcomes</w:t>
      </w:r>
      <w:r>
        <w:t>, Report of the Reference Group on Welfare Reform to the Minister for Social Services, Final Report</w:t>
      </w:r>
      <w:r>
        <w:rPr>
          <w:lang w:val="en-US"/>
        </w:rPr>
        <w:t>, p. 24.</w:t>
      </w:r>
    </w:p>
  </w:footnote>
  <w:footnote w:id="117">
    <w:p w:rsidR="00FE580F" w:rsidRPr="0085141A" w:rsidRDefault="00FE580F" w:rsidP="007C6A5F">
      <w:pPr>
        <w:pStyle w:val="FootnoteText"/>
        <w:rPr>
          <w:lang w:val="en-US"/>
        </w:rPr>
      </w:pPr>
      <w:r>
        <w:rPr>
          <w:rStyle w:val="FootnoteReference"/>
        </w:rPr>
        <w:footnoteRef/>
      </w:r>
      <w:r>
        <w:t xml:space="preserve"> Commonwealth of Australia, 2015, </w:t>
      </w:r>
      <w:r w:rsidRPr="0085141A">
        <w:rPr>
          <w:i/>
          <w:iCs/>
        </w:rPr>
        <w:t>A</w:t>
      </w:r>
      <w:r>
        <w:t xml:space="preserve"> </w:t>
      </w:r>
      <w:r w:rsidRPr="0085141A">
        <w:rPr>
          <w:i/>
          <w:iCs/>
        </w:rPr>
        <w:t>New System for Better Employment and Social Outcomes</w:t>
      </w:r>
      <w:r>
        <w:t>, Report of the Reference Group on Welfare Reform to the Minister for Social Services, Final Report</w:t>
      </w:r>
      <w:r>
        <w:rPr>
          <w:lang w:val="en-US"/>
        </w:rPr>
        <w:t>, p. 24.</w:t>
      </w:r>
    </w:p>
  </w:footnote>
  <w:footnote w:id="118">
    <w:p w:rsidR="00FE580F" w:rsidRPr="00F36A14" w:rsidRDefault="00FE580F" w:rsidP="007C6A5F">
      <w:pPr>
        <w:pStyle w:val="FootnoteText"/>
        <w:rPr>
          <w:lang w:val="en-US"/>
        </w:rPr>
      </w:pPr>
      <w:r>
        <w:rPr>
          <w:rStyle w:val="FootnoteReference"/>
        </w:rPr>
        <w:footnoteRef/>
      </w:r>
      <w:r>
        <w:t xml:space="preserve"> </w:t>
      </w:r>
      <w:r>
        <w:rPr>
          <w:lang w:val="en-US"/>
        </w:rPr>
        <w:t xml:space="preserve">Productivity Commission, </w:t>
      </w:r>
      <w:r w:rsidRPr="00F36A14">
        <w:rPr>
          <w:i/>
          <w:iCs/>
          <w:lang w:val="en-US"/>
        </w:rPr>
        <w:t>Housing Assistance and Employment in Australia</w:t>
      </w:r>
      <w:r>
        <w:rPr>
          <w:lang w:val="en-US"/>
        </w:rPr>
        <w:t>, Productivity Commission Research Paper — Volume 1: Chapters, April 2015, pp. 5</w:t>
      </w:r>
      <w:r>
        <w:rPr>
          <w:lang w:val="en-US"/>
        </w:rPr>
        <w:noBreakHyphen/>
        <w:t>6.</w:t>
      </w:r>
    </w:p>
  </w:footnote>
  <w:footnote w:id="119">
    <w:p w:rsidR="00FE580F" w:rsidRPr="00F36A14" w:rsidRDefault="00FE580F" w:rsidP="007C6A5F">
      <w:pPr>
        <w:pStyle w:val="FootnoteText"/>
        <w:rPr>
          <w:lang w:val="en-US"/>
        </w:rPr>
      </w:pPr>
      <w:r>
        <w:rPr>
          <w:rStyle w:val="FootnoteReference"/>
        </w:rPr>
        <w:footnoteRef/>
      </w:r>
      <w:r>
        <w:t xml:space="preserve"> </w:t>
      </w:r>
      <w:r>
        <w:rPr>
          <w:lang w:val="en-US"/>
        </w:rPr>
        <w:t xml:space="preserve">Productivity Commission, </w:t>
      </w:r>
      <w:r w:rsidRPr="00825915">
        <w:rPr>
          <w:i/>
          <w:iCs/>
          <w:lang w:val="en-US"/>
        </w:rPr>
        <w:t>Housing Assistance and Employment in Australia</w:t>
      </w:r>
      <w:r>
        <w:rPr>
          <w:lang w:val="en-US"/>
        </w:rPr>
        <w:t>, Productivity Commission Research Paper — Volume 1: Chapters, April 2015, pp. 50-51.</w:t>
      </w:r>
    </w:p>
  </w:footnote>
  <w:footnote w:id="120">
    <w:p w:rsidR="00FE580F" w:rsidRPr="00825915" w:rsidRDefault="00FE580F" w:rsidP="007C6A5F">
      <w:pPr>
        <w:pStyle w:val="FootnoteText"/>
        <w:rPr>
          <w:lang w:val="en-US"/>
        </w:rPr>
      </w:pPr>
      <w:r>
        <w:rPr>
          <w:rStyle w:val="FootnoteReference"/>
        </w:rPr>
        <w:footnoteRef/>
      </w:r>
      <w:r>
        <w:t xml:space="preserve"> </w:t>
      </w:r>
      <w:r>
        <w:rPr>
          <w:lang w:val="en-US"/>
        </w:rPr>
        <w:t xml:space="preserve">Productivity Commission, </w:t>
      </w:r>
      <w:r w:rsidRPr="00825915">
        <w:rPr>
          <w:i/>
          <w:iCs/>
          <w:lang w:val="en-US"/>
        </w:rPr>
        <w:t>Housing Assistance and Employment in Australia</w:t>
      </w:r>
      <w:r>
        <w:rPr>
          <w:lang w:val="en-US"/>
        </w:rPr>
        <w:t>, Productivity Commission Research Paper — Volume 1: Chapters, April 2015, pp. 50-51.</w:t>
      </w:r>
    </w:p>
  </w:footnote>
  <w:footnote w:id="121">
    <w:p w:rsidR="00FE580F" w:rsidRPr="00F36A14" w:rsidRDefault="00FE580F" w:rsidP="007C6A5F">
      <w:pPr>
        <w:pStyle w:val="FootnoteText"/>
        <w:rPr>
          <w:lang w:val="en-US"/>
        </w:rPr>
      </w:pPr>
      <w:r>
        <w:rPr>
          <w:rStyle w:val="FootnoteReference"/>
        </w:rPr>
        <w:footnoteRef/>
      </w:r>
      <w:r>
        <w:t xml:space="preserve"> </w:t>
      </w:r>
      <w:r>
        <w:rPr>
          <w:lang w:val="en-US"/>
        </w:rPr>
        <w:t xml:space="preserve">Mitchell, W. Labour 2008, </w:t>
      </w:r>
      <w:r w:rsidRPr="00693157">
        <w:rPr>
          <w:i/>
          <w:iCs/>
          <w:lang w:val="en-US"/>
        </w:rPr>
        <w:t>Mobility and Low</w:t>
      </w:r>
      <w:r w:rsidRPr="00693157">
        <w:rPr>
          <w:i/>
          <w:iCs/>
          <w:lang w:val="en-US"/>
        </w:rPr>
        <w:noBreakHyphen/>
        <w:t>paid Workers</w:t>
      </w:r>
      <w:r>
        <w:rPr>
          <w:lang w:val="en-US"/>
        </w:rPr>
        <w:t>, Report commissioned by the Australian Fair Pay Commission, Centre for Full Employment and Equity, December 2008, p. 46.</w:t>
      </w:r>
    </w:p>
  </w:footnote>
  <w:footnote w:id="122">
    <w:p w:rsidR="00FE580F" w:rsidRPr="00825915" w:rsidRDefault="00FE580F" w:rsidP="007C6A5F">
      <w:pPr>
        <w:pStyle w:val="FootnoteText"/>
        <w:rPr>
          <w:lang w:val="en-US"/>
        </w:rPr>
      </w:pPr>
      <w:r>
        <w:rPr>
          <w:rStyle w:val="FootnoteReference"/>
        </w:rPr>
        <w:footnoteRef/>
      </w:r>
      <w:r>
        <w:t xml:space="preserve"> Bill, A. and Mitchell, W. 2006, </w:t>
      </w:r>
      <w:r w:rsidRPr="00693157">
        <w:rPr>
          <w:i/>
          <w:iCs/>
        </w:rPr>
        <w:t>Great Expectations – migration and labour market outcomes in Australia</w:t>
      </w:r>
      <w:r>
        <w:t>, Working Paper No. 06</w:t>
      </w:r>
      <w:r>
        <w:noBreakHyphen/>
        <w:t>08, Centre of Full Employment and Equity, University of Newcastle</w:t>
      </w:r>
      <w:r>
        <w:rPr>
          <w:lang w:val="en-US"/>
        </w:rPr>
        <w:t>, p. 24.</w:t>
      </w:r>
    </w:p>
  </w:footnote>
  <w:footnote w:id="123">
    <w:p w:rsidR="00FE580F" w:rsidRDefault="00FE580F" w:rsidP="007C6A5F">
      <w:pPr>
        <w:pStyle w:val="FootnoteText"/>
      </w:pPr>
      <w:r>
        <w:rPr>
          <w:rStyle w:val="FootnoteReference"/>
        </w:rPr>
        <w:footnoteRef/>
      </w:r>
      <w:r>
        <w:t xml:space="preserve"> </w:t>
      </w:r>
      <w:r>
        <w:tab/>
        <w:t>Two designs were combined for the main wave of fieldwork – one for blocks 1-8 and another for blocks 9-16. The designs were generated to minimise D-error (Scarpa and Rose 2008). The prior parameter estimates used to generate the efficiency criteria were based on estimates of WTP from basic multinomial logit models run on the data collected in the first wave of fieldwork. Constraints were included in the design search to preclude illogical alternatives and to set ranges for the number of times each attribute level could appear in the design.</w:t>
      </w:r>
    </w:p>
  </w:footnote>
  <w:footnote w:id="124">
    <w:p w:rsidR="00FE580F" w:rsidRPr="00C428EB" w:rsidRDefault="00FE580F" w:rsidP="007C6A5F">
      <w:pPr>
        <w:pStyle w:val="FootnoteText"/>
      </w:pPr>
      <w:r>
        <w:rPr>
          <w:rStyle w:val="FootnoteReference"/>
        </w:rPr>
        <w:footnoteRef/>
      </w:r>
      <w:r>
        <w:t xml:space="preserve"> </w:t>
      </w:r>
      <w:r>
        <w:tab/>
        <w:t xml:space="preserve">DCWC 2020, </w:t>
      </w:r>
      <w:r>
        <w:rPr>
          <w:i/>
          <w:iCs/>
        </w:rPr>
        <w:t xml:space="preserve">Accessible Housing: Estimated Cost Impact of Proposed Changes to NCC, </w:t>
      </w:r>
      <w:r>
        <w:t>Report Revision 5, 22 June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80F" w:rsidRPr="009D4FBD" w:rsidRDefault="00FE580F" w:rsidP="00677846">
    <w:pPr>
      <w:pStyle w:val="Header"/>
      <w:ind w:left="0" w:right="-1"/>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80F" w:rsidRDefault="00FE580F" w:rsidP="00F96D1A">
    <w:pPr>
      <w:pStyle w:val="Header"/>
      <w:tabs>
        <w:tab w:val="clear" w:pos="7938"/>
        <w:tab w:val="right" w:pos="7088"/>
      </w:tabs>
      <w:ind w:left="0" w:right="-1"/>
      <w:rPr>
        <w:rStyle w:val="PageNumber"/>
      </w:rPr>
    </w:pPr>
  </w:p>
  <w:p w:rsidR="00FE580F" w:rsidRDefault="00FE580F" w:rsidP="00F96D1A">
    <w:pPr>
      <w:pStyle w:val="Header"/>
      <w:tabs>
        <w:tab w:val="clear" w:pos="7938"/>
        <w:tab w:val="right" w:pos="7088"/>
      </w:tabs>
      <w:ind w:left="0" w:right="-1"/>
      <w:rPr>
        <w:rStyle w:val="PageNumber"/>
      </w:rPr>
    </w:pPr>
  </w:p>
  <w:p w:rsidR="00FE580F" w:rsidRPr="00F96D1A" w:rsidRDefault="00FE580F" w:rsidP="00F96D1A">
    <w:pPr>
      <w:pStyle w:val="Header"/>
      <w:tabs>
        <w:tab w:val="clear" w:pos="7938"/>
        <w:tab w:val="right" w:pos="7088"/>
      </w:tabs>
      <w:ind w:left="0" w:right="-1"/>
      <w:rPr>
        <w:rFonts w:ascii="Franklin Gothic Demi" w:hAnsi="Franklin Gothic Demi"/>
        <w:color w:val="006B7A" w:themeColor="accent1"/>
        <w:sz w:val="20"/>
        <w:szCs w:val="20"/>
      </w:rPr>
    </w:pPr>
    <w:r>
      <w:rPr>
        <w:rStyle w:val="PageNumber"/>
      </w:rPr>
      <w:fldChar w:fldCharType="begin"/>
    </w:r>
    <w:r>
      <w:rPr>
        <w:rStyle w:val="PageNumber"/>
      </w:rPr>
      <w:instrText xml:space="preserve"> PAGE </w:instrText>
    </w:r>
    <w:r>
      <w:rPr>
        <w:rStyle w:val="PageNumber"/>
      </w:rPr>
      <w:fldChar w:fldCharType="separate"/>
    </w:r>
    <w:r w:rsidR="009F156C">
      <w:rPr>
        <w:rStyle w:val="PageNumber"/>
        <w:noProof/>
      </w:rPr>
      <w:t>2</w:t>
    </w:r>
    <w:r>
      <w:rPr>
        <w:rStyle w:val="PageNumber"/>
      </w:rPr>
      <w:fldChar w:fldCharType="end"/>
    </w:r>
    <w:r>
      <w:rPr>
        <w:rStyle w:val="PageNumber"/>
      </w:rPr>
      <w:t xml:space="preserve">       </w:t>
    </w:r>
    <w:r>
      <w:rPr>
        <w:noProof/>
      </w:rPr>
      <w:fldChar w:fldCharType="begin"/>
    </w:r>
    <w:r>
      <w:rPr>
        <w:noProof/>
      </w:rPr>
      <w:instrText xml:space="preserve"> STYLEREF  Title </w:instrText>
    </w:r>
    <w:r>
      <w:rPr>
        <w:noProof/>
      </w:rPr>
      <w:fldChar w:fldCharType="separate"/>
    </w:r>
    <w:r w:rsidR="00595B86">
      <w:rPr>
        <w:noProof/>
      </w:rPr>
      <w:t>Proposal to include minimum accessibility standards for housing in the National Construction Code</w:t>
    </w:r>
    <w:r>
      <w:rPr>
        <w:noProof/>
      </w:rPr>
      <w:fldChar w:fldCharType="end"/>
    </w:r>
  </w:p>
  <w:p w:rsidR="00FE580F" w:rsidRPr="00F96D1A" w:rsidRDefault="00FE580F" w:rsidP="00F96D1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80F" w:rsidRDefault="00FE580F" w:rsidP="00F96D1A">
    <w:pPr>
      <w:pStyle w:val="Header"/>
      <w:rPr>
        <w:rStyle w:val="PageNumber"/>
      </w:rPr>
    </w:pPr>
  </w:p>
  <w:p w:rsidR="00FE580F" w:rsidRDefault="00FE580F" w:rsidP="00F96D1A">
    <w:pPr>
      <w:pStyle w:val="Header"/>
      <w:rPr>
        <w:rStyle w:val="PageNumber"/>
      </w:rPr>
    </w:pPr>
  </w:p>
  <w:p w:rsidR="00FE580F" w:rsidRPr="00F96D1A" w:rsidRDefault="00FE580F" w:rsidP="00F96D1A">
    <w:pPr>
      <w:pStyle w:val="Header"/>
      <w:ind w:right="-1"/>
      <w:jc w:val="right"/>
    </w:pPr>
    <w:r>
      <w:rPr>
        <w:noProof/>
      </w:rPr>
      <w:fldChar w:fldCharType="begin"/>
    </w:r>
    <w:r>
      <w:rPr>
        <w:noProof/>
      </w:rPr>
      <w:instrText xml:space="preserve"> STYLEREF  Title </w:instrText>
    </w:r>
    <w:r>
      <w:rPr>
        <w:noProof/>
      </w:rPr>
      <w:fldChar w:fldCharType="separate"/>
    </w:r>
    <w:r w:rsidR="00595B86">
      <w:rPr>
        <w:noProof/>
      </w:rPr>
      <w:t>Proposal to include minimum accessibility standards for housing in the National Construction Code</w:t>
    </w:r>
    <w:r>
      <w:rPr>
        <w:noProof/>
      </w:rPr>
      <w:fldChar w:fldCharType="end"/>
    </w:r>
    <w:r>
      <w:rPr>
        <w:noProof/>
      </w:rPr>
      <w:t xml:space="preserve">            </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9F156C">
      <w:rPr>
        <w:rStyle w:val="PageNumber"/>
        <w:noProof/>
      </w:rPr>
      <w:t>279</w:t>
    </w:r>
    <w:r>
      <w:rPr>
        <w:rStyle w:val="PageNumber"/>
      </w:rPr>
      <w:fldChar w:fldCharType="end"/>
    </w:r>
  </w:p>
  <w:p w:rsidR="00FE580F" w:rsidRPr="009D4FBD" w:rsidRDefault="00FE580F" w:rsidP="00677846">
    <w:pPr>
      <w:pStyle w:val="Header"/>
      <w:ind w:left="0" w:right="-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80F" w:rsidRPr="00F96D1A" w:rsidRDefault="00FE580F" w:rsidP="00F96D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Pr>
    <w:tblGrid>
      <w:gridCol w:w="2268"/>
      <w:gridCol w:w="7513"/>
      <w:gridCol w:w="992"/>
      <w:gridCol w:w="1701"/>
    </w:tblGrid>
    <w:tr w:rsidR="00FE580F" w:rsidTr="004E7620">
      <w:trPr>
        <w:trHeight w:val="624"/>
      </w:trPr>
      <w:tc>
        <w:tcPr>
          <w:tcW w:w="2268" w:type="dxa"/>
        </w:tcPr>
        <w:p w:rsidR="00FE580F" w:rsidRDefault="00FE580F" w:rsidP="008F1A78">
          <w:pPr>
            <w:pStyle w:val="Header"/>
            <w:ind w:left="0" w:right="-1"/>
          </w:pPr>
        </w:p>
      </w:tc>
      <w:tc>
        <w:tcPr>
          <w:tcW w:w="7513" w:type="dxa"/>
          <w:vAlign w:val="bottom"/>
        </w:tcPr>
        <w:p w:rsidR="00FE580F" w:rsidRDefault="00E903A9" w:rsidP="008F1A78">
          <w:pPr>
            <w:pStyle w:val="Header"/>
            <w:ind w:left="0" w:right="-1"/>
          </w:pPr>
          <w:r>
            <w:rPr>
              <w:noProof/>
            </w:rPr>
            <w:fldChar w:fldCharType="begin"/>
          </w:r>
          <w:r>
            <w:rPr>
              <w:noProof/>
            </w:rPr>
            <w:instrText xml:space="preserve"> STYLEREF  Title </w:instrText>
          </w:r>
          <w:r>
            <w:rPr>
              <w:noProof/>
            </w:rPr>
            <w:fldChar w:fldCharType="separate"/>
          </w:r>
          <w:r w:rsidR="0089349E">
            <w:rPr>
              <w:noProof/>
            </w:rPr>
            <w:t>Proposal to include minimum accessibility standards for housing in the National Construction Code</w:t>
          </w:r>
          <w:r>
            <w:rPr>
              <w:noProof/>
            </w:rPr>
            <w:fldChar w:fldCharType="end"/>
          </w:r>
        </w:p>
      </w:tc>
      <w:tc>
        <w:tcPr>
          <w:tcW w:w="992" w:type="dxa"/>
          <w:vAlign w:val="bottom"/>
        </w:tcPr>
        <w:p w:rsidR="00FE580F" w:rsidRDefault="00FE580F" w:rsidP="008F1A78">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c>
        <w:tcPr>
          <w:tcW w:w="1701" w:type="dxa"/>
        </w:tcPr>
        <w:p w:rsidR="00FE580F" w:rsidRDefault="00FE580F" w:rsidP="008F1A78">
          <w:pPr>
            <w:pStyle w:val="Header"/>
            <w:ind w:left="0" w:right="-1"/>
          </w:pPr>
        </w:p>
      </w:tc>
    </w:tr>
  </w:tbl>
  <w:p w:rsidR="00FE580F" w:rsidRPr="009D4FBD" w:rsidRDefault="00FE580F" w:rsidP="00A43A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80F" w:rsidRDefault="00FE580F" w:rsidP="00F96D1A">
    <w:pPr>
      <w:pStyle w:val="Header"/>
      <w:tabs>
        <w:tab w:val="clear" w:pos="7938"/>
        <w:tab w:val="right" w:pos="7088"/>
      </w:tabs>
      <w:ind w:left="0" w:right="-1"/>
      <w:rPr>
        <w:rStyle w:val="PageNumber"/>
      </w:rPr>
    </w:pPr>
  </w:p>
  <w:p w:rsidR="00FE580F" w:rsidRDefault="00FE580F" w:rsidP="00F96D1A">
    <w:pPr>
      <w:pStyle w:val="Header"/>
      <w:tabs>
        <w:tab w:val="clear" w:pos="7938"/>
        <w:tab w:val="right" w:pos="7088"/>
      </w:tabs>
      <w:ind w:left="0" w:right="-1"/>
      <w:rPr>
        <w:rStyle w:val="PageNumber"/>
      </w:rPr>
    </w:pPr>
  </w:p>
  <w:p w:rsidR="00FE580F" w:rsidRPr="003D2A2B" w:rsidRDefault="00FE580F" w:rsidP="00F96D1A">
    <w:pPr>
      <w:pStyle w:val="Header"/>
      <w:tabs>
        <w:tab w:val="clear" w:pos="7938"/>
        <w:tab w:val="right" w:pos="7088"/>
      </w:tabs>
      <w:ind w:left="0" w:right="-1"/>
    </w:pPr>
    <w:r>
      <w:rPr>
        <w:rStyle w:val="PageNumber"/>
      </w:rPr>
      <w:fldChar w:fldCharType="begin"/>
    </w:r>
    <w:r>
      <w:rPr>
        <w:rStyle w:val="PageNumber"/>
      </w:rPr>
      <w:instrText xml:space="preserve"> PAGE </w:instrText>
    </w:r>
    <w:r>
      <w:rPr>
        <w:rStyle w:val="PageNumber"/>
      </w:rPr>
      <w:fldChar w:fldCharType="separate"/>
    </w:r>
    <w:r w:rsidR="009F156C">
      <w:rPr>
        <w:rStyle w:val="PageNumber"/>
        <w:noProof/>
      </w:rPr>
      <w:t>viii</w:t>
    </w:r>
    <w:r>
      <w:rPr>
        <w:rStyle w:val="PageNumber"/>
      </w:rPr>
      <w:fldChar w:fldCharType="end"/>
    </w:r>
    <w:r>
      <w:rPr>
        <w:rStyle w:val="PageNumber"/>
      </w:rPr>
      <w:t xml:space="preserve">        </w:t>
    </w:r>
    <w:r>
      <w:rPr>
        <w:noProof/>
      </w:rPr>
      <w:fldChar w:fldCharType="begin"/>
    </w:r>
    <w:r>
      <w:rPr>
        <w:noProof/>
      </w:rPr>
      <w:instrText xml:space="preserve"> STYLEREF  Title </w:instrText>
    </w:r>
    <w:r>
      <w:rPr>
        <w:noProof/>
      </w:rPr>
      <w:fldChar w:fldCharType="separate"/>
    </w:r>
    <w:r w:rsidR="00595B86">
      <w:rPr>
        <w:noProof/>
      </w:rPr>
      <w:t>Proposal to include minimum accessibility standards for housing in the National Construction Code</w:t>
    </w:r>
    <w:r>
      <w:rPr>
        <w:noProof/>
      </w:rPr>
      <w:fldChar w:fldCharType="end"/>
    </w:r>
  </w:p>
  <w:p w:rsidR="00FE580F" w:rsidRPr="00F96D1A" w:rsidRDefault="00FE580F" w:rsidP="00F96D1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80F" w:rsidRDefault="00FE580F" w:rsidP="00650F3E">
    <w:pPr>
      <w:pStyle w:val="Header"/>
      <w:ind w:left="0" w:right="-1"/>
    </w:pPr>
  </w:p>
  <w:p w:rsidR="00FE580F" w:rsidRDefault="00FE580F" w:rsidP="00650F3E">
    <w:pPr>
      <w:pStyle w:val="Header"/>
      <w:ind w:left="0" w:right="-1"/>
    </w:pPr>
  </w:p>
  <w:p w:rsidR="00FE580F" w:rsidRDefault="00FE580F" w:rsidP="00650F3E">
    <w:pPr>
      <w:pStyle w:val="Header"/>
      <w:ind w:left="0" w:right="-1"/>
    </w:pPr>
  </w:p>
  <w:p w:rsidR="00FE580F" w:rsidRPr="003D2A2B" w:rsidRDefault="00FE580F" w:rsidP="00F96D1A">
    <w:pPr>
      <w:pStyle w:val="Header"/>
      <w:tabs>
        <w:tab w:val="clear" w:pos="7938"/>
        <w:tab w:val="right" w:pos="7088"/>
      </w:tabs>
      <w:ind w:left="0" w:right="-1"/>
      <w:jc w:val="right"/>
    </w:pPr>
    <w:r>
      <w:rPr>
        <w:noProof/>
      </w:rPr>
      <w:fldChar w:fldCharType="begin"/>
    </w:r>
    <w:r>
      <w:rPr>
        <w:noProof/>
      </w:rPr>
      <w:instrText xml:space="preserve"> STYLEREF  Title </w:instrText>
    </w:r>
    <w:r>
      <w:rPr>
        <w:noProof/>
      </w:rPr>
      <w:fldChar w:fldCharType="separate"/>
    </w:r>
    <w:r w:rsidR="00595B86">
      <w:rPr>
        <w:noProof/>
      </w:rPr>
      <w:t>Proposal to include minimum accessibility standards for housing in the National Construction Code</w:t>
    </w:r>
    <w:r>
      <w:rPr>
        <w:noProof/>
      </w:rPr>
      <w:fldChar w:fldCharType="end"/>
    </w:r>
    <w:r>
      <w:rPr>
        <w:noProof/>
      </w:rPr>
      <w:t xml:space="preserve">            </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9F156C">
      <w:rPr>
        <w:rStyle w:val="PageNumber"/>
        <w:noProof/>
      </w:rPr>
      <w:t>ix</w:t>
    </w:r>
    <w:r>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80F" w:rsidRDefault="00FE580F" w:rsidP="00F96D1A">
    <w:pPr>
      <w:pStyle w:val="Header"/>
      <w:tabs>
        <w:tab w:val="clear" w:pos="7938"/>
        <w:tab w:val="right" w:pos="7088"/>
      </w:tabs>
      <w:ind w:left="0" w:right="-1"/>
      <w:rPr>
        <w:rStyle w:val="PageNumber"/>
      </w:rPr>
    </w:pPr>
  </w:p>
  <w:p w:rsidR="00FE580F" w:rsidRDefault="00FE580F" w:rsidP="00F96D1A">
    <w:pPr>
      <w:pStyle w:val="Header"/>
      <w:tabs>
        <w:tab w:val="clear" w:pos="7938"/>
        <w:tab w:val="right" w:pos="7088"/>
      </w:tabs>
      <w:ind w:left="0" w:right="-1"/>
      <w:rPr>
        <w:rStyle w:val="PageNumber"/>
      </w:rPr>
    </w:pPr>
  </w:p>
  <w:p w:rsidR="00FE580F" w:rsidRPr="00F96D1A" w:rsidRDefault="00FE580F" w:rsidP="00F96D1A">
    <w:pPr>
      <w:pStyle w:val="Header"/>
      <w:tabs>
        <w:tab w:val="clear" w:pos="7938"/>
        <w:tab w:val="right" w:pos="7088"/>
      </w:tabs>
      <w:ind w:left="0" w:right="-1"/>
      <w:rPr>
        <w:rFonts w:ascii="Franklin Gothic Demi" w:hAnsi="Franklin Gothic Demi"/>
        <w:color w:val="006B7A" w:themeColor="accent1"/>
        <w:sz w:val="20"/>
        <w:szCs w:val="20"/>
      </w:rPr>
    </w:pPr>
    <w:r>
      <w:rPr>
        <w:rStyle w:val="PageNumber"/>
      </w:rPr>
      <w:fldChar w:fldCharType="begin"/>
    </w:r>
    <w:r>
      <w:rPr>
        <w:rStyle w:val="PageNumber"/>
      </w:rPr>
      <w:instrText xml:space="preserve"> PAGE </w:instrText>
    </w:r>
    <w:r>
      <w:rPr>
        <w:rStyle w:val="PageNumber"/>
      </w:rPr>
      <w:fldChar w:fldCharType="separate"/>
    </w:r>
    <w:r w:rsidR="009F156C">
      <w:rPr>
        <w:rStyle w:val="PageNumber"/>
        <w:noProof/>
      </w:rPr>
      <w:t>218</w:t>
    </w:r>
    <w:r>
      <w:rPr>
        <w:rStyle w:val="PageNumber"/>
      </w:rPr>
      <w:fldChar w:fldCharType="end"/>
    </w:r>
    <w:r>
      <w:rPr>
        <w:rStyle w:val="PageNumber"/>
      </w:rPr>
      <w:t xml:space="preserve">       </w:t>
    </w:r>
    <w:r>
      <w:rPr>
        <w:noProof/>
      </w:rPr>
      <w:fldChar w:fldCharType="begin"/>
    </w:r>
    <w:r>
      <w:rPr>
        <w:noProof/>
      </w:rPr>
      <w:instrText xml:space="preserve"> STYLEREF  Title </w:instrText>
    </w:r>
    <w:r>
      <w:rPr>
        <w:noProof/>
      </w:rPr>
      <w:fldChar w:fldCharType="separate"/>
    </w:r>
    <w:r w:rsidR="00595B86">
      <w:rPr>
        <w:noProof/>
      </w:rPr>
      <w:t>Proposal to include minimum accessibility standards for housing in the National Construction Code</w:t>
    </w:r>
    <w:r>
      <w:rPr>
        <w:noProof/>
      </w:rPr>
      <w:fldChar w:fldCharType="end"/>
    </w:r>
  </w:p>
  <w:p w:rsidR="00FE580F" w:rsidRPr="00F96D1A" w:rsidRDefault="00FE580F" w:rsidP="00F96D1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80F" w:rsidRDefault="00FE580F" w:rsidP="00F96D1A">
    <w:pPr>
      <w:pStyle w:val="Header"/>
      <w:rPr>
        <w:rStyle w:val="PageNumber"/>
      </w:rPr>
    </w:pPr>
  </w:p>
  <w:p w:rsidR="00FE580F" w:rsidRDefault="00FE580F" w:rsidP="00F96D1A">
    <w:pPr>
      <w:pStyle w:val="Header"/>
      <w:rPr>
        <w:rStyle w:val="PageNumber"/>
      </w:rPr>
    </w:pPr>
  </w:p>
  <w:p w:rsidR="00FE580F" w:rsidRPr="00F96D1A" w:rsidRDefault="00FE580F" w:rsidP="00F96D1A">
    <w:pPr>
      <w:pStyle w:val="Header"/>
      <w:ind w:right="-1"/>
      <w:jc w:val="right"/>
    </w:pPr>
    <w:r>
      <w:rPr>
        <w:noProof/>
      </w:rPr>
      <w:fldChar w:fldCharType="begin"/>
    </w:r>
    <w:r>
      <w:rPr>
        <w:noProof/>
      </w:rPr>
      <w:instrText xml:space="preserve"> STYLEREF  Title </w:instrText>
    </w:r>
    <w:r>
      <w:rPr>
        <w:noProof/>
      </w:rPr>
      <w:fldChar w:fldCharType="separate"/>
    </w:r>
    <w:r w:rsidR="00595B86">
      <w:rPr>
        <w:noProof/>
      </w:rPr>
      <w:t>Proposal to include minimum accessibility standards for housing in the National Construction Code</w:t>
    </w:r>
    <w:r>
      <w:rPr>
        <w:noProof/>
      </w:rPr>
      <w:fldChar w:fldCharType="end"/>
    </w:r>
    <w:r>
      <w:rPr>
        <w:noProof/>
      </w:rPr>
      <w:t xml:space="preserve">            </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9F156C">
      <w:rPr>
        <w:rStyle w:val="PageNumber"/>
        <w:noProof/>
      </w:rPr>
      <w:t>217</w:t>
    </w:r>
    <w:r>
      <w:rPr>
        <w:rStyle w:val="PageNumber"/>
      </w:rPr>
      <w:fldChar w:fldCharType="end"/>
    </w:r>
  </w:p>
  <w:p w:rsidR="00FE580F" w:rsidRPr="009D4FBD" w:rsidRDefault="00FE580F" w:rsidP="00677846">
    <w:pPr>
      <w:pStyle w:val="Header"/>
      <w:ind w:left="0" w:right="-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80F" w:rsidRDefault="00FE580F" w:rsidP="00BC2453">
    <w:pPr>
      <w:pStyle w:val="Header"/>
      <w:ind w:left="0" w:right="0"/>
    </w:pPr>
    <w:r>
      <w:rPr>
        <w:noProof/>
      </w:rPr>
      <mc:AlternateContent>
        <mc:Choice Requires="wps">
          <w:drawing>
            <wp:anchor distT="0" distB="0" distL="114300" distR="114300" simplePos="0" relativeHeight="251665408" behindDoc="0" locked="1" layoutInCell="0" allowOverlap="1" wp14:anchorId="129D5D62" wp14:editId="3A143A50">
              <wp:simplePos x="0" y="0"/>
              <wp:positionH relativeFrom="page">
                <wp:posOffset>396240</wp:posOffset>
              </wp:positionH>
              <wp:positionV relativeFrom="page">
                <wp:posOffset>1440180</wp:posOffset>
              </wp:positionV>
              <wp:extent cx="180000" cy="5040000"/>
              <wp:effectExtent l="0" t="0" r="0" b="8255"/>
              <wp:wrapNone/>
              <wp:docPr id="1" name="Rectangle 1"/>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E580F" w:rsidRPr="009C5A0E" w:rsidRDefault="00FE580F" w:rsidP="00BC2453">
                          <w:pPr>
                            <w:pStyle w:val="Footer"/>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D5D62" id="Rectangle 1" o:spid="_x0000_s1026" style="position:absolute;margin-left:31.2pt;margin-top:113.4pt;width:14.15pt;height:396.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" o:allowincell="f" filled="f" stroked="f" strokeweight="2pt">
              <v:textbox style="layout-flow:vertical" inset="0,0,0,0">
                <w:txbxContent>
                  <w:p w:rsidR="00FE580F" w:rsidRPr="009C5A0E" w:rsidRDefault="00FE580F" w:rsidP="00BC2453">
                    <w:pPr>
                      <w:pStyle w:val="Footer"/>
                    </w:pPr>
                    <w:r>
                      <w:t>www.TheCIE.com.au</w:t>
                    </w:r>
                  </w:p>
                </w:txbxContent>
              </v:textbox>
              <w10:wrap anchorx="page" anchory="page"/>
              <w10:anchorlock/>
            </v:rect>
          </w:pict>
        </mc:Fallback>
      </mc:AlternateContent>
    </w:r>
    <w:r w:rsidRPr="00CD111E">
      <w:rPr>
        <w:noProof/>
      </w:rPr>
      <mc:AlternateContent>
        <mc:Choice Requires="wps">
          <w:drawing>
            <wp:anchor distT="0" distB="0" distL="114300" distR="114300" simplePos="0" relativeHeight="251664384" behindDoc="0" locked="1" layoutInCell="0" allowOverlap="1" wp14:anchorId="350DF45E" wp14:editId="736483CD">
              <wp:simplePos x="0" y="0"/>
              <wp:positionH relativeFrom="page">
                <wp:posOffset>9771380</wp:posOffset>
              </wp:positionH>
              <wp:positionV relativeFrom="page">
                <wp:posOffset>0</wp:posOffset>
              </wp:positionV>
              <wp:extent cx="0" cy="7560000"/>
              <wp:effectExtent l="0" t="0" r="38100" b="22225"/>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5F63D8" id="Straight Connector 16" o:spid="_x0000_s1026" style="position:absolute;z-index:2516643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" o:allowincell="f" strokecolor="#f61d12 [3205]" strokeweight=".5pt">
              <w10:wrap anchorx="page" anchory="page"/>
              <w10:anchorlock/>
            </v:line>
          </w:pict>
        </mc:Fallback>
      </mc:AlternateContent>
    </w:r>
    <w:r w:rsidRPr="00CD111E">
      <w:rPr>
        <w:noProof/>
      </w:rPr>
      <mc:AlternateContent>
        <mc:Choice Requires="wps">
          <w:drawing>
            <wp:anchor distT="0" distB="0" distL="114300" distR="114300" simplePos="0" relativeHeight="251663360" behindDoc="0" locked="0" layoutInCell="0" allowOverlap="1" wp14:anchorId="72213E83" wp14:editId="00682F4A">
              <wp:simplePos x="0" y="0"/>
              <wp:positionH relativeFrom="page">
                <wp:posOffset>9757410</wp:posOffset>
              </wp:positionH>
              <wp:positionV relativeFrom="page">
                <wp:posOffset>0</wp:posOffset>
              </wp:positionV>
              <wp:extent cx="216000" cy="7560000"/>
              <wp:effectExtent l="0" t="0" r="0" b="3175"/>
              <wp:wrapNone/>
              <wp:docPr id="18" name="Rectangle 18"/>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E580F" w:rsidRPr="009D4FBD" w:rsidRDefault="00FE580F" w:rsidP="00BC2453">
                          <w:pPr>
                            <w:pStyle w:val="Header"/>
                            <w:tabs>
                              <w:tab w:val="clear" w:pos="-567"/>
                              <w:tab w:val="clear" w:pos="0"/>
                              <w:tab w:val="clear" w:pos="7938"/>
                              <w:tab w:val="clear" w:pos="8505"/>
                              <w:tab w:val="left" w:pos="1701"/>
                              <w:tab w:val="left" w:pos="2268"/>
                              <w:tab w:val="right" w:pos="10206"/>
                              <w:tab w:val="right" w:pos="10773"/>
                            </w:tabs>
                            <w:ind w:right="-1701"/>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Pr>
                              <w:noProof/>
                              <w:color w:val="000000" w:themeColor="text1"/>
                            </w:rPr>
                            <w:t>Proposal to include minimum accessibility standards for housing in the National Construction Code</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13E83" id="Rectangle 18" o:spid="_x0000_s1027" style="position:absolute;margin-left:768.3pt;margin-top:0;width:17pt;height:595.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" o:allowincell="f" filled="f" stroked="f" strokeweight="2pt">
              <v:textbox style="layout-flow:vertical" inset="0,0,0,0">
                <w:txbxContent>
                  <w:p w:rsidR="00FE580F" w:rsidRPr="009D4FBD" w:rsidRDefault="00FE580F" w:rsidP="00BC2453">
                    <w:pPr>
                      <w:pStyle w:val="Header"/>
                      <w:tabs>
                        <w:tab w:val="clear" w:pos="-567"/>
                        <w:tab w:val="clear" w:pos="0"/>
                        <w:tab w:val="clear" w:pos="7938"/>
                        <w:tab w:val="clear" w:pos="8505"/>
                        <w:tab w:val="left" w:pos="1701"/>
                        <w:tab w:val="left" w:pos="2268"/>
                        <w:tab w:val="right" w:pos="10206"/>
                        <w:tab w:val="right" w:pos="10773"/>
                      </w:tabs>
                      <w:ind w:right="-1701"/>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Pr>
                        <w:noProof/>
                        <w:color w:val="000000" w:themeColor="text1"/>
                      </w:rPr>
                      <w:t>Proposal to include minimum accessibility standards for housing in the National Construction Code</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80F" w:rsidRPr="003D6FA5" w:rsidRDefault="00FE580F" w:rsidP="00BC2453">
    <w:pPr>
      <w:pStyle w:val="Header"/>
      <w:ind w:left="0" w:right="0"/>
    </w:pPr>
    <w:r>
      <w:rPr>
        <w:noProof/>
      </w:rPr>
      <mc:AlternateContent>
        <mc:Choice Requires="wps">
          <w:drawing>
            <wp:anchor distT="0" distB="0" distL="114300" distR="114300" simplePos="0" relativeHeight="251661312" behindDoc="0" locked="1" layoutInCell="0" allowOverlap="1" wp14:anchorId="128A98A3" wp14:editId="00503B7C">
              <wp:simplePos x="0" y="0"/>
              <wp:positionH relativeFrom="page">
                <wp:posOffset>9771380</wp:posOffset>
              </wp:positionH>
              <wp:positionV relativeFrom="page">
                <wp:posOffset>0</wp:posOffset>
              </wp:positionV>
              <wp:extent cx="0" cy="7560000"/>
              <wp:effectExtent l="0" t="0" r="38100" b="22225"/>
              <wp:wrapNone/>
              <wp:docPr id="21" name="Straight Connector 21" title="Decrotive line"/>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4D0725F" id="Straight Connector 21" o:spid="_x0000_s1026" alt="Title: Decrotive line" style="position:absolute;z-index:251661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" o:allowincell="f" strokecolor="#f61d12 [3205]" strokeweight=".5pt">
              <w10:wrap anchorx="page" anchory="page"/>
              <w10:anchorlock/>
            </v:line>
          </w:pict>
        </mc:Fallback>
      </mc:AlternateContent>
    </w:r>
    <w:r>
      <w:rPr>
        <w:noProof/>
      </w:rPr>
      <mc:AlternateContent>
        <mc:Choice Requires="wps">
          <w:drawing>
            <wp:anchor distT="0" distB="0" distL="114300" distR="114300" simplePos="0" relativeHeight="251659264" behindDoc="0" locked="0" layoutInCell="0" allowOverlap="1" wp14:anchorId="44E5DF08" wp14:editId="41AA0C86">
              <wp:simplePos x="0" y="0"/>
              <wp:positionH relativeFrom="page">
                <wp:posOffset>9757410</wp:posOffset>
              </wp:positionH>
              <wp:positionV relativeFrom="page">
                <wp:posOffset>0</wp:posOffset>
              </wp:positionV>
              <wp:extent cx="216000" cy="7560000"/>
              <wp:effectExtent l="0" t="0" r="0" b="3175"/>
              <wp:wrapNone/>
              <wp:docPr id="23" name="Rectangle 23"/>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E580F" w:rsidRPr="009D4FBD" w:rsidRDefault="00FE580F" w:rsidP="00BC2453">
                          <w:pPr>
                            <w:pStyle w:val="Header"/>
                            <w:tabs>
                              <w:tab w:val="clear" w:pos="-567"/>
                              <w:tab w:val="clear" w:pos="0"/>
                              <w:tab w:val="clear" w:pos="7938"/>
                              <w:tab w:val="clear" w:pos="8505"/>
                              <w:tab w:val="left" w:pos="1701"/>
                              <w:tab w:val="left" w:pos="2268"/>
                              <w:tab w:val="right" w:pos="10206"/>
                              <w:tab w:val="right" w:pos="10773"/>
                            </w:tabs>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595B86">
                            <w:rPr>
                              <w:noProof/>
                              <w:color w:val="000000" w:themeColor="text1"/>
                            </w:rPr>
                            <w:t>Proposal to include minimum accessibility standards for housing in the National Construction Code</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9F156C">
                            <w:rPr>
                              <w:rStyle w:val="PageNumber"/>
                              <w:noProof/>
                            </w:rPr>
                            <w:t>219</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5DF08" id="Rectangle 23" o:spid="_x0000_s1028" style="position:absolute;margin-left:768.3pt;margin-top:0;width:17pt;height:59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" o:allowincell="f" filled="f" stroked="f" strokeweight="2pt">
              <v:textbox style="layout-flow:vertical" inset="0,0,0,0">
                <w:txbxContent>
                  <w:p w:rsidR="00FE580F" w:rsidRPr="009D4FBD" w:rsidRDefault="00FE580F" w:rsidP="00BC2453">
                    <w:pPr>
                      <w:pStyle w:val="Header"/>
                      <w:tabs>
                        <w:tab w:val="clear" w:pos="-567"/>
                        <w:tab w:val="clear" w:pos="0"/>
                        <w:tab w:val="clear" w:pos="7938"/>
                        <w:tab w:val="clear" w:pos="8505"/>
                        <w:tab w:val="left" w:pos="1701"/>
                        <w:tab w:val="left" w:pos="2268"/>
                        <w:tab w:val="right" w:pos="10206"/>
                        <w:tab w:val="right" w:pos="10773"/>
                      </w:tabs>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595B86">
                      <w:rPr>
                        <w:noProof/>
                        <w:color w:val="000000" w:themeColor="text1"/>
                      </w:rPr>
                      <w:t>Proposal to include minimum accessibility standards for housing in the National Construction Code</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9F156C">
                      <w:rPr>
                        <w:rStyle w:val="PageNumber"/>
                        <w:noProof/>
                      </w:rPr>
                      <w:t>219</w:t>
                    </w:r>
                    <w:r>
                      <w:rPr>
                        <w:rStyle w:val="PageNumber"/>
                      </w:rPr>
                      <w:fldChar w:fldCharType="end"/>
                    </w:r>
                  </w:p>
                </w:txbxContent>
              </v:textbox>
              <w10:wrap anchorx="page" anchory="page"/>
            </v:rect>
          </w:pict>
        </mc:Fallback>
      </mc:AlternateContent>
    </w:r>
    <w:r>
      <w:rPr>
        <w:noProof/>
      </w:rPr>
      <mc:AlternateContent>
        <mc:Choice Requires="wps">
          <w:drawing>
            <wp:anchor distT="0" distB="0" distL="114300" distR="114300" simplePos="0" relativeHeight="251660288" behindDoc="0" locked="1" layoutInCell="0" allowOverlap="1" wp14:anchorId="33AF499F" wp14:editId="66A8238A">
              <wp:simplePos x="0" y="0"/>
              <wp:positionH relativeFrom="page">
                <wp:posOffset>396240</wp:posOffset>
              </wp:positionH>
              <wp:positionV relativeFrom="page">
                <wp:posOffset>1440180</wp:posOffset>
              </wp:positionV>
              <wp:extent cx="180000" cy="5040000"/>
              <wp:effectExtent l="0" t="0" r="0" b="8255"/>
              <wp:wrapNone/>
              <wp:docPr id="232" name="Rectangle 232"/>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E580F" w:rsidRPr="009C5A0E" w:rsidRDefault="00FE580F" w:rsidP="00BC2453">
                          <w:pPr>
                            <w:pStyle w:val="Footer"/>
                            <w:jc w:val="right"/>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F499F" id="Rectangle 232" o:spid="_x0000_s1029" style="position:absolute;margin-left:31.2pt;margin-top:113.4pt;width:14.15pt;height:396.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" o:allowincell="f" filled="f" stroked="f" strokeweight="2pt">
              <v:textbox style="layout-flow:vertical" inset="0,0,0,0">
                <w:txbxContent>
                  <w:p w:rsidR="00FE580F" w:rsidRPr="009C5A0E" w:rsidRDefault="00FE580F" w:rsidP="00BC2453">
                    <w:pPr>
                      <w:pStyle w:val="Footer"/>
                      <w:jc w:val="right"/>
                    </w:pPr>
                    <w:r>
                      <w:t>www.TheCIE.com.au</w:t>
                    </w:r>
                  </w:p>
                </w:txbxContent>
              </v:textbox>
              <w10:wrap anchorx="page" anchory="page"/>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254EB"/>
    <w:multiLevelType w:val="multilevel"/>
    <w:tmpl w:val="A8A0795C"/>
    <w:numStyleLink w:val="RecommendationNumbers"/>
  </w:abstractNum>
  <w:abstractNum w:abstractNumId="1" w15:restartNumberingAfterBreak="0">
    <w:nsid w:val="066E47FB"/>
    <w:multiLevelType w:val="hybridMultilevel"/>
    <w:tmpl w:val="E0A4A1E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0DF0714B"/>
    <w:multiLevelType w:val="multilevel"/>
    <w:tmpl w:val="0C09001F"/>
    <w:name w:val="NoteNumbers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E1F659F"/>
    <w:multiLevelType w:val="multilevel"/>
    <w:tmpl w:val="60E6D4CC"/>
    <w:styleLink w:val="ListNumbers"/>
    <w:lvl w:ilvl="0">
      <w:start w:val="1"/>
      <w:numFmt w:val="decimal"/>
      <w:pStyle w:val="ListNumber"/>
      <w:lvlText w:val="%1"/>
      <w:lvlJc w:val="left"/>
      <w:pPr>
        <w:tabs>
          <w:tab w:val="num" w:pos="284"/>
        </w:tabs>
        <w:ind w:left="284" w:hanging="284"/>
      </w:pPr>
      <w:rPr>
        <w:rFonts w:ascii="Calisto MT" w:hAnsi="Calisto MT" w:hint="default"/>
      </w:rPr>
    </w:lvl>
    <w:lvl w:ilvl="1">
      <w:start w:val="1"/>
      <w:numFmt w:val="lowerLetter"/>
      <w:pStyle w:val="ListNumber2"/>
      <w:lvlText w:val="%2)"/>
      <w:lvlJc w:val="left"/>
      <w:pPr>
        <w:tabs>
          <w:tab w:val="num" w:pos="567"/>
        </w:tabs>
        <w:ind w:left="567" w:hanging="283"/>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12A97EA3"/>
    <w:multiLevelType w:val="hybridMultilevel"/>
    <w:tmpl w:val="E0A4A1E0"/>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15016D6A"/>
    <w:multiLevelType w:val="hybridMultilevel"/>
    <w:tmpl w:val="5A1C7EDE"/>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6" w15:restartNumberingAfterBreak="0">
    <w:nsid w:val="158D63BB"/>
    <w:multiLevelType w:val="multilevel"/>
    <w:tmpl w:val="5BCE45E4"/>
    <w:styleLink w:val="NoteListNumber"/>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abstractNum w:abstractNumId="7" w15:restartNumberingAfterBreak="0">
    <w:nsid w:val="168B74C7"/>
    <w:multiLevelType w:val="hybridMultilevel"/>
    <w:tmpl w:val="E0A4A1E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19B85820"/>
    <w:multiLevelType w:val="multilevel"/>
    <w:tmpl w:val="F94A5772"/>
    <w:styleLink w:val="ChartListBullets"/>
    <w:lvl w:ilvl="0">
      <w:start w:val="1"/>
      <w:numFmt w:val="bullet"/>
      <w:pStyle w:val="ChartListBullet"/>
      <w:lvlText w:val="■"/>
      <w:lvlJc w:val="left"/>
      <w:pPr>
        <w:tabs>
          <w:tab w:val="num" w:pos="170"/>
        </w:tabs>
        <w:ind w:left="170" w:hanging="170"/>
      </w:pPr>
      <w:rPr>
        <w:rFonts w:ascii="Franklin Gothic Book" w:hAnsi="Franklin Gothic Book" w:hint="default"/>
        <w:color w:val="9B917E" w:themeColor="accent4"/>
        <w:position w:val="2"/>
        <w:sz w:val="12"/>
      </w:rPr>
    </w:lvl>
    <w:lvl w:ilvl="1">
      <w:start w:val="1"/>
      <w:numFmt w:val="bullet"/>
      <w:pStyle w:val="ChartListBullet2"/>
      <w:lvlText w:val="–"/>
      <w:lvlJc w:val="left"/>
      <w:pPr>
        <w:tabs>
          <w:tab w:val="num" w:pos="340"/>
        </w:tabs>
        <w:ind w:left="340" w:hanging="170"/>
      </w:pPr>
      <w:rPr>
        <w:rFonts w:ascii="Franklin Gothic Book" w:hAnsi="Franklin Gothic Book"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BF52C8D"/>
    <w:multiLevelType w:val="hybridMultilevel"/>
    <w:tmpl w:val="7AC8BAA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1E363999"/>
    <w:multiLevelType w:val="hybridMultilevel"/>
    <w:tmpl w:val="E0A4A1E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1F936F9C"/>
    <w:multiLevelType w:val="hybridMultilevel"/>
    <w:tmpl w:val="E0A4A1E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1FA64F6A"/>
    <w:multiLevelType w:val="hybridMultilevel"/>
    <w:tmpl w:val="E0A4A1E0"/>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23E6604B"/>
    <w:multiLevelType w:val="hybridMultilevel"/>
    <w:tmpl w:val="FEBE65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25BD6DA2"/>
    <w:multiLevelType w:val="hybridMultilevel"/>
    <w:tmpl w:val="5204C87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27006C08"/>
    <w:multiLevelType w:val="multilevel"/>
    <w:tmpl w:val="149034BA"/>
    <w:styleLink w:val="KeyPointBullets"/>
    <w:lvl w:ilvl="0">
      <w:start w:val="1"/>
      <w:numFmt w:val="bullet"/>
      <w:pStyle w:val="KeyPoint"/>
      <w:lvlText w:val="■"/>
      <w:lvlJc w:val="left"/>
      <w:pPr>
        <w:tabs>
          <w:tab w:val="num" w:pos="284"/>
        </w:tabs>
        <w:ind w:left="284" w:hanging="284"/>
      </w:pPr>
      <w:rPr>
        <w:rFonts w:ascii="Franklin Gothic Demi" w:hAnsi="Franklin Gothic Demi" w:hint="default"/>
        <w:color w:val="F61D12" w:themeColor="accent2"/>
      </w:rPr>
    </w:lvl>
    <w:lvl w:ilvl="1">
      <w:start w:val="1"/>
      <w:numFmt w:val="bullet"/>
      <w:pStyle w:val="KeyPoint2"/>
      <w:lvlText w:val="–"/>
      <w:lvlJc w:val="left"/>
      <w:pPr>
        <w:tabs>
          <w:tab w:val="num" w:pos="567"/>
        </w:tabs>
        <w:ind w:left="567" w:hanging="283"/>
      </w:pPr>
      <w:rPr>
        <w:rFonts w:ascii="Franklin Gothic Demi" w:hAnsi="Franklin Gothic Demi" w:hint="default"/>
        <w:color w:val="F61D12" w:themeColor="accent2"/>
        <w:position w:val="2"/>
      </w:rPr>
    </w:lvl>
    <w:lvl w:ilvl="2">
      <w:start w:val="1"/>
      <w:numFmt w:val="bullet"/>
      <w:pStyle w:val="KeyPoint3"/>
      <w:lvlText w:val="…"/>
      <w:lvlJc w:val="left"/>
      <w:pPr>
        <w:tabs>
          <w:tab w:val="num" w:pos="992"/>
        </w:tabs>
        <w:ind w:left="992" w:hanging="425"/>
      </w:pPr>
      <w:rPr>
        <w:rFonts w:ascii="Franklin Gothic Demi" w:hAnsi="Franklin Gothic Demi" w:hint="default"/>
        <w:color w:val="F61D12" w:themeColor="accen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7E231F0"/>
    <w:multiLevelType w:val="multilevel"/>
    <w:tmpl w:val="A8A0795C"/>
    <w:styleLink w:val="RecommendationNumbers"/>
    <w:lvl w:ilvl="0">
      <w:start w:val="1"/>
      <w:numFmt w:val="decimal"/>
      <w:pStyle w:val="RecommendationNumber"/>
      <w:lvlText w:val="%1"/>
      <w:lvlJc w:val="left"/>
      <w:pPr>
        <w:tabs>
          <w:tab w:val="num" w:pos="284"/>
        </w:tabs>
        <w:ind w:left="284" w:hanging="284"/>
      </w:pPr>
      <w:rPr>
        <w:rFonts w:hint="default"/>
      </w:rPr>
    </w:lvl>
    <w:lvl w:ilvl="1">
      <w:start w:val="1"/>
      <w:numFmt w:val="lowerLetter"/>
      <w:pStyle w:val="RecommendationNumber2"/>
      <w:lvlText w:val="%2)"/>
      <w:lvlJc w:val="left"/>
      <w:pPr>
        <w:tabs>
          <w:tab w:val="num" w:pos="567"/>
        </w:tabs>
        <w:ind w:left="567" w:hanging="28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A7F747F"/>
    <w:multiLevelType w:val="hybridMultilevel"/>
    <w:tmpl w:val="7AC8BAA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30C5458B"/>
    <w:multiLevelType w:val="hybridMultilevel"/>
    <w:tmpl w:val="4B54551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36470E28"/>
    <w:multiLevelType w:val="hybridMultilevel"/>
    <w:tmpl w:val="BADE75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370D2797"/>
    <w:multiLevelType w:val="hybridMultilevel"/>
    <w:tmpl w:val="5A1C7EDE"/>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21" w15:restartNumberingAfterBreak="0">
    <w:nsid w:val="3B9B5DE3"/>
    <w:multiLevelType w:val="hybridMultilevel"/>
    <w:tmpl w:val="5A1C7EDE"/>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22" w15:restartNumberingAfterBreak="0">
    <w:nsid w:val="3D6D4C88"/>
    <w:multiLevelType w:val="hybridMultilevel"/>
    <w:tmpl w:val="7AC8BAA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3F4A416C"/>
    <w:multiLevelType w:val="hybridMultilevel"/>
    <w:tmpl w:val="E0A4A1E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41535386"/>
    <w:multiLevelType w:val="multilevel"/>
    <w:tmpl w:val="8C8656A2"/>
    <w:styleLink w:val="TableListNumbers"/>
    <w:lvl w:ilvl="0">
      <w:start w:val="1"/>
      <w:numFmt w:val="decimal"/>
      <w:pStyle w:val="TableListNumber"/>
      <w:lvlText w:val="%1"/>
      <w:lvlJc w:val="left"/>
      <w:pPr>
        <w:tabs>
          <w:tab w:val="num" w:pos="170"/>
        </w:tabs>
        <w:ind w:left="170" w:hanging="170"/>
      </w:pPr>
      <w:rPr>
        <w:rFonts w:ascii="Franklin Gothic Book" w:hAnsi="Franklin Gothic Book" w:hint="default"/>
      </w:rPr>
    </w:lvl>
    <w:lvl w:ilvl="1">
      <w:start w:val="1"/>
      <w:numFmt w:val="lowerLetter"/>
      <w:pStyle w:val="TableListNumber2"/>
      <w:lvlText w:val="%2)"/>
      <w:lvlJc w:val="left"/>
      <w:pPr>
        <w:tabs>
          <w:tab w:val="num" w:pos="340"/>
        </w:tabs>
        <w:ind w:left="340" w:hanging="17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41DE124A"/>
    <w:multiLevelType w:val="hybridMultilevel"/>
    <w:tmpl w:val="E0A4A1E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452E423B"/>
    <w:multiLevelType w:val="hybridMultilevel"/>
    <w:tmpl w:val="3F46D46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4E3E75E8"/>
    <w:multiLevelType w:val="multilevel"/>
    <w:tmpl w:val="49B2C914"/>
    <w:styleLink w:val="HeadingNumbers"/>
    <w:lvl w:ilvl="0">
      <w:start w:val="1"/>
      <w:numFmt w:val="decimal"/>
      <w:pStyle w:val="Heading1"/>
      <w:lvlText w:val="%1"/>
      <w:lvlJc w:val="left"/>
      <w:pPr>
        <w:tabs>
          <w:tab w:val="num" w:pos="567"/>
        </w:tabs>
        <w:ind w:left="567" w:hanging="567"/>
      </w:pPr>
      <w:rPr>
        <w:rFonts w:hint="default"/>
        <w:b w:val="0"/>
        <w:i/>
        <w:color w:val="auto"/>
        <w:sz w:val="36"/>
      </w:rPr>
    </w:lvl>
    <w:lvl w:ilvl="1">
      <w:start w:val="1"/>
      <w:numFmt w:val="none"/>
      <w:lvlRestart w:val="0"/>
      <w:pStyle w:val="Heading2"/>
      <w:suff w:val="nothing"/>
      <w:lvlText w:val=""/>
      <w:lvlJc w:val="left"/>
      <w:pPr>
        <w:ind w:left="0" w:firstLine="0"/>
      </w:pPr>
      <w:rPr>
        <w:rFonts w:hint="default"/>
      </w:rPr>
    </w:lvl>
    <w:lvl w:ilvl="2">
      <w:start w:val="1"/>
      <w:numFmt w:val="none"/>
      <w:lvlRestart w:val="0"/>
      <w:pStyle w:val="Heading3"/>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567"/>
        </w:tabs>
        <w:ind w:left="567" w:hanging="567"/>
      </w:pPr>
      <w:rPr>
        <w:rFonts w:hint="default"/>
        <w:b w:val="0"/>
        <w:i/>
        <w:caps w:val="0"/>
        <w:sz w:val="36"/>
        <w:szCs w:val="28"/>
      </w:rPr>
    </w:lvl>
    <w:lvl w:ilvl="6">
      <w:start w:val="1"/>
      <w:numFmt w:val="none"/>
      <w:lvlRestart w:val="0"/>
      <w:pStyle w:val="Heading7"/>
      <w:suff w:val="nothing"/>
      <w:lvlText w:val=""/>
      <w:lvlJc w:val="left"/>
      <w:pPr>
        <w:ind w:left="0" w:firstLine="0"/>
      </w:pPr>
      <w:rPr>
        <w:rFonts w:hint="default"/>
        <w:caps/>
        <w:sz w:val="22"/>
        <w:szCs w:val="22"/>
      </w:rPr>
    </w:lvl>
    <w:lvl w:ilvl="7">
      <w:start w:val="1"/>
      <w:numFmt w:val="none"/>
      <w:lvlRestart w:val="0"/>
      <w:pStyle w:val="Heading8"/>
      <w:suff w:val="nothing"/>
      <w:lvlText w:val=""/>
      <w:lvlJc w:val="left"/>
      <w:pPr>
        <w:ind w:left="0" w:firstLine="0"/>
      </w:pPr>
      <w:rPr>
        <w:rFonts w:asciiTheme="majorHAnsi" w:hAnsiTheme="majorHAnsi" w:hint="default"/>
      </w:rPr>
    </w:lvl>
    <w:lvl w:ilvl="8">
      <w:start w:val="1"/>
      <w:numFmt w:val="none"/>
      <w:lvlRestart w:val="0"/>
      <w:pStyle w:val="Heading9"/>
      <w:suff w:val="nothing"/>
      <w:lvlText w:val=""/>
      <w:lvlJc w:val="left"/>
      <w:pPr>
        <w:ind w:left="0" w:firstLine="0"/>
      </w:pPr>
      <w:rPr>
        <w:rFonts w:asciiTheme="majorHAnsi" w:hAnsiTheme="majorHAnsi" w:hint="default"/>
      </w:rPr>
    </w:lvl>
  </w:abstractNum>
  <w:abstractNum w:abstractNumId="28" w15:restartNumberingAfterBreak="0">
    <w:nsid w:val="4F135A87"/>
    <w:multiLevelType w:val="hybridMultilevel"/>
    <w:tmpl w:val="C17A2000"/>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29" w15:restartNumberingAfterBreak="0">
    <w:nsid w:val="542E221A"/>
    <w:multiLevelType w:val="multilevel"/>
    <w:tmpl w:val="567ADE74"/>
    <w:styleLink w:val="TableListBullets"/>
    <w:lvl w:ilvl="0">
      <w:start w:val="1"/>
      <w:numFmt w:val="bullet"/>
      <w:pStyle w:val="TableListBullet"/>
      <w:lvlText w:val="■"/>
      <w:lvlJc w:val="left"/>
      <w:pPr>
        <w:tabs>
          <w:tab w:val="num" w:pos="170"/>
        </w:tabs>
        <w:ind w:left="170" w:hanging="170"/>
      </w:pPr>
      <w:rPr>
        <w:rFonts w:ascii="Franklin Gothic Book" w:hAnsi="Franklin Gothic Book"/>
        <w:color w:val="9B917E" w:themeColor="accent4"/>
        <w:spacing w:val="0"/>
        <w:w w:val="100"/>
        <w:position w:val="3"/>
        <w:sz w:val="12"/>
      </w:rPr>
    </w:lvl>
    <w:lvl w:ilvl="1">
      <w:start w:val="1"/>
      <w:numFmt w:val="bullet"/>
      <w:pStyle w:val="TableListBullet2"/>
      <w:lvlText w:val="–"/>
      <w:lvlJc w:val="left"/>
      <w:pPr>
        <w:tabs>
          <w:tab w:val="num" w:pos="340"/>
        </w:tabs>
        <w:ind w:left="340" w:hanging="170"/>
      </w:pPr>
      <w:rPr>
        <w:rFonts w:ascii="Arial" w:hAnsi="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FF12D5"/>
    <w:multiLevelType w:val="hybridMultilevel"/>
    <w:tmpl w:val="5A1C7EDE"/>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31" w15:restartNumberingAfterBreak="0">
    <w:nsid w:val="56787896"/>
    <w:multiLevelType w:val="multilevel"/>
    <w:tmpl w:val="567ADE74"/>
    <w:numStyleLink w:val="TableListBullets"/>
  </w:abstractNum>
  <w:abstractNum w:abstractNumId="32" w15:restartNumberingAfterBreak="0">
    <w:nsid w:val="588F3040"/>
    <w:multiLevelType w:val="hybridMultilevel"/>
    <w:tmpl w:val="7AC8BAA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3" w15:restartNumberingAfterBreak="0">
    <w:nsid w:val="58B8648D"/>
    <w:multiLevelType w:val="multilevel"/>
    <w:tmpl w:val="5BCE45E4"/>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pStyle w:val="NoteNumb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abstractNum w:abstractNumId="34" w15:restartNumberingAfterBreak="0">
    <w:nsid w:val="5B826647"/>
    <w:multiLevelType w:val="hybridMultilevel"/>
    <w:tmpl w:val="E0A4A1E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62A5305B"/>
    <w:multiLevelType w:val="hybridMultilevel"/>
    <w:tmpl w:val="5A1C7EDE"/>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36" w15:restartNumberingAfterBreak="0">
    <w:nsid w:val="62EC4143"/>
    <w:multiLevelType w:val="hybridMultilevel"/>
    <w:tmpl w:val="E0A4A1E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63ED5222"/>
    <w:multiLevelType w:val="hybridMultilevel"/>
    <w:tmpl w:val="BA34111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8" w15:restartNumberingAfterBreak="0">
    <w:nsid w:val="66C55368"/>
    <w:multiLevelType w:val="hybridMultilevel"/>
    <w:tmpl w:val="C17A2000"/>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39" w15:restartNumberingAfterBreak="0">
    <w:nsid w:val="6B8472EA"/>
    <w:multiLevelType w:val="hybridMultilevel"/>
    <w:tmpl w:val="5A1C7EDE"/>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40" w15:restartNumberingAfterBreak="0">
    <w:nsid w:val="6C420028"/>
    <w:multiLevelType w:val="multilevel"/>
    <w:tmpl w:val="AD122346"/>
    <w:styleLink w:val="ChartListNumber"/>
    <w:lvl w:ilvl="0">
      <w:start w:val="1"/>
      <w:numFmt w:val="decimal"/>
      <w:pStyle w:val="ChartListNumber0"/>
      <w:lvlText w:val="%1"/>
      <w:lvlJc w:val="left"/>
      <w:pPr>
        <w:tabs>
          <w:tab w:val="num" w:pos="170"/>
        </w:tabs>
        <w:ind w:left="170" w:hanging="17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0BE78F2"/>
    <w:multiLevelType w:val="hybridMultilevel"/>
    <w:tmpl w:val="E0A4A1E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2" w15:restartNumberingAfterBreak="0">
    <w:nsid w:val="718120EA"/>
    <w:multiLevelType w:val="multilevel"/>
    <w:tmpl w:val="CB3EC8D0"/>
    <w:styleLink w:val="ListBullets"/>
    <w:lvl w:ilvl="0">
      <w:start w:val="1"/>
      <w:numFmt w:val="bullet"/>
      <w:pStyle w:val="ListBullet"/>
      <w:lvlText w:val="■"/>
      <w:lvlJc w:val="left"/>
      <w:pPr>
        <w:tabs>
          <w:tab w:val="num" w:pos="284"/>
        </w:tabs>
        <w:ind w:left="284" w:hanging="284"/>
      </w:pPr>
      <w:rPr>
        <w:rFonts w:ascii="Franklin Gothic Demi" w:hAnsi="Franklin Gothic Demi" w:hint="default"/>
        <w:color w:val="9B917E" w:themeColor="accent4"/>
        <w:position w:val="3"/>
        <w:sz w:val="16"/>
      </w:rPr>
    </w:lvl>
    <w:lvl w:ilvl="1">
      <w:start w:val="1"/>
      <w:numFmt w:val="bullet"/>
      <w:pStyle w:val="ListBullet2"/>
      <w:lvlText w:val="–"/>
      <w:lvlJc w:val="left"/>
      <w:pPr>
        <w:tabs>
          <w:tab w:val="num" w:pos="567"/>
        </w:tabs>
        <w:ind w:left="567" w:hanging="283"/>
      </w:pPr>
      <w:rPr>
        <w:rFonts w:hint="default"/>
      </w:rPr>
    </w:lvl>
    <w:lvl w:ilvl="2">
      <w:start w:val="1"/>
      <w:numFmt w:val="bullet"/>
      <w:pStyle w:val="ListBullet3"/>
      <w:lvlText w:val="…"/>
      <w:lvlJc w:val="left"/>
      <w:pPr>
        <w:tabs>
          <w:tab w:val="num" w:pos="907"/>
        </w:tabs>
        <w:ind w:left="907" w:hanging="340"/>
      </w:pPr>
      <w:rPr>
        <w:rFonts w:ascii="Calisto MT" w:hAnsi="Calisto MT" w:hint="default"/>
        <w:color w:val="9B917E" w:themeColor="accent4"/>
        <w:position w:val="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20F67A8"/>
    <w:multiLevelType w:val="multilevel"/>
    <w:tmpl w:val="0C090029"/>
    <w:name w:val="NoteNumber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4" w15:restartNumberingAfterBreak="0">
    <w:nsid w:val="7C3A0DF8"/>
    <w:multiLevelType w:val="multilevel"/>
    <w:tmpl w:val="E6863C72"/>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abstractNum w:abstractNumId="45" w15:restartNumberingAfterBreak="0">
    <w:nsid w:val="7C42379D"/>
    <w:multiLevelType w:val="hybridMultilevel"/>
    <w:tmpl w:val="E0A4A1E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6" w15:restartNumberingAfterBreak="0">
    <w:nsid w:val="7CA87A66"/>
    <w:multiLevelType w:val="hybridMultilevel"/>
    <w:tmpl w:val="7AC8BAA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7" w15:restartNumberingAfterBreak="0">
    <w:nsid w:val="7FDD1C36"/>
    <w:multiLevelType w:val="hybridMultilevel"/>
    <w:tmpl w:val="C17A2000"/>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num w:numId="1">
    <w:abstractNumId w:val="24"/>
  </w:num>
  <w:num w:numId="2">
    <w:abstractNumId w:val="29"/>
  </w:num>
  <w:num w:numId="3">
    <w:abstractNumId w:val="8"/>
  </w:num>
  <w:num w:numId="4">
    <w:abstractNumId w:val="40"/>
  </w:num>
  <w:num w:numId="5">
    <w:abstractNumId w:val="27"/>
  </w:num>
  <w:num w:numId="6">
    <w:abstractNumId w:val="16"/>
  </w:num>
  <w:num w:numId="7">
    <w:abstractNumId w:val="31"/>
  </w:num>
  <w:num w:numId="8">
    <w:abstractNumId w:val="0"/>
  </w:num>
  <w:num w:numId="9">
    <w:abstractNumId w:val="42"/>
  </w:num>
  <w:num w:numId="10">
    <w:abstractNumId w:val="3"/>
  </w:num>
  <w:num w:numId="11">
    <w:abstractNumId w:val="15"/>
  </w:num>
  <w:num w:numId="12">
    <w:abstractNumId w:val="6"/>
  </w:num>
  <w:num w:numId="13">
    <w:abstractNumId w:val="33"/>
  </w:num>
  <w:num w:numId="14">
    <w:abstractNumId w:val="27"/>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lvl w:ilvl="0">
        <w:start w:val="1"/>
        <w:numFmt w:val="bullet"/>
        <w:pStyle w:val="ListBullet"/>
        <w:lvlText w:val="■"/>
        <w:lvlJc w:val="left"/>
        <w:pPr>
          <w:tabs>
            <w:tab w:val="num" w:pos="284"/>
          </w:tabs>
          <w:ind w:left="284" w:hanging="284"/>
        </w:pPr>
        <w:rPr>
          <w:rFonts w:ascii="Franklin Gothic Demi" w:hAnsi="Franklin Gothic Demi" w:hint="default"/>
          <w:color w:val="9B917E" w:themeColor="accent4"/>
          <w:position w:val="3"/>
          <w:sz w:val="16"/>
        </w:rPr>
      </w:lvl>
    </w:lvlOverride>
    <w:lvlOverride w:ilvl="1">
      <w:lvl w:ilvl="1">
        <w:start w:val="1"/>
        <w:numFmt w:val="bullet"/>
        <w:pStyle w:val="ListBullet2"/>
        <w:lvlText w:val="–"/>
        <w:lvlJc w:val="left"/>
        <w:pPr>
          <w:tabs>
            <w:tab w:val="num" w:pos="567"/>
          </w:tabs>
          <w:ind w:left="567" w:hanging="283"/>
        </w:pPr>
        <w:rPr>
          <w:rFonts w:hint="default"/>
        </w:rPr>
      </w:lvl>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4"/>
  </w:num>
  <w:num w:numId="33">
    <w:abstractNumId w:val="7"/>
  </w:num>
  <w:num w:numId="34">
    <w:abstractNumId w:val="25"/>
  </w:num>
  <w:num w:numId="35">
    <w:abstractNumId w:val="36"/>
  </w:num>
  <w:num w:numId="36">
    <w:abstractNumId w:val="34"/>
  </w:num>
  <w:num w:numId="37">
    <w:abstractNumId w:val="32"/>
  </w:num>
  <w:num w:numId="38">
    <w:abstractNumId w:val="45"/>
  </w:num>
  <w:num w:numId="39">
    <w:abstractNumId w:val="1"/>
  </w:num>
  <w:num w:numId="40">
    <w:abstractNumId w:val="14"/>
  </w:num>
  <w:num w:numId="41">
    <w:abstractNumId w:val="17"/>
  </w:num>
  <w:num w:numId="42">
    <w:abstractNumId w:val="22"/>
  </w:num>
  <w:num w:numId="43">
    <w:abstractNumId w:val="9"/>
  </w:num>
  <w:num w:numId="44">
    <w:abstractNumId w:val="46"/>
  </w:num>
  <w:num w:numId="45">
    <w:abstractNumId w:val="41"/>
  </w:num>
  <w:num w:numId="46">
    <w:abstractNumId w:val="23"/>
  </w:num>
  <w:num w:numId="47">
    <w:abstractNumId w:val="26"/>
  </w:num>
  <w:num w:numId="48">
    <w:abstractNumId w:val="47"/>
  </w:num>
  <w:num w:numId="49">
    <w:abstractNumId w:val="35"/>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removePersonalInformation/>
  <w:removeDateAndTime/>
  <w:displayBackgroundShape/>
  <w:hideSpellingErrors/>
  <w:hideGrammaticalError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0"/>
  <w:defaultTabStop w:val="284"/>
  <w:clickAndTypeStyle w:val="BodyText"/>
  <w:evenAndOddHeaders/>
  <w:drawingGridHorizontalSpacing w:val="142"/>
  <w:drawingGridVerticalSpacing w:val="14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8FE"/>
    <w:rsid w:val="000001DC"/>
    <w:rsid w:val="00000726"/>
    <w:rsid w:val="00002721"/>
    <w:rsid w:val="0000404E"/>
    <w:rsid w:val="00004361"/>
    <w:rsid w:val="000053BF"/>
    <w:rsid w:val="00005768"/>
    <w:rsid w:val="00006740"/>
    <w:rsid w:val="00006A59"/>
    <w:rsid w:val="00006D68"/>
    <w:rsid w:val="000071F5"/>
    <w:rsid w:val="000078F0"/>
    <w:rsid w:val="00010588"/>
    <w:rsid w:val="00012DBB"/>
    <w:rsid w:val="00014030"/>
    <w:rsid w:val="0001417D"/>
    <w:rsid w:val="000168BA"/>
    <w:rsid w:val="00017849"/>
    <w:rsid w:val="00017CA5"/>
    <w:rsid w:val="00017D5A"/>
    <w:rsid w:val="00022345"/>
    <w:rsid w:val="00024206"/>
    <w:rsid w:val="00024872"/>
    <w:rsid w:val="00027E7C"/>
    <w:rsid w:val="00030249"/>
    <w:rsid w:val="0003192F"/>
    <w:rsid w:val="00031AAC"/>
    <w:rsid w:val="000331D6"/>
    <w:rsid w:val="000337BB"/>
    <w:rsid w:val="00036FD6"/>
    <w:rsid w:val="000376FD"/>
    <w:rsid w:val="00037F9E"/>
    <w:rsid w:val="00040588"/>
    <w:rsid w:val="00042363"/>
    <w:rsid w:val="00043FE2"/>
    <w:rsid w:val="00045326"/>
    <w:rsid w:val="000461CB"/>
    <w:rsid w:val="000473DD"/>
    <w:rsid w:val="00051172"/>
    <w:rsid w:val="00051E54"/>
    <w:rsid w:val="00052303"/>
    <w:rsid w:val="0005455A"/>
    <w:rsid w:val="00054974"/>
    <w:rsid w:val="00054AAC"/>
    <w:rsid w:val="00057629"/>
    <w:rsid w:val="00061CDB"/>
    <w:rsid w:val="00061F24"/>
    <w:rsid w:val="00063389"/>
    <w:rsid w:val="00063D61"/>
    <w:rsid w:val="000642B7"/>
    <w:rsid w:val="000652FC"/>
    <w:rsid w:val="00065889"/>
    <w:rsid w:val="00070083"/>
    <w:rsid w:val="000701E7"/>
    <w:rsid w:val="00070654"/>
    <w:rsid w:val="0007143C"/>
    <w:rsid w:val="000719EA"/>
    <w:rsid w:val="000725E4"/>
    <w:rsid w:val="00072873"/>
    <w:rsid w:val="00073C36"/>
    <w:rsid w:val="000777E2"/>
    <w:rsid w:val="0008370B"/>
    <w:rsid w:val="00083F4D"/>
    <w:rsid w:val="00085F2E"/>
    <w:rsid w:val="000866A5"/>
    <w:rsid w:val="000872FB"/>
    <w:rsid w:val="000873CC"/>
    <w:rsid w:val="00087E40"/>
    <w:rsid w:val="00090B41"/>
    <w:rsid w:val="00090C00"/>
    <w:rsid w:val="000923A8"/>
    <w:rsid w:val="00092BC9"/>
    <w:rsid w:val="00092C85"/>
    <w:rsid w:val="00094293"/>
    <w:rsid w:val="00095461"/>
    <w:rsid w:val="00095D2C"/>
    <w:rsid w:val="0009623A"/>
    <w:rsid w:val="000978D6"/>
    <w:rsid w:val="000A04F6"/>
    <w:rsid w:val="000A15C3"/>
    <w:rsid w:val="000A3785"/>
    <w:rsid w:val="000A3975"/>
    <w:rsid w:val="000A43D9"/>
    <w:rsid w:val="000A744E"/>
    <w:rsid w:val="000B2602"/>
    <w:rsid w:val="000B2764"/>
    <w:rsid w:val="000B397D"/>
    <w:rsid w:val="000B6546"/>
    <w:rsid w:val="000B6DF3"/>
    <w:rsid w:val="000C09F4"/>
    <w:rsid w:val="000C35CB"/>
    <w:rsid w:val="000C438B"/>
    <w:rsid w:val="000C55C5"/>
    <w:rsid w:val="000D052F"/>
    <w:rsid w:val="000D4C79"/>
    <w:rsid w:val="000D53CB"/>
    <w:rsid w:val="000D5779"/>
    <w:rsid w:val="000D6854"/>
    <w:rsid w:val="000D6D12"/>
    <w:rsid w:val="000D738C"/>
    <w:rsid w:val="000E06BD"/>
    <w:rsid w:val="000E3271"/>
    <w:rsid w:val="000E4A2A"/>
    <w:rsid w:val="000E5329"/>
    <w:rsid w:val="000E5731"/>
    <w:rsid w:val="000E7163"/>
    <w:rsid w:val="000F1718"/>
    <w:rsid w:val="000F1CEF"/>
    <w:rsid w:val="000F76FA"/>
    <w:rsid w:val="000F7DCD"/>
    <w:rsid w:val="0010339F"/>
    <w:rsid w:val="00106B92"/>
    <w:rsid w:val="00110AC0"/>
    <w:rsid w:val="001113DF"/>
    <w:rsid w:val="00112299"/>
    <w:rsid w:val="00113083"/>
    <w:rsid w:val="001132FF"/>
    <w:rsid w:val="00114298"/>
    <w:rsid w:val="0011629F"/>
    <w:rsid w:val="00122CBF"/>
    <w:rsid w:val="00123574"/>
    <w:rsid w:val="00124149"/>
    <w:rsid w:val="00125045"/>
    <w:rsid w:val="001267A4"/>
    <w:rsid w:val="00131EC3"/>
    <w:rsid w:val="00132A04"/>
    <w:rsid w:val="00134A2B"/>
    <w:rsid w:val="00135292"/>
    <w:rsid w:val="0013655A"/>
    <w:rsid w:val="001370F6"/>
    <w:rsid w:val="00137548"/>
    <w:rsid w:val="001377F8"/>
    <w:rsid w:val="00140070"/>
    <w:rsid w:val="00141E1F"/>
    <w:rsid w:val="00141FED"/>
    <w:rsid w:val="00143D1F"/>
    <w:rsid w:val="00143F02"/>
    <w:rsid w:val="00144AC4"/>
    <w:rsid w:val="00144B99"/>
    <w:rsid w:val="00145444"/>
    <w:rsid w:val="00147133"/>
    <w:rsid w:val="00151D8E"/>
    <w:rsid w:val="0015309D"/>
    <w:rsid w:val="00154EE1"/>
    <w:rsid w:val="00155EBB"/>
    <w:rsid w:val="00156FB3"/>
    <w:rsid w:val="00157456"/>
    <w:rsid w:val="00157B65"/>
    <w:rsid w:val="001605E1"/>
    <w:rsid w:val="00160701"/>
    <w:rsid w:val="001609BC"/>
    <w:rsid w:val="00160C29"/>
    <w:rsid w:val="00160E46"/>
    <w:rsid w:val="00160FB8"/>
    <w:rsid w:val="00161E5C"/>
    <w:rsid w:val="00161FB8"/>
    <w:rsid w:val="001624ED"/>
    <w:rsid w:val="00162961"/>
    <w:rsid w:val="001647E4"/>
    <w:rsid w:val="00164A52"/>
    <w:rsid w:val="00164B35"/>
    <w:rsid w:val="00164E8C"/>
    <w:rsid w:val="00167266"/>
    <w:rsid w:val="0017247F"/>
    <w:rsid w:val="00172A23"/>
    <w:rsid w:val="00172EE8"/>
    <w:rsid w:val="0017310D"/>
    <w:rsid w:val="00173B54"/>
    <w:rsid w:val="00174977"/>
    <w:rsid w:val="00174B52"/>
    <w:rsid w:val="001750CC"/>
    <w:rsid w:val="001754CB"/>
    <w:rsid w:val="00176390"/>
    <w:rsid w:val="001767F9"/>
    <w:rsid w:val="0018077F"/>
    <w:rsid w:val="00182068"/>
    <w:rsid w:val="00183D95"/>
    <w:rsid w:val="001850B1"/>
    <w:rsid w:val="001852E4"/>
    <w:rsid w:val="00185D18"/>
    <w:rsid w:val="0019242D"/>
    <w:rsid w:val="0019261A"/>
    <w:rsid w:val="00192D12"/>
    <w:rsid w:val="00193954"/>
    <w:rsid w:val="001951A7"/>
    <w:rsid w:val="00195939"/>
    <w:rsid w:val="0019703F"/>
    <w:rsid w:val="001970C9"/>
    <w:rsid w:val="001A0013"/>
    <w:rsid w:val="001A066A"/>
    <w:rsid w:val="001A08AD"/>
    <w:rsid w:val="001A0B79"/>
    <w:rsid w:val="001A1065"/>
    <w:rsid w:val="001A2A99"/>
    <w:rsid w:val="001A2D20"/>
    <w:rsid w:val="001A3C7C"/>
    <w:rsid w:val="001A4BDB"/>
    <w:rsid w:val="001A59B2"/>
    <w:rsid w:val="001A6EA7"/>
    <w:rsid w:val="001A6EAB"/>
    <w:rsid w:val="001A7147"/>
    <w:rsid w:val="001B0B61"/>
    <w:rsid w:val="001B1B01"/>
    <w:rsid w:val="001B25D3"/>
    <w:rsid w:val="001B2F94"/>
    <w:rsid w:val="001B3438"/>
    <w:rsid w:val="001B3876"/>
    <w:rsid w:val="001B4EBC"/>
    <w:rsid w:val="001B747F"/>
    <w:rsid w:val="001B7C37"/>
    <w:rsid w:val="001C0972"/>
    <w:rsid w:val="001C0E54"/>
    <w:rsid w:val="001C18B4"/>
    <w:rsid w:val="001C24C9"/>
    <w:rsid w:val="001C2B49"/>
    <w:rsid w:val="001C3CC5"/>
    <w:rsid w:val="001C3E07"/>
    <w:rsid w:val="001C41C7"/>
    <w:rsid w:val="001C6315"/>
    <w:rsid w:val="001D200A"/>
    <w:rsid w:val="001D2D60"/>
    <w:rsid w:val="001D3863"/>
    <w:rsid w:val="001D3E1A"/>
    <w:rsid w:val="001D4BDE"/>
    <w:rsid w:val="001D6065"/>
    <w:rsid w:val="001D72A4"/>
    <w:rsid w:val="001E04F5"/>
    <w:rsid w:val="001E2A83"/>
    <w:rsid w:val="001E2D52"/>
    <w:rsid w:val="001E31FC"/>
    <w:rsid w:val="001E34F6"/>
    <w:rsid w:val="001E3D69"/>
    <w:rsid w:val="001E4E51"/>
    <w:rsid w:val="001E6A14"/>
    <w:rsid w:val="001F182E"/>
    <w:rsid w:val="001F2906"/>
    <w:rsid w:val="001F3E78"/>
    <w:rsid w:val="001F438A"/>
    <w:rsid w:val="001F45EB"/>
    <w:rsid w:val="001F5579"/>
    <w:rsid w:val="001F5611"/>
    <w:rsid w:val="001F62C5"/>
    <w:rsid w:val="001F650C"/>
    <w:rsid w:val="001F7379"/>
    <w:rsid w:val="001F79C6"/>
    <w:rsid w:val="002006F2"/>
    <w:rsid w:val="00200DE7"/>
    <w:rsid w:val="00202BB1"/>
    <w:rsid w:val="002043F1"/>
    <w:rsid w:val="002054AC"/>
    <w:rsid w:val="00206E57"/>
    <w:rsid w:val="002078CE"/>
    <w:rsid w:val="00210FAE"/>
    <w:rsid w:val="00212CA5"/>
    <w:rsid w:val="002149C9"/>
    <w:rsid w:val="002159B4"/>
    <w:rsid w:val="00215F5C"/>
    <w:rsid w:val="002164D6"/>
    <w:rsid w:val="00216C8F"/>
    <w:rsid w:val="00217000"/>
    <w:rsid w:val="0021708E"/>
    <w:rsid w:val="002175B7"/>
    <w:rsid w:val="0021770B"/>
    <w:rsid w:val="0022049B"/>
    <w:rsid w:val="0022165D"/>
    <w:rsid w:val="00221BE0"/>
    <w:rsid w:val="00222007"/>
    <w:rsid w:val="00222BF5"/>
    <w:rsid w:val="0022386A"/>
    <w:rsid w:val="002249BD"/>
    <w:rsid w:val="00225068"/>
    <w:rsid w:val="00225D69"/>
    <w:rsid w:val="00226230"/>
    <w:rsid w:val="002262E1"/>
    <w:rsid w:val="00230635"/>
    <w:rsid w:val="002307A3"/>
    <w:rsid w:val="00231E5E"/>
    <w:rsid w:val="002321B8"/>
    <w:rsid w:val="00232F15"/>
    <w:rsid w:val="0023380A"/>
    <w:rsid w:val="00234760"/>
    <w:rsid w:val="00234EAC"/>
    <w:rsid w:val="002355AE"/>
    <w:rsid w:val="00235787"/>
    <w:rsid w:val="00235C02"/>
    <w:rsid w:val="0023701E"/>
    <w:rsid w:val="00237D6C"/>
    <w:rsid w:val="002409D3"/>
    <w:rsid w:val="002411F9"/>
    <w:rsid w:val="0024172A"/>
    <w:rsid w:val="00242552"/>
    <w:rsid w:val="00242E1D"/>
    <w:rsid w:val="00243413"/>
    <w:rsid w:val="0025014B"/>
    <w:rsid w:val="002501B3"/>
    <w:rsid w:val="00252A3F"/>
    <w:rsid w:val="00252BEA"/>
    <w:rsid w:val="0025306F"/>
    <w:rsid w:val="0025379D"/>
    <w:rsid w:val="00253D9A"/>
    <w:rsid w:val="00254D0F"/>
    <w:rsid w:val="00255187"/>
    <w:rsid w:val="00255341"/>
    <w:rsid w:val="002568C5"/>
    <w:rsid w:val="00257809"/>
    <w:rsid w:val="00257F35"/>
    <w:rsid w:val="002613B7"/>
    <w:rsid w:val="00261A76"/>
    <w:rsid w:val="00262F13"/>
    <w:rsid w:val="002646BA"/>
    <w:rsid w:val="002658EB"/>
    <w:rsid w:val="0027008A"/>
    <w:rsid w:val="0027127E"/>
    <w:rsid w:val="00272AF3"/>
    <w:rsid w:val="00274BEB"/>
    <w:rsid w:val="002761F9"/>
    <w:rsid w:val="00280D84"/>
    <w:rsid w:val="00280FB4"/>
    <w:rsid w:val="002812E4"/>
    <w:rsid w:val="002829D9"/>
    <w:rsid w:val="00287996"/>
    <w:rsid w:val="00290273"/>
    <w:rsid w:val="00290880"/>
    <w:rsid w:val="00290DC7"/>
    <w:rsid w:val="0029208F"/>
    <w:rsid w:val="0029248B"/>
    <w:rsid w:val="00292E93"/>
    <w:rsid w:val="00293F2D"/>
    <w:rsid w:val="00295012"/>
    <w:rsid w:val="00295145"/>
    <w:rsid w:val="002977AE"/>
    <w:rsid w:val="002A06EA"/>
    <w:rsid w:val="002A09E0"/>
    <w:rsid w:val="002A5062"/>
    <w:rsid w:val="002A63B7"/>
    <w:rsid w:val="002A7161"/>
    <w:rsid w:val="002A7183"/>
    <w:rsid w:val="002A7FBB"/>
    <w:rsid w:val="002B1B67"/>
    <w:rsid w:val="002B22FE"/>
    <w:rsid w:val="002B418C"/>
    <w:rsid w:val="002B68C2"/>
    <w:rsid w:val="002B76B3"/>
    <w:rsid w:val="002C0234"/>
    <w:rsid w:val="002C0B69"/>
    <w:rsid w:val="002C1088"/>
    <w:rsid w:val="002C4DAF"/>
    <w:rsid w:val="002C5E17"/>
    <w:rsid w:val="002C6EE9"/>
    <w:rsid w:val="002D0F84"/>
    <w:rsid w:val="002D12E6"/>
    <w:rsid w:val="002D16DF"/>
    <w:rsid w:val="002D1EA5"/>
    <w:rsid w:val="002D219D"/>
    <w:rsid w:val="002D245D"/>
    <w:rsid w:val="002D30F9"/>
    <w:rsid w:val="002D379A"/>
    <w:rsid w:val="002D4888"/>
    <w:rsid w:val="002D4C2F"/>
    <w:rsid w:val="002D5DA9"/>
    <w:rsid w:val="002D6A9B"/>
    <w:rsid w:val="002D7073"/>
    <w:rsid w:val="002E0543"/>
    <w:rsid w:val="002E1A6C"/>
    <w:rsid w:val="002E3000"/>
    <w:rsid w:val="002E42E5"/>
    <w:rsid w:val="002E4B26"/>
    <w:rsid w:val="002E5345"/>
    <w:rsid w:val="002E641C"/>
    <w:rsid w:val="002E76D5"/>
    <w:rsid w:val="002E7EDA"/>
    <w:rsid w:val="002E7FE4"/>
    <w:rsid w:val="002F0378"/>
    <w:rsid w:val="002F0710"/>
    <w:rsid w:val="002F2AD2"/>
    <w:rsid w:val="002F2DAD"/>
    <w:rsid w:val="002F3BED"/>
    <w:rsid w:val="002F54D7"/>
    <w:rsid w:val="002F77B4"/>
    <w:rsid w:val="00300FE4"/>
    <w:rsid w:val="003034B4"/>
    <w:rsid w:val="003037CA"/>
    <w:rsid w:val="00303E96"/>
    <w:rsid w:val="00304C10"/>
    <w:rsid w:val="00305777"/>
    <w:rsid w:val="003126F2"/>
    <w:rsid w:val="0031383F"/>
    <w:rsid w:val="00313862"/>
    <w:rsid w:val="00313B07"/>
    <w:rsid w:val="00314C61"/>
    <w:rsid w:val="00314C70"/>
    <w:rsid w:val="00316FB2"/>
    <w:rsid w:val="003202CB"/>
    <w:rsid w:val="00320797"/>
    <w:rsid w:val="00320B11"/>
    <w:rsid w:val="00321B1E"/>
    <w:rsid w:val="00323985"/>
    <w:rsid w:val="003247B1"/>
    <w:rsid w:val="00324AC0"/>
    <w:rsid w:val="00326D2F"/>
    <w:rsid w:val="00327CFA"/>
    <w:rsid w:val="00327EEF"/>
    <w:rsid w:val="003331E1"/>
    <w:rsid w:val="0033324D"/>
    <w:rsid w:val="00333489"/>
    <w:rsid w:val="003336FB"/>
    <w:rsid w:val="0033389D"/>
    <w:rsid w:val="00337419"/>
    <w:rsid w:val="00337449"/>
    <w:rsid w:val="00340000"/>
    <w:rsid w:val="00340953"/>
    <w:rsid w:val="00342223"/>
    <w:rsid w:val="003434EA"/>
    <w:rsid w:val="00343707"/>
    <w:rsid w:val="00344521"/>
    <w:rsid w:val="0034455A"/>
    <w:rsid w:val="00345A25"/>
    <w:rsid w:val="00347146"/>
    <w:rsid w:val="0034759A"/>
    <w:rsid w:val="00347926"/>
    <w:rsid w:val="00347B60"/>
    <w:rsid w:val="003506C7"/>
    <w:rsid w:val="00350C07"/>
    <w:rsid w:val="00350F84"/>
    <w:rsid w:val="0035105D"/>
    <w:rsid w:val="00351C89"/>
    <w:rsid w:val="00352EC0"/>
    <w:rsid w:val="00354223"/>
    <w:rsid w:val="003561F3"/>
    <w:rsid w:val="0035659D"/>
    <w:rsid w:val="00357024"/>
    <w:rsid w:val="00357067"/>
    <w:rsid w:val="003573D1"/>
    <w:rsid w:val="00357547"/>
    <w:rsid w:val="00357593"/>
    <w:rsid w:val="00357B8F"/>
    <w:rsid w:val="00360168"/>
    <w:rsid w:val="003609F2"/>
    <w:rsid w:val="00363A6B"/>
    <w:rsid w:val="00363C20"/>
    <w:rsid w:val="00364961"/>
    <w:rsid w:val="00364BF0"/>
    <w:rsid w:val="00370C88"/>
    <w:rsid w:val="0037127D"/>
    <w:rsid w:val="0037167C"/>
    <w:rsid w:val="003726AE"/>
    <w:rsid w:val="0037281D"/>
    <w:rsid w:val="00372E7F"/>
    <w:rsid w:val="00373553"/>
    <w:rsid w:val="0037389E"/>
    <w:rsid w:val="00375A3B"/>
    <w:rsid w:val="00375BA6"/>
    <w:rsid w:val="00375F1A"/>
    <w:rsid w:val="003818BB"/>
    <w:rsid w:val="003822C2"/>
    <w:rsid w:val="003830ED"/>
    <w:rsid w:val="00383FDA"/>
    <w:rsid w:val="00384703"/>
    <w:rsid w:val="0038664C"/>
    <w:rsid w:val="00387CB5"/>
    <w:rsid w:val="00387D78"/>
    <w:rsid w:val="00390399"/>
    <w:rsid w:val="003916EA"/>
    <w:rsid w:val="00392952"/>
    <w:rsid w:val="0039365C"/>
    <w:rsid w:val="00394D91"/>
    <w:rsid w:val="003956B3"/>
    <w:rsid w:val="00395D18"/>
    <w:rsid w:val="003966C8"/>
    <w:rsid w:val="00396ABD"/>
    <w:rsid w:val="00396EB4"/>
    <w:rsid w:val="00396F36"/>
    <w:rsid w:val="00397DC8"/>
    <w:rsid w:val="00397EF7"/>
    <w:rsid w:val="003A1DFF"/>
    <w:rsid w:val="003A1E79"/>
    <w:rsid w:val="003A20B3"/>
    <w:rsid w:val="003A22CD"/>
    <w:rsid w:val="003A24B5"/>
    <w:rsid w:val="003A28F7"/>
    <w:rsid w:val="003A3CDF"/>
    <w:rsid w:val="003A4189"/>
    <w:rsid w:val="003B0F2C"/>
    <w:rsid w:val="003B187C"/>
    <w:rsid w:val="003B2B11"/>
    <w:rsid w:val="003B3BE9"/>
    <w:rsid w:val="003B3D27"/>
    <w:rsid w:val="003B4AAA"/>
    <w:rsid w:val="003B5EBE"/>
    <w:rsid w:val="003B7167"/>
    <w:rsid w:val="003C166E"/>
    <w:rsid w:val="003C31FF"/>
    <w:rsid w:val="003C392D"/>
    <w:rsid w:val="003C3A35"/>
    <w:rsid w:val="003C420B"/>
    <w:rsid w:val="003C4883"/>
    <w:rsid w:val="003C4A01"/>
    <w:rsid w:val="003C50D4"/>
    <w:rsid w:val="003C53D9"/>
    <w:rsid w:val="003C5A56"/>
    <w:rsid w:val="003C62AC"/>
    <w:rsid w:val="003D007E"/>
    <w:rsid w:val="003D0A62"/>
    <w:rsid w:val="003D139A"/>
    <w:rsid w:val="003D2A2B"/>
    <w:rsid w:val="003D41EA"/>
    <w:rsid w:val="003D5CF0"/>
    <w:rsid w:val="003D6FA5"/>
    <w:rsid w:val="003D7406"/>
    <w:rsid w:val="003D764D"/>
    <w:rsid w:val="003E0249"/>
    <w:rsid w:val="003E0C70"/>
    <w:rsid w:val="003E1F01"/>
    <w:rsid w:val="003E2DE8"/>
    <w:rsid w:val="003E428F"/>
    <w:rsid w:val="003E4E2B"/>
    <w:rsid w:val="003E547F"/>
    <w:rsid w:val="003E5943"/>
    <w:rsid w:val="003E7141"/>
    <w:rsid w:val="003F3859"/>
    <w:rsid w:val="003F3BD6"/>
    <w:rsid w:val="003F3E18"/>
    <w:rsid w:val="003F4D9B"/>
    <w:rsid w:val="003F6ACF"/>
    <w:rsid w:val="003F7020"/>
    <w:rsid w:val="00402DAF"/>
    <w:rsid w:val="00407097"/>
    <w:rsid w:val="00407359"/>
    <w:rsid w:val="004073EA"/>
    <w:rsid w:val="00407453"/>
    <w:rsid w:val="00407B9C"/>
    <w:rsid w:val="00411FDB"/>
    <w:rsid w:val="00415E68"/>
    <w:rsid w:val="0041733A"/>
    <w:rsid w:val="004201BE"/>
    <w:rsid w:val="0042091F"/>
    <w:rsid w:val="00420C8B"/>
    <w:rsid w:val="00422897"/>
    <w:rsid w:val="00422A07"/>
    <w:rsid w:val="00423461"/>
    <w:rsid w:val="00425BAF"/>
    <w:rsid w:val="0042634F"/>
    <w:rsid w:val="004263AE"/>
    <w:rsid w:val="00426F8D"/>
    <w:rsid w:val="004276BC"/>
    <w:rsid w:val="00430E53"/>
    <w:rsid w:val="00431443"/>
    <w:rsid w:val="00431B6D"/>
    <w:rsid w:val="0043532A"/>
    <w:rsid w:val="00435EE9"/>
    <w:rsid w:val="00436EC7"/>
    <w:rsid w:val="00437D32"/>
    <w:rsid w:val="00440E6F"/>
    <w:rsid w:val="004411DB"/>
    <w:rsid w:val="004416C3"/>
    <w:rsid w:val="00441DA4"/>
    <w:rsid w:val="00442515"/>
    <w:rsid w:val="00443E7D"/>
    <w:rsid w:val="00444736"/>
    <w:rsid w:val="004452F5"/>
    <w:rsid w:val="00445D6D"/>
    <w:rsid w:val="0044762A"/>
    <w:rsid w:val="00447E52"/>
    <w:rsid w:val="004511A8"/>
    <w:rsid w:val="00451CC6"/>
    <w:rsid w:val="00451F31"/>
    <w:rsid w:val="00452E03"/>
    <w:rsid w:val="0045456F"/>
    <w:rsid w:val="0045559C"/>
    <w:rsid w:val="004559DC"/>
    <w:rsid w:val="00455A3F"/>
    <w:rsid w:val="004562C8"/>
    <w:rsid w:val="004563C5"/>
    <w:rsid w:val="00457271"/>
    <w:rsid w:val="00457CDE"/>
    <w:rsid w:val="00457E0A"/>
    <w:rsid w:val="00461B22"/>
    <w:rsid w:val="00461D2B"/>
    <w:rsid w:val="004627EC"/>
    <w:rsid w:val="00462CE7"/>
    <w:rsid w:val="00463768"/>
    <w:rsid w:val="0046437D"/>
    <w:rsid w:val="004649C6"/>
    <w:rsid w:val="00465609"/>
    <w:rsid w:val="004660B0"/>
    <w:rsid w:val="0046709B"/>
    <w:rsid w:val="00467315"/>
    <w:rsid w:val="00467D80"/>
    <w:rsid w:val="00467FBA"/>
    <w:rsid w:val="00470EA9"/>
    <w:rsid w:val="0047158C"/>
    <w:rsid w:val="0047188E"/>
    <w:rsid w:val="00471A32"/>
    <w:rsid w:val="00471FDA"/>
    <w:rsid w:val="00472262"/>
    <w:rsid w:val="0047263E"/>
    <w:rsid w:val="004742B8"/>
    <w:rsid w:val="00475A61"/>
    <w:rsid w:val="00475BA5"/>
    <w:rsid w:val="0047640F"/>
    <w:rsid w:val="00481E74"/>
    <w:rsid w:val="004824A3"/>
    <w:rsid w:val="004851C6"/>
    <w:rsid w:val="004872C6"/>
    <w:rsid w:val="0049011A"/>
    <w:rsid w:val="00491C57"/>
    <w:rsid w:val="0049244A"/>
    <w:rsid w:val="00492E43"/>
    <w:rsid w:val="00494153"/>
    <w:rsid w:val="00495E87"/>
    <w:rsid w:val="00497862"/>
    <w:rsid w:val="004978E4"/>
    <w:rsid w:val="004A02A0"/>
    <w:rsid w:val="004A1B3F"/>
    <w:rsid w:val="004A1B8D"/>
    <w:rsid w:val="004A1D3C"/>
    <w:rsid w:val="004A217A"/>
    <w:rsid w:val="004A26AE"/>
    <w:rsid w:val="004A272C"/>
    <w:rsid w:val="004A2B30"/>
    <w:rsid w:val="004A375F"/>
    <w:rsid w:val="004A3FA1"/>
    <w:rsid w:val="004A570B"/>
    <w:rsid w:val="004A6747"/>
    <w:rsid w:val="004A7F86"/>
    <w:rsid w:val="004B0C23"/>
    <w:rsid w:val="004B15D9"/>
    <w:rsid w:val="004B1755"/>
    <w:rsid w:val="004B1CE6"/>
    <w:rsid w:val="004B22A1"/>
    <w:rsid w:val="004B3D68"/>
    <w:rsid w:val="004B4881"/>
    <w:rsid w:val="004B781D"/>
    <w:rsid w:val="004B7EA5"/>
    <w:rsid w:val="004C1481"/>
    <w:rsid w:val="004C1C7D"/>
    <w:rsid w:val="004C31EE"/>
    <w:rsid w:val="004C50F9"/>
    <w:rsid w:val="004C5201"/>
    <w:rsid w:val="004C54C7"/>
    <w:rsid w:val="004C5593"/>
    <w:rsid w:val="004C57F5"/>
    <w:rsid w:val="004C6101"/>
    <w:rsid w:val="004C7587"/>
    <w:rsid w:val="004D2679"/>
    <w:rsid w:val="004D3F73"/>
    <w:rsid w:val="004D3FB4"/>
    <w:rsid w:val="004D47B7"/>
    <w:rsid w:val="004D515B"/>
    <w:rsid w:val="004D55B1"/>
    <w:rsid w:val="004D5649"/>
    <w:rsid w:val="004D6AA5"/>
    <w:rsid w:val="004D76D8"/>
    <w:rsid w:val="004E0CD6"/>
    <w:rsid w:val="004E0FE7"/>
    <w:rsid w:val="004E1233"/>
    <w:rsid w:val="004E13DA"/>
    <w:rsid w:val="004E3854"/>
    <w:rsid w:val="004E4A71"/>
    <w:rsid w:val="004E5295"/>
    <w:rsid w:val="004E5F82"/>
    <w:rsid w:val="004E7620"/>
    <w:rsid w:val="004F1824"/>
    <w:rsid w:val="004F57BA"/>
    <w:rsid w:val="004F6255"/>
    <w:rsid w:val="004F7137"/>
    <w:rsid w:val="004F76C9"/>
    <w:rsid w:val="004F785D"/>
    <w:rsid w:val="004F7DFE"/>
    <w:rsid w:val="00500292"/>
    <w:rsid w:val="00500DAC"/>
    <w:rsid w:val="00500DE6"/>
    <w:rsid w:val="00501A93"/>
    <w:rsid w:val="00502303"/>
    <w:rsid w:val="005030D2"/>
    <w:rsid w:val="0050505D"/>
    <w:rsid w:val="00505430"/>
    <w:rsid w:val="00505BE4"/>
    <w:rsid w:val="005060A4"/>
    <w:rsid w:val="005069DD"/>
    <w:rsid w:val="00506E64"/>
    <w:rsid w:val="00507193"/>
    <w:rsid w:val="0051089E"/>
    <w:rsid w:val="005109E1"/>
    <w:rsid w:val="00511610"/>
    <w:rsid w:val="00511766"/>
    <w:rsid w:val="00512EC0"/>
    <w:rsid w:val="0051330D"/>
    <w:rsid w:val="00515CB5"/>
    <w:rsid w:val="00516EAF"/>
    <w:rsid w:val="005170CE"/>
    <w:rsid w:val="00523924"/>
    <w:rsid w:val="00523AC7"/>
    <w:rsid w:val="00524339"/>
    <w:rsid w:val="00525404"/>
    <w:rsid w:val="00525FEC"/>
    <w:rsid w:val="0052602A"/>
    <w:rsid w:val="00526AF5"/>
    <w:rsid w:val="00527E7D"/>
    <w:rsid w:val="0053103E"/>
    <w:rsid w:val="0053282E"/>
    <w:rsid w:val="00534F47"/>
    <w:rsid w:val="00535F8B"/>
    <w:rsid w:val="005362A1"/>
    <w:rsid w:val="0053699A"/>
    <w:rsid w:val="00536D4D"/>
    <w:rsid w:val="00537A68"/>
    <w:rsid w:val="005406A4"/>
    <w:rsid w:val="005409B7"/>
    <w:rsid w:val="00541050"/>
    <w:rsid w:val="00541CF8"/>
    <w:rsid w:val="00543728"/>
    <w:rsid w:val="005441EE"/>
    <w:rsid w:val="00546483"/>
    <w:rsid w:val="00547AE8"/>
    <w:rsid w:val="00550FDA"/>
    <w:rsid w:val="005514A0"/>
    <w:rsid w:val="00551A1C"/>
    <w:rsid w:val="00552321"/>
    <w:rsid w:val="00552D9A"/>
    <w:rsid w:val="0055459B"/>
    <w:rsid w:val="00554883"/>
    <w:rsid w:val="00556412"/>
    <w:rsid w:val="005600BF"/>
    <w:rsid w:val="0056021E"/>
    <w:rsid w:val="00561596"/>
    <w:rsid w:val="00566BC3"/>
    <w:rsid w:val="0056775D"/>
    <w:rsid w:val="005709FE"/>
    <w:rsid w:val="00570FDC"/>
    <w:rsid w:val="005718F0"/>
    <w:rsid w:val="00571E16"/>
    <w:rsid w:val="0057294A"/>
    <w:rsid w:val="005738E7"/>
    <w:rsid w:val="00573B72"/>
    <w:rsid w:val="00573FA9"/>
    <w:rsid w:val="00575AC1"/>
    <w:rsid w:val="005767CE"/>
    <w:rsid w:val="00576C2E"/>
    <w:rsid w:val="00580E06"/>
    <w:rsid w:val="00582149"/>
    <w:rsid w:val="0058427A"/>
    <w:rsid w:val="0058597E"/>
    <w:rsid w:val="00585CE3"/>
    <w:rsid w:val="00587291"/>
    <w:rsid w:val="0058744D"/>
    <w:rsid w:val="00590988"/>
    <w:rsid w:val="005912F9"/>
    <w:rsid w:val="00591C8C"/>
    <w:rsid w:val="00591E5D"/>
    <w:rsid w:val="00591EDC"/>
    <w:rsid w:val="00591F69"/>
    <w:rsid w:val="00592EA1"/>
    <w:rsid w:val="00594CAA"/>
    <w:rsid w:val="00595B86"/>
    <w:rsid w:val="005961AB"/>
    <w:rsid w:val="00596EBF"/>
    <w:rsid w:val="00597C4B"/>
    <w:rsid w:val="005A043C"/>
    <w:rsid w:val="005A05FE"/>
    <w:rsid w:val="005A1AFB"/>
    <w:rsid w:val="005A224A"/>
    <w:rsid w:val="005A2F9F"/>
    <w:rsid w:val="005A4194"/>
    <w:rsid w:val="005A47DA"/>
    <w:rsid w:val="005A6134"/>
    <w:rsid w:val="005A6F87"/>
    <w:rsid w:val="005A7FEC"/>
    <w:rsid w:val="005B1FD7"/>
    <w:rsid w:val="005B2377"/>
    <w:rsid w:val="005B30E1"/>
    <w:rsid w:val="005B3A90"/>
    <w:rsid w:val="005B435E"/>
    <w:rsid w:val="005B4670"/>
    <w:rsid w:val="005C01FA"/>
    <w:rsid w:val="005C046D"/>
    <w:rsid w:val="005C1EFC"/>
    <w:rsid w:val="005C2384"/>
    <w:rsid w:val="005C386A"/>
    <w:rsid w:val="005C42B4"/>
    <w:rsid w:val="005C4E10"/>
    <w:rsid w:val="005C5257"/>
    <w:rsid w:val="005C5337"/>
    <w:rsid w:val="005C5FB3"/>
    <w:rsid w:val="005C76A4"/>
    <w:rsid w:val="005C7918"/>
    <w:rsid w:val="005D0C5F"/>
    <w:rsid w:val="005D1813"/>
    <w:rsid w:val="005D1A9B"/>
    <w:rsid w:val="005D3C6B"/>
    <w:rsid w:val="005D5B85"/>
    <w:rsid w:val="005D693A"/>
    <w:rsid w:val="005D6F19"/>
    <w:rsid w:val="005D7C32"/>
    <w:rsid w:val="005E1D27"/>
    <w:rsid w:val="005E2144"/>
    <w:rsid w:val="005E2466"/>
    <w:rsid w:val="005E43A8"/>
    <w:rsid w:val="005E4B08"/>
    <w:rsid w:val="005E5D54"/>
    <w:rsid w:val="005E6B5F"/>
    <w:rsid w:val="005E6E64"/>
    <w:rsid w:val="005E710A"/>
    <w:rsid w:val="005F17BE"/>
    <w:rsid w:val="005F1EF2"/>
    <w:rsid w:val="005F2E4B"/>
    <w:rsid w:val="005F3A7A"/>
    <w:rsid w:val="005F42E6"/>
    <w:rsid w:val="005F4D37"/>
    <w:rsid w:val="005F50B7"/>
    <w:rsid w:val="005F5898"/>
    <w:rsid w:val="005F59CB"/>
    <w:rsid w:val="005F5B77"/>
    <w:rsid w:val="005F636C"/>
    <w:rsid w:val="005F689F"/>
    <w:rsid w:val="005F6B0D"/>
    <w:rsid w:val="005F6DD9"/>
    <w:rsid w:val="005F6E78"/>
    <w:rsid w:val="0060478E"/>
    <w:rsid w:val="0060506D"/>
    <w:rsid w:val="00605AC1"/>
    <w:rsid w:val="00605D38"/>
    <w:rsid w:val="00606B6D"/>
    <w:rsid w:val="00610462"/>
    <w:rsid w:val="006104AF"/>
    <w:rsid w:val="00610CC1"/>
    <w:rsid w:val="0061240C"/>
    <w:rsid w:val="006132D8"/>
    <w:rsid w:val="00613616"/>
    <w:rsid w:val="0061412E"/>
    <w:rsid w:val="00615336"/>
    <w:rsid w:val="006154F2"/>
    <w:rsid w:val="00616E6E"/>
    <w:rsid w:val="0062084A"/>
    <w:rsid w:val="00620E26"/>
    <w:rsid w:val="00620E39"/>
    <w:rsid w:val="00621A6E"/>
    <w:rsid w:val="00621B0C"/>
    <w:rsid w:val="006220D4"/>
    <w:rsid w:val="00622549"/>
    <w:rsid w:val="00622BDD"/>
    <w:rsid w:val="00624E85"/>
    <w:rsid w:val="00624F08"/>
    <w:rsid w:val="00625D1B"/>
    <w:rsid w:val="00627DF4"/>
    <w:rsid w:val="00631A1E"/>
    <w:rsid w:val="00632AF6"/>
    <w:rsid w:val="00636B5B"/>
    <w:rsid w:val="00637168"/>
    <w:rsid w:val="00640507"/>
    <w:rsid w:val="00640A54"/>
    <w:rsid w:val="00640BE2"/>
    <w:rsid w:val="006417B1"/>
    <w:rsid w:val="0064237B"/>
    <w:rsid w:val="006448EE"/>
    <w:rsid w:val="0064735E"/>
    <w:rsid w:val="006474E8"/>
    <w:rsid w:val="0065080C"/>
    <w:rsid w:val="00650B99"/>
    <w:rsid w:val="00650F3E"/>
    <w:rsid w:val="0065255D"/>
    <w:rsid w:val="00652CE1"/>
    <w:rsid w:val="00654141"/>
    <w:rsid w:val="006544F3"/>
    <w:rsid w:val="00655656"/>
    <w:rsid w:val="00656D2E"/>
    <w:rsid w:val="00660B2D"/>
    <w:rsid w:val="00661D2C"/>
    <w:rsid w:val="00661FA5"/>
    <w:rsid w:val="00663324"/>
    <w:rsid w:val="00664723"/>
    <w:rsid w:val="00665E4E"/>
    <w:rsid w:val="00667187"/>
    <w:rsid w:val="00667378"/>
    <w:rsid w:val="0066776B"/>
    <w:rsid w:val="006677C1"/>
    <w:rsid w:val="0067052D"/>
    <w:rsid w:val="00670536"/>
    <w:rsid w:val="006712CD"/>
    <w:rsid w:val="00672603"/>
    <w:rsid w:val="006730DA"/>
    <w:rsid w:val="00673C24"/>
    <w:rsid w:val="00674239"/>
    <w:rsid w:val="006774D5"/>
    <w:rsid w:val="00677846"/>
    <w:rsid w:val="00677ED3"/>
    <w:rsid w:val="0068075B"/>
    <w:rsid w:val="00682820"/>
    <w:rsid w:val="00683E41"/>
    <w:rsid w:val="00684320"/>
    <w:rsid w:val="006862A5"/>
    <w:rsid w:val="00686561"/>
    <w:rsid w:val="00686E72"/>
    <w:rsid w:val="0069153C"/>
    <w:rsid w:val="006919D2"/>
    <w:rsid w:val="0069258E"/>
    <w:rsid w:val="00692803"/>
    <w:rsid w:val="00693157"/>
    <w:rsid w:val="006932E3"/>
    <w:rsid w:val="00693CD2"/>
    <w:rsid w:val="00693EAE"/>
    <w:rsid w:val="00695931"/>
    <w:rsid w:val="00695C93"/>
    <w:rsid w:val="006A143B"/>
    <w:rsid w:val="006A161D"/>
    <w:rsid w:val="006A614B"/>
    <w:rsid w:val="006A62FB"/>
    <w:rsid w:val="006A7274"/>
    <w:rsid w:val="006A78D4"/>
    <w:rsid w:val="006B21B6"/>
    <w:rsid w:val="006B2949"/>
    <w:rsid w:val="006B3382"/>
    <w:rsid w:val="006B34C3"/>
    <w:rsid w:val="006B352F"/>
    <w:rsid w:val="006B3FE2"/>
    <w:rsid w:val="006B6291"/>
    <w:rsid w:val="006B62AE"/>
    <w:rsid w:val="006B7980"/>
    <w:rsid w:val="006C27C9"/>
    <w:rsid w:val="006C3639"/>
    <w:rsid w:val="006C382C"/>
    <w:rsid w:val="006C4922"/>
    <w:rsid w:val="006C4A9A"/>
    <w:rsid w:val="006C4FF3"/>
    <w:rsid w:val="006C5856"/>
    <w:rsid w:val="006D0F27"/>
    <w:rsid w:val="006D10AA"/>
    <w:rsid w:val="006D4107"/>
    <w:rsid w:val="006D44B3"/>
    <w:rsid w:val="006D4C53"/>
    <w:rsid w:val="006D4DC7"/>
    <w:rsid w:val="006D5994"/>
    <w:rsid w:val="006D6517"/>
    <w:rsid w:val="006D6FC1"/>
    <w:rsid w:val="006D7BDA"/>
    <w:rsid w:val="006E0165"/>
    <w:rsid w:val="006E02EF"/>
    <w:rsid w:val="006E03FF"/>
    <w:rsid w:val="006E0952"/>
    <w:rsid w:val="006E2350"/>
    <w:rsid w:val="006E2EE9"/>
    <w:rsid w:val="006E31DA"/>
    <w:rsid w:val="006E4CA3"/>
    <w:rsid w:val="006E4D9A"/>
    <w:rsid w:val="006E5440"/>
    <w:rsid w:val="006E5DA7"/>
    <w:rsid w:val="006F043F"/>
    <w:rsid w:val="006F1603"/>
    <w:rsid w:val="006F16A2"/>
    <w:rsid w:val="006F19F5"/>
    <w:rsid w:val="006F1BD6"/>
    <w:rsid w:val="006F3F36"/>
    <w:rsid w:val="006F5DA3"/>
    <w:rsid w:val="006F644B"/>
    <w:rsid w:val="00702F7B"/>
    <w:rsid w:val="00704A2B"/>
    <w:rsid w:val="00706285"/>
    <w:rsid w:val="00706740"/>
    <w:rsid w:val="00706EE6"/>
    <w:rsid w:val="00710190"/>
    <w:rsid w:val="0071092E"/>
    <w:rsid w:val="00712004"/>
    <w:rsid w:val="00712E5B"/>
    <w:rsid w:val="0071480D"/>
    <w:rsid w:val="0071617D"/>
    <w:rsid w:val="0072096E"/>
    <w:rsid w:val="00721CE9"/>
    <w:rsid w:val="00722469"/>
    <w:rsid w:val="00723662"/>
    <w:rsid w:val="00723738"/>
    <w:rsid w:val="00723BE6"/>
    <w:rsid w:val="007248CB"/>
    <w:rsid w:val="0072548C"/>
    <w:rsid w:val="007257F4"/>
    <w:rsid w:val="00726AA9"/>
    <w:rsid w:val="00727552"/>
    <w:rsid w:val="0073118C"/>
    <w:rsid w:val="00731FC7"/>
    <w:rsid w:val="00732BC9"/>
    <w:rsid w:val="007348DE"/>
    <w:rsid w:val="00736114"/>
    <w:rsid w:val="00736E88"/>
    <w:rsid w:val="00740354"/>
    <w:rsid w:val="007415B7"/>
    <w:rsid w:val="00742A5F"/>
    <w:rsid w:val="007438FF"/>
    <w:rsid w:val="0074529F"/>
    <w:rsid w:val="00745458"/>
    <w:rsid w:val="00745B58"/>
    <w:rsid w:val="0074727D"/>
    <w:rsid w:val="007505E8"/>
    <w:rsid w:val="007531FF"/>
    <w:rsid w:val="00753209"/>
    <w:rsid w:val="0075413C"/>
    <w:rsid w:val="007563C2"/>
    <w:rsid w:val="00756880"/>
    <w:rsid w:val="007604B6"/>
    <w:rsid w:val="00761543"/>
    <w:rsid w:val="00761663"/>
    <w:rsid w:val="00761937"/>
    <w:rsid w:val="00761F60"/>
    <w:rsid w:val="00762D3B"/>
    <w:rsid w:val="00765577"/>
    <w:rsid w:val="00767378"/>
    <w:rsid w:val="0076787A"/>
    <w:rsid w:val="00767B48"/>
    <w:rsid w:val="007701E2"/>
    <w:rsid w:val="00771BA4"/>
    <w:rsid w:val="007730F1"/>
    <w:rsid w:val="00773AA7"/>
    <w:rsid w:val="00774954"/>
    <w:rsid w:val="00774C97"/>
    <w:rsid w:val="00775130"/>
    <w:rsid w:val="00776B5B"/>
    <w:rsid w:val="007772AA"/>
    <w:rsid w:val="00780249"/>
    <w:rsid w:val="007804DC"/>
    <w:rsid w:val="00784F08"/>
    <w:rsid w:val="00785318"/>
    <w:rsid w:val="00785447"/>
    <w:rsid w:val="00786E51"/>
    <w:rsid w:val="00787992"/>
    <w:rsid w:val="00787ED2"/>
    <w:rsid w:val="0079124B"/>
    <w:rsid w:val="0079268F"/>
    <w:rsid w:val="00792FBF"/>
    <w:rsid w:val="00793112"/>
    <w:rsid w:val="0079591B"/>
    <w:rsid w:val="0079671B"/>
    <w:rsid w:val="007969BE"/>
    <w:rsid w:val="007A0201"/>
    <w:rsid w:val="007A1A0A"/>
    <w:rsid w:val="007A295D"/>
    <w:rsid w:val="007A2A3B"/>
    <w:rsid w:val="007A2EFE"/>
    <w:rsid w:val="007A3D55"/>
    <w:rsid w:val="007A4A55"/>
    <w:rsid w:val="007A5039"/>
    <w:rsid w:val="007A5368"/>
    <w:rsid w:val="007A547C"/>
    <w:rsid w:val="007A5B73"/>
    <w:rsid w:val="007A61BD"/>
    <w:rsid w:val="007A7117"/>
    <w:rsid w:val="007A739A"/>
    <w:rsid w:val="007B0420"/>
    <w:rsid w:val="007B15E9"/>
    <w:rsid w:val="007B2C93"/>
    <w:rsid w:val="007B3F04"/>
    <w:rsid w:val="007B5C92"/>
    <w:rsid w:val="007B70E6"/>
    <w:rsid w:val="007B7CBE"/>
    <w:rsid w:val="007C0583"/>
    <w:rsid w:val="007C2655"/>
    <w:rsid w:val="007C3085"/>
    <w:rsid w:val="007C4C46"/>
    <w:rsid w:val="007C6A5F"/>
    <w:rsid w:val="007C6A96"/>
    <w:rsid w:val="007C7036"/>
    <w:rsid w:val="007C7C4C"/>
    <w:rsid w:val="007D07A2"/>
    <w:rsid w:val="007D13E1"/>
    <w:rsid w:val="007D1B4F"/>
    <w:rsid w:val="007D4B7A"/>
    <w:rsid w:val="007D4FCC"/>
    <w:rsid w:val="007D58E9"/>
    <w:rsid w:val="007D68E1"/>
    <w:rsid w:val="007E0671"/>
    <w:rsid w:val="007E0CC5"/>
    <w:rsid w:val="007E2AB4"/>
    <w:rsid w:val="007E2F6B"/>
    <w:rsid w:val="007E44F6"/>
    <w:rsid w:val="007E6799"/>
    <w:rsid w:val="007E7120"/>
    <w:rsid w:val="007F008C"/>
    <w:rsid w:val="007F104C"/>
    <w:rsid w:val="007F153B"/>
    <w:rsid w:val="007F1C74"/>
    <w:rsid w:val="007F23CC"/>
    <w:rsid w:val="007F33BF"/>
    <w:rsid w:val="007F56B3"/>
    <w:rsid w:val="007F7A98"/>
    <w:rsid w:val="00800EC1"/>
    <w:rsid w:val="0080129B"/>
    <w:rsid w:val="00801784"/>
    <w:rsid w:val="00801EC2"/>
    <w:rsid w:val="00802B83"/>
    <w:rsid w:val="00806409"/>
    <w:rsid w:val="0081013A"/>
    <w:rsid w:val="0081036A"/>
    <w:rsid w:val="00811EC1"/>
    <w:rsid w:val="0081242E"/>
    <w:rsid w:val="00813488"/>
    <w:rsid w:val="00813773"/>
    <w:rsid w:val="008137E2"/>
    <w:rsid w:val="00813860"/>
    <w:rsid w:val="00814A0C"/>
    <w:rsid w:val="00814B8B"/>
    <w:rsid w:val="008209BC"/>
    <w:rsid w:val="00821B44"/>
    <w:rsid w:val="008222CC"/>
    <w:rsid w:val="008229C0"/>
    <w:rsid w:val="00823491"/>
    <w:rsid w:val="00825668"/>
    <w:rsid w:val="008258EF"/>
    <w:rsid w:val="00826061"/>
    <w:rsid w:val="00827085"/>
    <w:rsid w:val="00827105"/>
    <w:rsid w:val="008274D9"/>
    <w:rsid w:val="00830E27"/>
    <w:rsid w:val="00830E79"/>
    <w:rsid w:val="00831B9F"/>
    <w:rsid w:val="008363EF"/>
    <w:rsid w:val="00842B43"/>
    <w:rsid w:val="00842DE9"/>
    <w:rsid w:val="0084480A"/>
    <w:rsid w:val="00846689"/>
    <w:rsid w:val="00847AB2"/>
    <w:rsid w:val="00847F97"/>
    <w:rsid w:val="00850A2E"/>
    <w:rsid w:val="00850B88"/>
    <w:rsid w:val="008519F1"/>
    <w:rsid w:val="0085245D"/>
    <w:rsid w:val="008544EC"/>
    <w:rsid w:val="008548E0"/>
    <w:rsid w:val="008566BE"/>
    <w:rsid w:val="008579F6"/>
    <w:rsid w:val="00860A7E"/>
    <w:rsid w:val="00861243"/>
    <w:rsid w:val="00861E71"/>
    <w:rsid w:val="00862E4E"/>
    <w:rsid w:val="00862E5B"/>
    <w:rsid w:val="0086389A"/>
    <w:rsid w:val="00863E3F"/>
    <w:rsid w:val="00864A96"/>
    <w:rsid w:val="00865BAD"/>
    <w:rsid w:val="00866943"/>
    <w:rsid w:val="00866F41"/>
    <w:rsid w:val="00867422"/>
    <w:rsid w:val="00867843"/>
    <w:rsid w:val="0087097F"/>
    <w:rsid w:val="00873D6F"/>
    <w:rsid w:val="008771EC"/>
    <w:rsid w:val="00877619"/>
    <w:rsid w:val="00880026"/>
    <w:rsid w:val="00880622"/>
    <w:rsid w:val="00881089"/>
    <w:rsid w:val="008819BB"/>
    <w:rsid w:val="008823DC"/>
    <w:rsid w:val="00883B7A"/>
    <w:rsid w:val="00883FCA"/>
    <w:rsid w:val="008845DD"/>
    <w:rsid w:val="00884722"/>
    <w:rsid w:val="00885BED"/>
    <w:rsid w:val="00886ACB"/>
    <w:rsid w:val="00887545"/>
    <w:rsid w:val="00887BDA"/>
    <w:rsid w:val="00891416"/>
    <w:rsid w:val="0089278E"/>
    <w:rsid w:val="00893306"/>
    <w:rsid w:val="0089349E"/>
    <w:rsid w:val="00893564"/>
    <w:rsid w:val="0089698C"/>
    <w:rsid w:val="008A036A"/>
    <w:rsid w:val="008A08D3"/>
    <w:rsid w:val="008A09B4"/>
    <w:rsid w:val="008A0E66"/>
    <w:rsid w:val="008A2494"/>
    <w:rsid w:val="008A31C7"/>
    <w:rsid w:val="008A4341"/>
    <w:rsid w:val="008A5DE8"/>
    <w:rsid w:val="008A6012"/>
    <w:rsid w:val="008B002D"/>
    <w:rsid w:val="008B5C24"/>
    <w:rsid w:val="008B67FA"/>
    <w:rsid w:val="008B7A7E"/>
    <w:rsid w:val="008C121C"/>
    <w:rsid w:val="008C2369"/>
    <w:rsid w:val="008C4D10"/>
    <w:rsid w:val="008C52A8"/>
    <w:rsid w:val="008C5B32"/>
    <w:rsid w:val="008C5B49"/>
    <w:rsid w:val="008D029C"/>
    <w:rsid w:val="008D2E56"/>
    <w:rsid w:val="008D3341"/>
    <w:rsid w:val="008D402B"/>
    <w:rsid w:val="008D5863"/>
    <w:rsid w:val="008D5EE7"/>
    <w:rsid w:val="008D63BD"/>
    <w:rsid w:val="008E197C"/>
    <w:rsid w:val="008E1E19"/>
    <w:rsid w:val="008E2EA1"/>
    <w:rsid w:val="008E5FCF"/>
    <w:rsid w:val="008F015F"/>
    <w:rsid w:val="008F01A4"/>
    <w:rsid w:val="008F1A78"/>
    <w:rsid w:val="008F1D32"/>
    <w:rsid w:val="008F2E64"/>
    <w:rsid w:val="008F30B6"/>
    <w:rsid w:val="008F31DD"/>
    <w:rsid w:val="008F38BF"/>
    <w:rsid w:val="008F40B6"/>
    <w:rsid w:val="008F6EF9"/>
    <w:rsid w:val="008F71F4"/>
    <w:rsid w:val="008F7260"/>
    <w:rsid w:val="00901BFC"/>
    <w:rsid w:val="0090342C"/>
    <w:rsid w:val="00904634"/>
    <w:rsid w:val="00904CDC"/>
    <w:rsid w:val="00906371"/>
    <w:rsid w:val="009126C5"/>
    <w:rsid w:val="009134EF"/>
    <w:rsid w:val="00913DAE"/>
    <w:rsid w:val="009215F5"/>
    <w:rsid w:val="00921CBC"/>
    <w:rsid w:val="00922132"/>
    <w:rsid w:val="009249A8"/>
    <w:rsid w:val="00925756"/>
    <w:rsid w:val="00925CD5"/>
    <w:rsid w:val="00927109"/>
    <w:rsid w:val="00927E2E"/>
    <w:rsid w:val="00930189"/>
    <w:rsid w:val="009314BA"/>
    <w:rsid w:val="00933446"/>
    <w:rsid w:val="00934464"/>
    <w:rsid w:val="00935703"/>
    <w:rsid w:val="009360A4"/>
    <w:rsid w:val="00937775"/>
    <w:rsid w:val="00940742"/>
    <w:rsid w:val="009424E9"/>
    <w:rsid w:val="00942CAF"/>
    <w:rsid w:val="009467F1"/>
    <w:rsid w:val="009505F5"/>
    <w:rsid w:val="0095067E"/>
    <w:rsid w:val="00953051"/>
    <w:rsid w:val="0095360C"/>
    <w:rsid w:val="00956696"/>
    <w:rsid w:val="00956C30"/>
    <w:rsid w:val="00956CE2"/>
    <w:rsid w:val="00957F31"/>
    <w:rsid w:val="009618FE"/>
    <w:rsid w:val="00963A38"/>
    <w:rsid w:val="009649CE"/>
    <w:rsid w:val="00965C87"/>
    <w:rsid w:val="00974BDC"/>
    <w:rsid w:val="00975509"/>
    <w:rsid w:val="00975DC1"/>
    <w:rsid w:val="0097604B"/>
    <w:rsid w:val="00980C3D"/>
    <w:rsid w:val="00984A9D"/>
    <w:rsid w:val="00984D56"/>
    <w:rsid w:val="009861C7"/>
    <w:rsid w:val="009875FF"/>
    <w:rsid w:val="009901A9"/>
    <w:rsid w:val="00993155"/>
    <w:rsid w:val="009931BB"/>
    <w:rsid w:val="009943BF"/>
    <w:rsid w:val="00994D80"/>
    <w:rsid w:val="00994EBA"/>
    <w:rsid w:val="00995299"/>
    <w:rsid w:val="00995C93"/>
    <w:rsid w:val="0099602A"/>
    <w:rsid w:val="00996425"/>
    <w:rsid w:val="00996DC5"/>
    <w:rsid w:val="00997AA5"/>
    <w:rsid w:val="00997BC1"/>
    <w:rsid w:val="009A2056"/>
    <w:rsid w:val="009A3273"/>
    <w:rsid w:val="009A3356"/>
    <w:rsid w:val="009A339F"/>
    <w:rsid w:val="009A4238"/>
    <w:rsid w:val="009A451D"/>
    <w:rsid w:val="009A4680"/>
    <w:rsid w:val="009A56D9"/>
    <w:rsid w:val="009A6E90"/>
    <w:rsid w:val="009A72BC"/>
    <w:rsid w:val="009A7FA6"/>
    <w:rsid w:val="009B1852"/>
    <w:rsid w:val="009B6923"/>
    <w:rsid w:val="009B7E72"/>
    <w:rsid w:val="009B7FAE"/>
    <w:rsid w:val="009C0B20"/>
    <w:rsid w:val="009C3029"/>
    <w:rsid w:val="009C49CE"/>
    <w:rsid w:val="009C52C6"/>
    <w:rsid w:val="009C5A0E"/>
    <w:rsid w:val="009C608D"/>
    <w:rsid w:val="009C66A8"/>
    <w:rsid w:val="009C6774"/>
    <w:rsid w:val="009D1764"/>
    <w:rsid w:val="009D2CE8"/>
    <w:rsid w:val="009D3939"/>
    <w:rsid w:val="009D40B3"/>
    <w:rsid w:val="009D41EB"/>
    <w:rsid w:val="009D4955"/>
    <w:rsid w:val="009D4FA8"/>
    <w:rsid w:val="009D667E"/>
    <w:rsid w:val="009E0370"/>
    <w:rsid w:val="009E03FA"/>
    <w:rsid w:val="009E1140"/>
    <w:rsid w:val="009E1490"/>
    <w:rsid w:val="009E1F16"/>
    <w:rsid w:val="009E5EB9"/>
    <w:rsid w:val="009E79BC"/>
    <w:rsid w:val="009E7DDD"/>
    <w:rsid w:val="009F06F1"/>
    <w:rsid w:val="009F0BF9"/>
    <w:rsid w:val="009F156C"/>
    <w:rsid w:val="009F18CD"/>
    <w:rsid w:val="009F1AFC"/>
    <w:rsid w:val="009F1D80"/>
    <w:rsid w:val="009F3D4A"/>
    <w:rsid w:val="009F5151"/>
    <w:rsid w:val="009F5E2D"/>
    <w:rsid w:val="00A005C4"/>
    <w:rsid w:val="00A01B85"/>
    <w:rsid w:val="00A027E2"/>
    <w:rsid w:val="00A03FA5"/>
    <w:rsid w:val="00A05355"/>
    <w:rsid w:val="00A0602B"/>
    <w:rsid w:val="00A06836"/>
    <w:rsid w:val="00A06AE6"/>
    <w:rsid w:val="00A104AB"/>
    <w:rsid w:val="00A12A3A"/>
    <w:rsid w:val="00A12B50"/>
    <w:rsid w:val="00A12CD8"/>
    <w:rsid w:val="00A1477A"/>
    <w:rsid w:val="00A154B5"/>
    <w:rsid w:val="00A15741"/>
    <w:rsid w:val="00A16277"/>
    <w:rsid w:val="00A16B74"/>
    <w:rsid w:val="00A177A6"/>
    <w:rsid w:val="00A17E81"/>
    <w:rsid w:val="00A20DAB"/>
    <w:rsid w:val="00A2169A"/>
    <w:rsid w:val="00A23674"/>
    <w:rsid w:val="00A25344"/>
    <w:rsid w:val="00A25EA9"/>
    <w:rsid w:val="00A265E1"/>
    <w:rsid w:val="00A26AA9"/>
    <w:rsid w:val="00A30229"/>
    <w:rsid w:val="00A30396"/>
    <w:rsid w:val="00A309FB"/>
    <w:rsid w:val="00A320EA"/>
    <w:rsid w:val="00A324CA"/>
    <w:rsid w:val="00A416DC"/>
    <w:rsid w:val="00A416FA"/>
    <w:rsid w:val="00A41A3D"/>
    <w:rsid w:val="00A42D20"/>
    <w:rsid w:val="00A43492"/>
    <w:rsid w:val="00A43AF7"/>
    <w:rsid w:val="00A45326"/>
    <w:rsid w:val="00A454E1"/>
    <w:rsid w:val="00A46782"/>
    <w:rsid w:val="00A468CF"/>
    <w:rsid w:val="00A46B33"/>
    <w:rsid w:val="00A473FA"/>
    <w:rsid w:val="00A4797F"/>
    <w:rsid w:val="00A50A82"/>
    <w:rsid w:val="00A510ED"/>
    <w:rsid w:val="00A51B29"/>
    <w:rsid w:val="00A5318A"/>
    <w:rsid w:val="00A53AF7"/>
    <w:rsid w:val="00A54479"/>
    <w:rsid w:val="00A55E31"/>
    <w:rsid w:val="00A57506"/>
    <w:rsid w:val="00A577E2"/>
    <w:rsid w:val="00A600AB"/>
    <w:rsid w:val="00A6014F"/>
    <w:rsid w:val="00A6177F"/>
    <w:rsid w:val="00A6210B"/>
    <w:rsid w:val="00A65253"/>
    <w:rsid w:val="00A65E57"/>
    <w:rsid w:val="00A67576"/>
    <w:rsid w:val="00A67DE0"/>
    <w:rsid w:val="00A725AE"/>
    <w:rsid w:val="00A731D9"/>
    <w:rsid w:val="00A734CA"/>
    <w:rsid w:val="00A7369E"/>
    <w:rsid w:val="00A73873"/>
    <w:rsid w:val="00A73D6E"/>
    <w:rsid w:val="00A745D0"/>
    <w:rsid w:val="00A74988"/>
    <w:rsid w:val="00A76264"/>
    <w:rsid w:val="00A76BAA"/>
    <w:rsid w:val="00A77690"/>
    <w:rsid w:val="00A8019C"/>
    <w:rsid w:val="00A816D5"/>
    <w:rsid w:val="00A821C9"/>
    <w:rsid w:val="00A8253D"/>
    <w:rsid w:val="00A827B1"/>
    <w:rsid w:val="00A82E5E"/>
    <w:rsid w:val="00A833BB"/>
    <w:rsid w:val="00A838D1"/>
    <w:rsid w:val="00A84925"/>
    <w:rsid w:val="00A84D61"/>
    <w:rsid w:val="00A85AB5"/>
    <w:rsid w:val="00A85C7A"/>
    <w:rsid w:val="00A85C99"/>
    <w:rsid w:val="00A861CA"/>
    <w:rsid w:val="00A864B7"/>
    <w:rsid w:val="00A869C3"/>
    <w:rsid w:val="00A86A2E"/>
    <w:rsid w:val="00A9009D"/>
    <w:rsid w:val="00A90502"/>
    <w:rsid w:val="00A90BF2"/>
    <w:rsid w:val="00A921E3"/>
    <w:rsid w:val="00A92576"/>
    <w:rsid w:val="00A92DE0"/>
    <w:rsid w:val="00A92E85"/>
    <w:rsid w:val="00A944A1"/>
    <w:rsid w:val="00A95537"/>
    <w:rsid w:val="00A9690F"/>
    <w:rsid w:val="00A96B1A"/>
    <w:rsid w:val="00A96D10"/>
    <w:rsid w:val="00A97BEC"/>
    <w:rsid w:val="00AA0555"/>
    <w:rsid w:val="00AA0852"/>
    <w:rsid w:val="00AA2506"/>
    <w:rsid w:val="00AA4661"/>
    <w:rsid w:val="00AA7958"/>
    <w:rsid w:val="00AB00C7"/>
    <w:rsid w:val="00AB1D6A"/>
    <w:rsid w:val="00AB381F"/>
    <w:rsid w:val="00AB3CFE"/>
    <w:rsid w:val="00AB532E"/>
    <w:rsid w:val="00AB5591"/>
    <w:rsid w:val="00AB6245"/>
    <w:rsid w:val="00AB68C4"/>
    <w:rsid w:val="00AB7613"/>
    <w:rsid w:val="00AB7899"/>
    <w:rsid w:val="00AC06A7"/>
    <w:rsid w:val="00AC0E9D"/>
    <w:rsid w:val="00AC3156"/>
    <w:rsid w:val="00AC365E"/>
    <w:rsid w:val="00AC4A9C"/>
    <w:rsid w:val="00AC58CF"/>
    <w:rsid w:val="00AC5B42"/>
    <w:rsid w:val="00AC5DED"/>
    <w:rsid w:val="00AD0509"/>
    <w:rsid w:val="00AD1397"/>
    <w:rsid w:val="00AD14EC"/>
    <w:rsid w:val="00AD249A"/>
    <w:rsid w:val="00AD3048"/>
    <w:rsid w:val="00AD4296"/>
    <w:rsid w:val="00AD487F"/>
    <w:rsid w:val="00AD70CB"/>
    <w:rsid w:val="00AE06F0"/>
    <w:rsid w:val="00AE1AEB"/>
    <w:rsid w:val="00AE2134"/>
    <w:rsid w:val="00AE2669"/>
    <w:rsid w:val="00AE2FCE"/>
    <w:rsid w:val="00AE3C67"/>
    <w:rsid w:val="00AE4341"/>
    <w:rsid w:val="00AE4681"/>
    <w:rsid w:val="00AE593F"/>
    <w:rsid w:val="00AE5980"/>
    <w:rsid w:val="00AE706E"/>
    <w:rsid w:val="00AF005F"/>
    <w:rsid w:val="00AF08A7"/>
    <w:rsid w:val="00AF0B26"/>
    <w:rsid w:val="00AF1AB5"/>
    <w:rsid w:val="00AF23F5"/>
    <w:rsid w:val="00AF2E03"/>
    <w:rsid w:val="00AF3722"/>
    <w:rsid w:val="00AF46C0"/>
    <w:rsid w:val="00AF4E66"/>
    <w:rsid w:val="00AF5770"/>
    <w:rsid w:val="00AF685F"/>
    <w:rsid w:val="00B0043C"/>
    <w:rsid w:val="00B013C5"/>
    <w:rsid w:val="00B0163B"/>
    <w:rsid w:val="00B04C9A"/>
    <w:rsid w:val="00B04F8C"/>
    <w:rsid w:val="00B05254"/>
    <w:rsid w:val="00B0676F"/>
    <w:rsid w:val="00B06982"/>
    <w:rsid w:val="00B071CF"/>
    <w:rsid w:val="00B07676"/>
    <w:rsid w:val="00B15A6E"/>
    <w:rsid w:val="00B16526"/>
    <w:rsid w:val="00B201A7"/>
    <w:rsid w:val="00B205D8"/>
    <w:rsid w:val="00B213E7"/>
    <w:rsid w:val="00B21A9B"/>
    <w:rsid w:val="00B23151"/>
    <w:rsid w:val="00B23461"/>
    <w:rsid w:val="00B23D77"/>
    <w:rsid w:val="00B26FF0"/>
    <w:rsid w:val="00B27387"/>
    <w:rsid w:val="00B27E6E"/>
    <w:rsid w:val="00B30AFA"/>
    <w:rsid w:val="00B318C9"/>
    <w:rsid w:val="00B3436A"/>
    <w:rsid w:val="00B34F5F"/>
    <w:rsid w:val="00B3590D"/>
    <w:rsid w:val="00B35B49"/>
    <w:rsid w:val="00B402A3"/>
    <w:rsid w:val="00B4385D"/>
    <w:rsid w:val="00B43D17"/>
    <w:rsid w:val="00B443F0"/>
    <w:rsid w:val="00B46024"/>
    <w:rsid w:val="00B46BCC"/>
    <w:rsid w:val="00B46F4F"/>
    <w:rsid w:val="00B5160B"/>
    <w:rsid w:val="00B52205"/>
    <w:rsid w:val="00B522DD"/>
    <w:rsid w:val="00B5322D"/>
    <w:rsid w:val="00B53C8E"/>
    <w:rsid w:val="00B56615"/>
    <w:rsid w:val="00B56E40"/>
    <w:rsid w:val="00B60289"/>
    <w:rsid w:val="00B61A1C"/>
    <w:rsid w:val="00B63F37"/>
    <w:rsid w:val="00B64886"/>
    <w:rsid w:val="00B677FB"/>
    <w:rsid w:val="00B70105"/>
    <w:rsid w:val="00B703C0"/>
    <w:rsid w:val="00B70713"/>
    <w:rsid w:val="00B70DD7"/>
    <w:rsid w:val="00B732A0"/>
    <w:rsid w:val="00B73911"/>
    <w:rsid w:val="00B75719"/>
    <w:rsid w:val="00B75852"/>
    <w:rsid w:val="00B75A66"/>
    <w:rsid w:val="00B760F0"/>
    <w:rsid w:val="00B80B3A"/>
    <w:rsid w:val="00B8305C"/>
    <w:rsid w:val="00B833D1"/>
    <w:rsid w:val="00B844DC"/>
    <w:rsid w:val="00B876A1"/>
    <w:rsid w:val="00B90074"/>
    <w:rsid w:val="00B90397"/>
    <w:rsid w:val="00B90733"/>
    <w:rsid w:val="00B90B2D"/>
    <w:rsid w:val="00B942EA"/>
    <w:rsid w:val="00B953CC"/>
    <w:rsid w:val="00B965F1"/>
    <w:rsid w:val="00B966C6"/>
    <w:rsid w:val="00B96A0D"/>
    <w:rsid w:val="00B974A4"/>
    <w:rsid w:val="00BA1241"/>
    <w:rsid w:val="00BA1860"/>
    <w:rsid w:val="00BA24C2"/>
    <w:rsid w:val="00BA277B"/>
    <w:rsid w:val="00BA2A24"/>
    <w:rsid w:val="00BA3439"/>
    <w:rsid w:val="00BA3BE7"/>
    <w:rsid w:val="00BA3E31"/>
    <w:rsid w:val="00BA51A0"/>
    <w:rsid w:val="00BA5A04"/>
    <w:rsid w:val="00BA7AC6"/>
    <w:rsid w:val="00BB1148"/>
    <w:rsid w:val="00BB1299"/>
    <w:rsid w:val="00BB73F1"/>
    <w:rsid w:val="00BC0E70"/>
    <w:rsid w:val="00BC1E61"/>
    <w:rsid w:val="00BC2453"/>
    <w:rsid w:val="00BC4823"/>
    <w:rsid w:val="00BC580A"/>
    <w:rsid w:val="00BD079E"/>
    <w:rsid w:val="00BD1512"/>
    <w:rsid w:val="00BD2BF1"/>
    <w:rsid w:val="00BD3007"/>
    <w:rsid w:val="00BD39E4"/>
    <w:rsid w:val="00BD43AF"/>
    <w:rsid w:val="00BD5376"/>
    <w:rsid w:val="00BD6A2F"/>
    <w:rsid w:val="00BD6D0E"/>
    <w:rsid w:val="00BD6F11"/>
    <w:rsid w:val="00BE216A"/>
    <w:rsid w:val="00BE3A3B"/>
    <w:rsid w:val="00BE3E30"/>
    <w:rsid w:val="00BE52B8"/>
    <w:rsid w:val="00BE67D2"/>
    <w:rsid w:val="00BE729A"/>
    <w:rsid w:val="00BE79AC"/>
    <w:rsid w:val="00BF1A13"/>
    <w:rsid w:val="00BF2F67"/>
    <w:rsid w:val="00BF5801"/>
    <w:rsid w:val="00BF5F50"/>
    <w:rsid w:val="00C00763"/>
    <w:rsid w:val="00C008FB"/>
    <w:rsid w:val="00C00FB4"/>
    <w:rsid w:val="00C030AC"/>
    <w:rsid w:val="00C046B0"/>
    <w:rsid w:val="00C04ED2"/>
    <w:rsid w:val="00C0507E"/>
    <w:rsid w:val="00C05708"/>
    <w:rsid w:val="00C06228"/>
    <w:rsid w:val="00C0628F"/>
    <w:rsid w:val="00C10938"/>
    <w:rsid w:val="00C10EA6"/>
    <w:rsid w:val="00C154E7"/>
    <w:rsid w:val="00C211E2"/>
    <w:rsid w:val="00C222CA"/>
    <w:rsid w:val="00C22373"/>
    <w:rsid w:val="00C22D78"/>
    <w:rsid w:val="00C25A9B"/>
    <w:rsid w:val="00C27D17"/>
    <w:rsid w:val="00C32126"/>
    <w:rsid w:val="00C33581"/>
    <w:rsid w:val="00C35D84"/>
    <w:rsid w:val="00C36B74"/>
    <w:rsid w:val="00C36DA4"/>
    <w:rsid w:val="00C3710F"/>
    <w:rsid w:val="00C40056"/>
    <w:rsid w:val="00C40294"/>
    <w:rsid w:val="00C405D2"/>
    <w:rsid w:val="00C40EBB"/>
    <w:rsid w:val="00C41119"/>
    <w:rsid w:val="00C415B8"/>
    <w:rsid w:val="00C415FC"/>
    <w:rsid w:val="00C41B38"/>
    <w:rsid w:val="00C446DA"/>
    <w:rsid w:val="00C45676"/>
    <w:rsid w:val="00C456D1"/>
    <w:rsid w:val="00C46BA1"/>
    <w:rsid w:val="00C52144"/>
    <w:rsid w:val="00C53E4F"/>
    <w:rsid w:val="00C55E7A"/>
    <w:rsid w:val="00C56748"/>
    <w:rsid w:val="00C62C70"/>
    <w:rsid w:val="00C644AD"/>
    <w:rsid w:val="00C65294"/>
    <w:rsid w:val="00C658DD"/>
    <w:rsid w:val="00C65BB9"/>
    <w:rsid w:val="00C73487"/>
    <w:rsid w:val="00C77323"/>
    <w:rsid w:val="00C778E9"/>
    <w:rsid w:val="00C80371"/>
    <w:rsid w:val="00C809AB"/>
    <w:rsid w:val="00C8201D"/>
    <w:rsid w:val="00C85AAE"/>
    <w:rsid w:val="00C85E7E"/>
    <w:rsid w:val="00C8685E"/>
    <w:rsid w:val="00C86B8A"/>
    <w:rsid w:val="00C877D5"/>
    <w:rsid w:val="00C87D2E"/>
    <w:rsid w:val="00C87ED3"/>
    <w:rsid w:val="00C9093E"/>
    <w:rsid w:val="00C9344B"/>
    <w:rsid w:val="00C934E1"/>
    <w:rsid w:val="00C93691"/>
    <w:rsid w:val="00C93B97"/>
    <w:rsid w:val="00C93DD6"/>
    <w:rsid w:val="00C94A7C"/>
    <w:rsid w:val="00C97D74"/>
    <w:rsid w:val="00CA13DD"/>
    <w:rsid w:val="00CA2CCC"/>
    <w:rsid w:val="00CA33E3"/>
    <w:rsid w:val="00CA364E"/>
    <w:rsid w:val="00CA6E86"/>
    <w:rsid w:val="00CB02C1"/>
    <w:rsid w:val="00CB0838"/>
    <w:rsid w:val="00CB088C"/>
    <w:rsid w:val="00CB1263"/>
    <w:rsid w:val="00CB1AE7"/>
    <w:rsid w:val="00CB2BDF"/>
    <w:rsid w:val="00CB367B"/>
    <w:rsid w:val="00CB4186"/>
    <w:rsid w:val="00CB4D85"/>
    <w:rsid w:val="00CB5F45"/>
    <w:rsid w:val="00CC054E"/>
    <w:rsid w:val="00CC1B1E"/>
    <w:rsid w:val="00CC446E"/>
    <w:rsid w:val="00CC4851"/>
    <w:rsid w:val="00CC5B39"/>
    <w:rsid w:val="00CC5E74"/>
    <w:rsid w:val="00CC7166"/>
    <w:rsid w:val="00CD0184"/>
    <w:rsid w:val="00CD06B5"/>
    <w:rsid w:val="00CD0827"/>
    <w:rsid w:val="00CD111E"/>
    <w:rsid w:val="00CD19AD"/>
    <w:rsid w:val="00CD1D04"/>
    <w:rsid w:val="00CD28EF"/>
    <w:rsid w:val="00CD2B32"/>
    <w:rsid w:val="00CD38C9"/>
    <w:rsid w:val="00CD4203"/>
    <w:rsid w:val="00CD4B6E"/>
    <w:rsid w:val="00CD62FC"/>
    <w:rsid w:val="00CE132F"/>
    <w:rsid w:val="00CE14AC"/>
    <w:rsid w:val="00CE3386"/>
    <w:rsid w:val="00CE64AD"/>
    <w:rsid w:val="00CE6C2B"/>
    <w:rsid w:val="00CE75D6"/>
    <w:rsid w:val="00CF09C0"/>
    <w:rsid w:val="00CF1B4C"/>
    <w:rsid w:val="00CF1D90"/>
    <w:rsid w:val="00CF4633"/>
    <w:rsid w:val="00CF4CE1"/>
    <w:rsid w:val="00CF57D6"/>
    <w:rsid w:val="00CF60FD"/>
    <w:rsid w:val="00CF6739"/>
    <w:rsid w:val="00D00413"/>
    <w:rsid w:val="00D009C8"/>
    <w:rsid w:val="00D01160"/>
    <w:rsid w:val="00D039F4"/>
    <w:rsid w:val="00D03ED3"/>
    <w:rsid w:val="00D03F54"/>
    <w:rsid w:val="00D042D0"/>
    <w:rsid w:val="00D051B6"/>
    <w:rsid w:val="00D053E3"/>
    <w:rsid w:val="00D0609C"/>
    <w:rsid w:val="00D078E8"/>
    <w:rsid w:val="00D07BAE"/>
    <w:rsid w:val="00D10883"/>
    <w:rsid w:val="00D11C02"/>
    <w:rsid w:val="00D12689"/>
    <w:rsid w:val="00D1344A"/>
    <w:rsid w:val="00D15314"/>
    <w:rsid w:val="00D158FA"/>
    <w:rsid w:val="00D16137"/>
    <w:rsid w:val="00D1641D"/>
    <w:rsid w:val="00D206E4"/>
    <w:rsid w:val="00D20A7B"/>
    <w:rsid w:val="00D21BA9"/>
    <w:rsid w:val="00D21EBC"/>
    <w:rsid w:val="00D22E66"/>
    <w:rsid w:val="00D242A2"/>
    <w:rsid w:val="00D24560"/>
    <w:rsid w:val="00D2510A"/>
    <w:rsid w:val="00D25DBE"/>
    <w:rsid w:val="00D273D5"/>
    <w:rsid w:val="00D30FD7"/>
    <w:rsid w:val="00D31549"/>
    <w:rsid w:val="00D319DE"/>
    <w:rsid w:val="00D335B5"/>
    <w:rsid w:val="00D33D0C"/>
    <w:rsid w:val="00D3435F"/>
    <w:rsid w:val="00D36422"/>
    <w:rsid w:val="00D37759"/>
    <w:rsid w:val="00D37B45"/>
    <w:rsid w:val="00D37D30"/>
    <w:rsid w:val="00D42CCC"/>
    <w:rsid w:val="00D4364D"/>
    <w:rsid w:val="00D439DA"/>
    <w:rsid w:val="00D43B65"/>
    <w:rsid w:val="00D44D70"/>
    <w:rsid w:val="00D450EF"/>
    <w:rsid w:val="00D452ED"/>
    <w:rsid w:val="00D4564F"/>
    <w:rsid w:val="00D45893"/>
    <w:rsid w:val="00D474A3"/>
    <w:rsid w:val="00D47BF3"/>
    <w:rsid w:val="00D50654"/>
    <w:rsid w:val="00D5127D"/>
    <w:rsid w:val="00D518A6"/>
    <w:rsid w:val="00D52089"/>
    <w:rsid w:val="00D53139"/>
    <w:rsid w:val="00D53179"/>
    <w:rsid w:val="00D54257"/>
    <w:rsid w:val="00D54D32"/>
    <w:rsid w:val="00D558E4"/>
    <w:rsid w:val="00D57CC7"/>
    <w:rsid w:val="00D601F7"/>
    <w:rsid w:val="00D60819"/>
    <w:rsid w:val="00D609A8"/>
    <w:rsid w:val="00D61314"/>
    <w:rsid w:val="00D61710"/>
    <w:rsid w:val="00D61E9E"/>
    <w:rsid w:val="00D66346"/>
    <w:rsid w:val="00D668D7"/>
    <w:rsid w:val="00D66CB4"/>
    <w:rsid w:val="00D7066F"/>
    <w:rsid w:val="00D70884"/>
    <w:rsid w:val="00D70A2B"/>
    <w:rsid w:val="00D71EAD"/>
    <w:rsid w:val="00D72291"/>
    <w:rsid w:val="00D75227"/>
    <w:rsid w:val="00D76DC6"/>
    <w:rsid w:val="00D76E19"/>
    <w:rsid w:val="00D8070D"/>
    <w:rsid w:val="00D82A92"/>
    <w:rsid w:val="00D82C80"/>
    <w:rsid w:val="00D82DD9"/>
    <w:rsid w:val="00D835FC"/>
    <w:rsid w:val="00D83A2B"/>
    <w:rsid w:val="00D842BB"/>
    <w:rsid w:val="00D844AC"/>
    <w:rsid w:val="00D84525"/>
    <w:rsid w:val="00D85783"/>
    <w:rsid w:val="00D86F26"/>
    <w:rsid w:val="00D87F1F"/>
    <w:rsid w:val="00D908FD"/>
    <w:rsid w:val="00D90F20"/>
    <w:rsid w:val="00D91A6C"/>
    <w:rsid w:val="00D91B52"/>
    <w:rsid w:val="00D950CE"/>
    <w:rsid w:val="00D95A75"/>
    <w:rsid w:val="00D96BFC"/>
    <w:rsid w:val="00D9764E"/>
    <w:rsid w:val="00DA2AB5"/>
    <w:rsid w:val="00DA3B77"/>
    <w:rsid w:val="00DA40B0"/>
    <w:rsid w:val="00DA6084"/>
    <w:rsid w:val="00DB008B"/>
    <w:rsid w:val="00DB06BC"/>
    <w:rsid w:val="00DB293E"/>
    <w:rsid w:val="00DB33BA"/>
    <w:rsid w:val="00DB6659"/>
    <w:rsid w:val="00DB7240"/>
    <w:rsid w:val="00DB72EA"/>
    <w:rsid w:val="00DB79FF"/>
    <w:rsid w:val="00DC096C"/>
    <w:rsid w:val="00DC188B"/>
    <w:rsid w:val="00DC39ED"/>
    <w:rsid w:val="00DC4A71"/>
    <w:rsid w:val="00DC5176"/>
    <w:rsid w:val="00DC53CD"/>
    <w:rsid w:val="00DC574E"/>
    <w:rsid w:val="00DC683A"/>
    <w:rsid w:val="00DC6D13"/>
    <w:rsid w:val="00DC78C0"/>
    <w:rsid w:val="00DD0CD4"/>
    <w:rsid w:val="00DD13E8"/>
    <w:rsid w:val="00DD2346"/>
    <w:rsid w:val="00DD24BA"/>
    <w:rsid w:val="00DD426F"/>
    <w:rsid w:val="00DD7B16"/>
    <w:rsid w:val="00DE2446"/>
    <w:rsid w:val="00DE48E3"/>
    <w:rsid w:val="00DE6165"/>
    <w:rsid w:val="00DE71A3"/>
    <w:rsid w:val="00DE73EB"/>
    <w:rsid w:val="00DE7CE0"/>
    <w:rsid w:val="00DF01AA"/>
    <w:rsid w:val="00DF1724"/>
    <w:rsid w:val="00DF1836"/>
    <w:rsid w:val="00DF2EDB"/>
    <w:rsid w:val="00DF353B"/>
    <w:rsid w:val="00DF3EE6"/>
    <w:rsid w:val="00DF3F38"/>
    <w:rsid w:val="00DF4D27"/>
    <w:rsid w:val="00DF5CC3"/>
    <w:rsid w:val="00DF7CF6"/>
    <w:rsid w:val="00E015C6"/>
    <w:rsid w:val="00E01F9D"/>
    <w:rsid w:val="00E05C8C"/>
    <w:rsid w:val="00E07D31"/>
    <w:rsid w:val="00E10BA8"/>
    <w:rsid w:val="00E1100C"/>
    <w:rsid w:val="00E12AF6"/>
    <w:rsid w:val="00E16DCE"/>
    <w:rsid w:val="00E176B1"/>
    <w:rsid w:val="00E2092B"/>
    <w:rsid w:val="00E21170"/>
    <w:rsid w:val="00E21D5B"/>
    <w:rsid w:val="00E2387A"/>
    <w:rsid w:val="00E23D80"/>
    <w:rsid w:val="00E2444F"/>
    <w:rsid w:val="00E2462A"/>
    <w:rsid w:val="00E2582A"/>
    <w:rsid w:val="00E2610D"/>
    <w:rsid w:val="00E302D8"/>
    <w:rsid w:val="00E309AA"/>
    <w:rsid w:val="00E316AA"/>
    <w:rsid w:val="00E35815"/>
    <w:rsid w:val="00E35986"/>
    <w:rsid w:val="00E35B83"/>
    <w:rsid w:val="00E36B6D"/>
    <w:rsid w:val="00E4232C"/>
    <w:rsid w:val="00E4233F"/>
    <w:rsid w:val="00E43751"/>
    <w:rsid w:val="00E44C81"/>
    <w:rsid w:val="00E44FCD"/>
    <w:rsid w:val="00E46041"/>
    <w:rsid w:val="00E465EC"/>
    <w:rsid w:val="00E502EE"/>
    <w:rsid w:val="00E51129"/>
    <w:rsid w:val="00E51788"/>
    <w:rsid w:val="00E530B9"/>
    <w:rsid w:val="00E53E43"/>
    <w:rsid w:val="00E54729"/>
    <w:rsid w:val="00E5489B"/>
    <w:rsid w:val="00E60068"/>
    <w:rsid w:val="00E616BB"/>
    <w:rsid w:val="00E61F97"/>
    <w:rsid w:val="00E620E5"/>
    <w:rsid w:val="00E63A50"/>
    <w:rsid w:val="00E6524C"/>
    <w:rsid w:val="00E6555A"/>
    <w:rsid w:val="00E71B2D"/>
    <w:rsid w:val="00E7265F"/>
    <w:rsid w:val="00E72E9B"/>
    <w:rsid w:val="00E75B60"/>
    <w:rsid w:val="00E75D59"/>
    <w:rsid w:val="00E76828"/>
    <w:rsid w:val="00E76D22"/>
    <w:rsid w:val="00E773A8"/>
    <w:rsid w:val="00E807DE"/>
    <w:rsid w:val="00E80C85"/>
    <w:rsid w:val="00E8612C"/>
    <w:rsid w:val="00E864C1"/>
    <w:rsid w:val="00E864FF"/>
    <w:rsid w:val="00E86DF0"/>
    <w:rsid w:val="00E87747"/>
    <w:rsid w:val="00E879B8"/>
    <w:rsid w:val="00E87BF7"/>
    <w:rsid w:val="00E903A9"/>
    <w:rsid w:val="00E91DB1"/>
    <w:rsid w:val="00E92174"/>
    <w:rsid w:val="00E94645"/>
    <w:rsid w:val="00E95793"/>
    <w:rsid w:val="00E95FA4"/>
    <w:rsid w:val="00E97DEF"/>
    <w:rsid w:val="00EA00D3"/>
    <w:rsid w:val="00EA13FE"/>
    <w:rsid w:val="00EA2542"/>
    <w:rsid w:val="00EA2E86"/>
    <w:rsid w:val="00EA6A80"/>
    <w:rsid w:val="00EA7848"/>
    <w:rsid w:val="00EB0C3B"/>
    <w:rsid w:val="00EB11F2"/>
    <w:rsid w:val="00EB3218"/>
    <w:rsid w:val="00EB66C5"/>
    <w:rsid w:val="00EC1581"/>
    <w:rsid w:val="00EC48D7"/>
    <w:rsid w:val="00EC5A29"/>
    <w:rsid w:val="00EC677F"/>
    <w:rsid w:val="00EC7878"/>
    <w:rsid w:val="00ED08AA"/>
    <w:rsid w:val="00ED0958"/>
    <w:rsid w:val="00ED0B38"/>
    <w:rsid w:val="00ED1966"/>
    <w:rsid w:val="00ED220C"/>
    <w:rsid w:val="00ED5DD1"/>
    <w:rsid w:val="00ED7333"/>
    <w:rsid w:val="00EE1047"/>
    <w:rsid w:val="00EE1866"/>
    <w:rsid w:val="00EE34B5"/>
    <w:rsid w:val="00EE39E6"/>
    <w:rsid w:val="00EE46CA"/>
    <w:rsid w:val="00EE69D2"/>
    <w:rsid w:val="00EE6B60"/>
    <w:rsid w:val="00EF10F0"/>
    <w:rsid w:val="00EF2CAC"/>
    <w:rsid w:val="00EF4798"/>
    <w:rsid w:val="00EF4A2E"/>
    <w:rsid w:val="00EF580D"/>
    <w:rsid w:val="00EF7AAA"/>
    <w:rsid w:val="00F00CAB"/>
    <w:rsid w:val="00F00D69"/>
    <w:rsid w:val="00F01EF4"/>
    <w:rsid w:val="00F03A7C"/>
    <w:rsid w:val="00F03D99"/>
    <w:rsid w:val="00F0434E"/>
    <w:rsid w:val="00F062BF"/>
    <w:rsid w:val="00F06AF4"/>
    <w:rsid w:val="00F06EB9"/>
    <w:rsid w:val="00F07133"/>
    <w:rsid w:val="00F10492"/>
    <w:rsid w:val="00F117E4"/>
    <w:rsid w:val="00F11A2A"/>
    <w:rsid w:val="00F11D7F"/>
    <w:rsid w:val="00F1292E"/>
    <w:rsid w:val="00F133C0"/>
    <w:rsid w:val="00F14432"/>
    <w:rsid w:val="00F161BA"/>
    <w:rsid w:val="00F17F83"/>
    <w:rsid w:val="00F20844"/>
    <w:rsid w:val="00F215E1"/>
    <w:rsid w:val="00F21B7B"/>
    <w:rsid w:val="00F21CFB"/>
    <w:rsid w:val="00F2215E"/>
    <w:rsid w:val="00F22CF0"/>
    <w:rsid w:val="00F2444C"/>
    <w:rsid w:val="00F24903"/>
    <w:rsid w:val="00F2570A"/>
    <w:rsid w:val="00F308ED"/>
    <w:rsid w:val="00F31AEF"/>
    <w:rsid w:val="00F32D87"/>
    <w:rsid w:val="00F34EB7"/>
    <w:rsid w:val="00F36706"/>
    <w:rsid w:val="00F369C3"/>
    <w:rsid w:val="00F37E5C"/>
    <w:rsid w:val="00F4287C"/>
    <w:rsid w:val="00F44571"/>
    <w:rsid w:val="00F44DB9"/>
    <w:rsid w:val="00F453EC"/>
    <w:rsid w:val="00F456C9"/>
    <w:rsid w:val="00F460AB"/>
    <w:rsid w:val="00F46A01"/>
    <w:rsid w:val="00F474C1"/>
    <w:rsid w:val="00F47B3A"/>
    <w:rsid w:val="00F50083"/>
    <w:rsid w:val="00F518B7"/>
    <w:rsid w:val="00F53140"/>
    <w:rsid w:val="00F54BDF"/>
    <w:rsid w:val="00F54C8B"/>
    <w:rsid w:val="00F56BFF"/>
    <w:rsid w:val="00F61550"/>
    <w:rsid w:val="00F63265"/>
    <w:rsid w:val="00F64A98"/>
    <w:rsid w:val="00F64C20"/>
    <w:rsid w:val="00F64EAD"/>
    <w:rsid w:val="00F702FD"/>
    <w:rsid w:val="00F72AED"/>
    <w:rsid w:val="00F748C7"/>
    <w:rsid w:val="00F74B4F"/>
    <w:rsid w:val="00F74C32"/>
    <w:rsid w:val="00F76934"/>
    <w:rsid w:val="00F773CB"/>
    <w:rsid w:val="00F77588"/>
    <w:rsid w:val="00F77748"/>
    <w:rsid w:val="00F77B0E"/>
    <w:rsid w:val="00F77B45"/>
    <w:rsid w:val="00F80080"/>
    <w:rsid w:val="00F809A8"/>
    <w:rsid w:val="00F84252"/>
    <w:rsid w:val="00F84419"/>
    <w:rsid w:val="00F84654"/>
    <w:rsid w:val="00F851D8"/>
    <w:rsid w:val="00F85874"/>
    <w:rsid w:val="00F85C9E"/>
    <w:rsid w:val="00F87657"/>
    <w:rsid w:val="00F87747"/>
    <w:rsid w:val="00F87926"/>
    <w:rsid w:val="00F9425D"/>
    <w:rsid w:val="00F95CED"/>
    <w:rsid w:val="00F961CC"/>
    <w:rsid w:val="00F96550"/>
    <w:rsid w:val="00F96D1A"/>
    <w:rsid w:val="00F97741"/>
    <w:rsid w:val="00FA1874"/>
    <w:rsid w:val="00FA65BD"/>
    <w:rsid w:val="00FA6D9C"/>
    <w:rsid w:val="00FA70C1"/>
    <w:rsid w:val="00FA70E7"/>
    <w:rsid w:val="00FB090D"/>
    <w:rsid w:val="00FB0FBE"/>
    <w:rsid w:val="00FB10D9"/>
    <w:rsid w:val="00FB2C5B"/>
    <w:rsid w:val="00FB364D"/>
    <w:rsid w:val="00FB3678"/>
    <w:rsid w:val="00FB4110"/>
    <w:rsid w:val="00FB441B"/>
    <w:rsid w:val="00FB4E6D"/>
    <w:rsid w:val="00FB65F1"/>
    <w:rsid w:val="00FB6EFE"/>
    <w:rsid w:val="00FC141A"/>
    <w:rsid w:val="00FC1C95"/>
    <w:rsid w:val="00FC31A4"/>
    <w:rsid w:val="00FC3BC6"/>
    <w:rsid w:val="00FC3EFB"/>
    <w:rsid w:val="00FC438C"/>
    <w:rsid w:val="00FC45BE"/>
    <w:rsid w:val="00FC4CD2"/>
    <w:rsid w:val="00FC697A"/>
    <w:rsid w:val="00FD0D00"/>
    <w:rsid w:val="00FD0E1A"/>
    <w:rsid w:val="00FD22A6"/>
    <w:rsid w:val="00FD2FC0"/>
    <w:rsid w:val="00FD349B"/>
    <w:rsid w:val="00FD374C"/>
    <w:rsid w:val="00FD5672"/>
    <w:rsid w:val="00FD7C5A"/>
    <w:rsid w:val="00FE0AD3"/>
    <w:rsid w:val="00FE11ED"/>
    <w:rsid w:val="00FE28E4"/>
    <w:rsid w:val="00FE534B"/>
    <w:rsid w:val="00FE580F"/>
    <w:rsid w:val="00FE6892"/>
    <w:rsid w:val="00FE6AD6"/>
    <w:rsid w:val="00FF171B"/>
    <w:rsid w:val="00FF227E"/>
    <w:rsid w:val="00FF2906"/>
    <w:rsid w:val="00FF425A"/>
    <w:rsid w:val="00FF4631"/>
    <w:rsid w:val="00FF4F74"/>
    <w:rsid w:val="00FF70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sto MT" w:eastAsiaTheme="minorEastAsia" w:hAnsi="Calisto MT" w:cs="Times New Roman"/>
        <w:sz w:val="21"/>
        <w:szCs w:val="21"/>
        <w:lang w:val="en-AU" w:eastAsia="en-AU" w:bidi="ar-SA"/>
      </w:rPr>
    </w:rPrDefault>
    <w:pPrDefault>
      <w:pPr>
        <w:spacing w:before="140" w:line="280" w:lineRule="atLeast"/>
      </w:pPr>
    </w:pPrDefault>
  </w:docDefaults>
  <w:latentStyles w:defLockedState="0" w:defUIPriority="99" w:defSemiHidden="0" w:defUnhideWhenUsed="0" w:defQFormat="0" w:count="375">
    <w:lsdException w:name="Normal" w:uiPriority="0"/>
    <w:lsdException w:name="heading 1" w:uiPriority="0" w:qFormat="1"/>
    <w:lsdException w:name="heading 2" w:uiPriority="0" w:qFormat="1"/>
    <w:lsdException w:name="heading 3" w:uiPriority="0"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25" w:unhideWhenUsed="1"/>
    <w:lsdException w:name="annotation text" w:uiPriority="49"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25" w:unhideWhenUsed="1"/>
    <w:lsdException w:name="annotation reference" w:uiPriority="4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uiPriority="2" w:unhideWhenUsed="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2" w:unhideWhenUsed="1" w:qFormat="1"/>
    <w:lsdException w:name="List Bullet 3" w:uiPriority="2" w:unhideWhenUsed="1"/>
    <w:lsdException w:name="List Bullet 4" w:semiHidden="1" w:unhideWhenUsed="1"/>
    <w:lsdException w:name="List Bullet 5" w:semiHidden="1" w:unhideWhenUsed="1"/>
    <w:lsdException w:name="List Number 2" w:uiPriority="2" w:unhideWhenUsed="1"/>
    <w:lsdException w:name="List Number 3" w:semiHidden="1" w:unhideWhenUsed="1"/>
    <w:lsdException w:name="List Number 4" w:semiHidden="1" w:unhideWhenUsed="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lsdException w:name="Body Text"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0" w:qFormat="1"/>
    <w:lsdException w:name="Salutation" w:semiHidden="1" w:unhideWhenUsed="1"/>
    <w:lsdException w:name="Date" w:uiPriority="33"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unhideWhenUsed="1"/>
    <w:lsdException w:name="Intense Emphasis" w:uiPriority="21" w:unhideWhenUsed="1"/>
    <w:lsdException w:name="Subtle Reference" w:uiPriority="31" w:unhideWhenUsed="1"/>
    <w:lsdException w:name="Intense Reference" w:uiPriority="32"/>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1383F"/>
    <w:pPr>
      <w:spacing w:before="0"/>
    </w:pPr>
  </w:style>
  <w:style w:type="paragraph" w:styleId="Heading1">
    <w:name w:val="heading 1"/>
    <w:aliases w:val="h1,EOI - Heading 1 (Low),Heading 1 (low),Para1,h11,h12,ChapterHeadingNumber,Top 1,ParaLevel1,Level 1 Para,Level 1 Para1,Level 1 Para2,Level 1 Para3,Level 1 Para4,Level 1 Para11,Level 1 Para21,Level 1 Para31,Level 1 Para5,Level 1 Para12,L1,1,RF"/>
    <w:basedOn w:val="BodyText"/>
    <w:next w:val="BodyText"/>
    <w:link w:val="Heading1Char"/>
    <w:qFormat/>
    <w:rsid w:val="00160C29"/>
    <w:pPr>
      <w:keepNext/>
      <w:pageBreakBefore/>
      <w:numPr>
        <w:numId w:val="14"/>
      </w:numPr>
      <w:spacing w:before="0" w:after="1560" w:line="440" w:lineRule="atLeast"/>
      <w:outlineLvl w:val="0"/>
    </w:pPr>
    <w:rPr>
      <w:rFonts w:asciiTheme="majorHAnsi" w:hAnsiTheme="majorHAnsi"/>
      <w:i/>
      <w:kern w:val="28"/>
      <w:sz w:val="36"/>
      <w:szCs w:val="32"/>
    </w:rPr>
  </w:style>
  <w:style w:type="paragraph" w:styleId="Heading2">
    <w:name w:val="heading 2"/>
    <w:aliases w:val="Para2,h2,BT-Legal Numbering,Head hdbk,Top 2,H2,h2 main heading,B Sub/Bold,B Sub/Bold1,B Sub/Bold2,B Sub/Bold11,h2 main heading1,h2 main heading2,B Sub/Bold3,B Sub/Bold12,h2 main heading3,B Sub/Bold4,B Sub/Bold13,SubPara,Para 2,2,new heading tw"/>
    <w:basedOn w:val="Heading1"/>
    <w:next w:val="BodyText"/>
    <w:link w:val="Heading2Char"/>
    <w:qFormat/>
    <w:rsid w:val="00160C29"/>
    <w:pPr>
      <w:pageBreakBefore w:val="0"/>
      <w:numPr>
        <w:ilvl w:val="1"/>
      </w:numPr>
      <w:spacing w:before="560" w:after="0" w:line="340" w:lineRule="atLeast"/>
      <w:outlineLvl w:val="1"/>
    </w:pPr>
    <w:rPr>
      <w:b/>
      <w:color w:val="F61D12" w:themeColor="accent2"/>
      <w:sz w:val="30"/>
      <w:szCs w:val="26"/>
    </w:rPr>
  </w:style>
  <w:style w:type="paragraph" w:styleId="Heading3">
    <w:name w:val="heading 3"/>
    <w:aliases w:val="Normal + num,Level 1 - 2,h3,EOI - Heading 3,h3 sub heading,Para3,Paragraph (heading 3),BTL Numbered,L3,3,Level 1 - 1,Report Heading 3,d,Tempo Heading 3,H3,C Sub-Sub/Italic,Head 3,Head 31,Head 32,C Sub-Sub/Italic1,Sub2Para,BOD 1,BOD 0,h31,h32,H"/>
    <w:basedOn w:val="Heading2"/>
    <w:next w:val="BodyText"/>
    <w:link w:val="Heading3Char"/>
    <w:qFormat/>
    <w:rsid w:val="00160C29"/>
    <w:pPr>
      <w:numPr>
        <w:ilvl w:val="2"/>
      </w:numPr>
      <w:spacing w:before="440" w:line="280" w:lineRule="atLeast"/>
      <w:outlineLvl w:val="2"/>
    </w:pPr>
    <w:rPr>
      <w:rFonts w:ascii="Calisto MT" w:hAnsi="Calisto MT"/>
      <w:color w:val="auto"/>
      <w:sz w:val="25"/>
      <w:szCs w:val="22"/>
    </w:rPr>
  </w:style>
  <w:style w:type="paragraph" w:styleId="Heading4">
    <w:name w:val="heading 4"/>
    <w:aliases w:val="h4,L4,Level 2 - a,sd,Standard H3,h41,Titre 4,1.1.1.1,bullet,bl,bb,h4 sub sub heading,Level 2 - (a),4,Org Heading 2,Sub3Para,proj4,proj41,proj42,proj43,proj44,proj45,proj46,proj47,proj48,proj49,proj410,proj411,proj412,proj421,proj431,proj441,41"/>
    <w:basedOn w:val="Heading3"/>
    <w:next w:val="BodyText"/>
    <w:link w:val="Heading4Char"/>
    <w:qFormat/>
    <w:rsid w:val="00160C29"/>
    <w:pPr>
      <w:numPr>
        <w:ilvl w:val="3"/>
      </w:numPr>
      <w:spacing w:before="400" w:line="260" w:lineRule="atLeast"/>
      <w:outlineLvl w:val="3"/>
    </w:pPr>
    <w:rPr>
      <w:color w:val="6F6652" w:themeColor="text2"/>
      <w:sz w:val="21"/>
    </w:rPr>
  </w:style>
  <w:style w:type="paragraph" w:styleId="Heading5">
    <w:name w:val="heading 5"/>
    <w:aliases w:val="h5,L5,Level 3 - i,L51,Para5,i.,H1,subsubpara,1.1.1.1.1,H11,3rd sub-clause,h51,h52,5,H111,VS5,remove 5,-25.,DO NOT USE 5,Further Points,Further Points1,Further Points2,Further Points3,Further Points4,Further Points5,Further Points6,Appendix"/>
    <w:basedOn w:val="Heading4"/>
    <w:next w:val="BodyText"/>
    <w:link w:val="Heading5Char"/>
    <w:qFormat/>
    <w:rsid w:val="00742A5F"/>
    <w:pPr>
      <w:numPr>
        <w:ilvl w:val="4"/>
      </w:numPr>
      <w:outlineLvl w:val="4"/>
    </w:pPr>
    <w:rPr>
      <w:rFonts w:asciiTheme="minorHAnsi" w:hAnsiTheme="minorHAnsi"/>
      <w:b w:val="0"/>
    </w:rPr>
  </w:style>
  <w:style w:type="paragraph" w:styleId="Heading6">
    <w:name w:val="heading 6"/>
    <w:aliases w:val="Square Bullet list,Sub5Para,L1 PIP,a,b,H6,Heading 6(unused),Heading 6(unused)1,VS6,Main,DO NOT USE 6,Points in Text,Points in Text1,Points in Text2,Points in Text3,Points in Text4,Points in Text5,Points in Text6,Points in Text7,not Kinhill,I"/>
    <w:basedOn w:val="Heading1"/>
    <w:next w:val="BodyText"/>
    <w:link w:val="Heading6Char"/>
    <w:qFormat/>
    <w:rsid w:val="00160C29"/>
    <w:pPr>
      <w:numPr>
        <w:ilvl w:val="5"/>
      </w:numPr>
      <w:outlineLvl w:val="5"/>
    </w:pPr>
    <w:rPr>
      <w:bCs/>
    </w:rPr>
  </w:style>
  <w:style w:type="paragraph" w:styleId="Heading7">
    <w:name w:val="heading 7"/>
    <w:aliases w:val="Indented hyphen,L2 PIP,H7,Heading 7(unused),Heading 7(unused)1,DO NOT USE 7,Legal Level 1.1.,not Kinhill1"/>
    <w:basedOn w:val="Heading2"/>
    <w:next w:val="BodyText"/>
    <w:link w:val="Heading7Char"/>
    <w:qFormat/>
    <w:rsid w:val="00182068"/>
    <w:pPr>
      <w:numPr>
        <w:ilvl w:val="6"/>
      </w:numPr>
      <w:outlineLvl w:val="6"/>
    </w:pPr>
    <w:rPr>
      <w:rFonts w:ascii="Calisto MT" w:hAnsi="Calisto MT"/>
    </w:rPr>
  </w:style>
  <w:style w:type="paragraph" w:styleId="Heading8">
    <w:name w:val="heading 8"/>
    <w:aliases w:val="L3 PIP,H8,Heading 8(unused),Heading 8(unused)1,DO NOT USE,DO NOT USE 8,Legal Level 1.1.1."/>
    <w:basedOn w:val="Heading3"/>
    <w:next w:val="BodyText"/>
    <w:link w:val="Heading8Char"/>
    <w:qFormat/>
    <w:rsid w:val="00160C29"/>
    <w:pPr>
      <w:numPr>
        <w:ilvl w:val="7"/>
      </w:numPr>
      <w:outlineLvl w:val="7"/>
    </w:pPr>
  </w:style>
  <w:style w:type="paragraph" w:styleId="Heading9">
    <w:name w:val="heading 9"/>
    <w:aliases w:val="Spare5,H9,Heading 9(unused),Heading 9(unused)1,DO NOT USE 9,Legal Level 1.1.1.1."/>
    <w:basedOn w:val="Heading4"/>
    <w:next w:val="BodyText"/>
    <w:link w:val="Heading9Char"/>
    <w:qFormat/>
    <w:rsid w:val="00160C29"/>
    <w:pPr>
      <w:numPr>
        <w:ilvl w:val="8"/>
        <w:numId w:val="5"/>
      </w:numPr>
      <w:outlineLvl w:val="8"/>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Bullets">
    <w:name w:val="ListBullets"/>
    <w:uiPriority w:val="99"/>
    <w:rsid w:val="00B974A4"/>
    <w:pPr>
      <w:numPr>
        <w:numId w:val="9"/>
      </w:numPr>
    </w:pPr>
  </w:style>
  <w:style w:type="paragraph" w:styleId="ListBullet3">
    <w:name w:val="List Bullet 3"/>
    <w:basedOn w:val="ListBullet2"/>
    <w:uiPriority w:val="2"/>
    <w:rsid w:val="00114298"/>
    <w:pPr>
      <w:numPr>
        <w:ilvl w:val="2"/>
      </w:numPr>
    </w:pPr>
  </w:style>
  <w:style w:type="paragraph" w:styleId="ListNumber">
    <w:name w:val="List Number"/>
    <w:basedOn w:val="BodyText"/>
    <w:uiPriority w:val="2"/>
    <w:qFormat/>
    <w:rsid w:val="00160C29"/>
    <w:pPr>
      <w:numPr>
        <w:numId w:val="15"/>
      </w:numPr>
      <w:spacing w:before="70"/>
    </w:pPr>
  </w:style>
  <w:style w:type="paragraph" w:styleId="ListBullet">
    <w:name w:val="List Bullet"/>
    <w:aliases w:val="Char, Char"/>
    <w:basedOn w:val="BodyText"/>
    <w:link w:val="ListBulletChar"/>
    <w:uiPriority w:val="2"/>
    <w:qFormat/>
    <w:rsid w:val="00160C29"/>
    <w:pPr>
      <w:numPr>
        <w:numId w:val="9"/>
      </w:numPr>
      <w:spacing w:before="70"/>
    </w:pPr>
  </w:style>
  <w:style w:type="paragraph" w:customStyle="1" w:styleId="Contents">
    <w:name w:val="Contents"/>
    <w:basedOn w:val="Heading1"/>
    <w:next w:val="TOC1"/>
    <w:uiPriority w:val="99"/>
    <w:rsid w:val="005C386A"/>
    <w:pPr>
      <w:pageBreakBefore w:val="0"/>
      <w:numPr>
        <w:numId w:val="0"/>
      </w:numPr>
    </w:pPr>
  </w:style>
  <w:style w:type="paragraph" w:customStyle="1" w:styleId="RecommendationNumber2">
    <w:name w:val="Recommendation Number 2"/>
    <w:basedOn w:val="RecommendationNumber"/>
    <w:uiPriority w:val="28"/>
    <w:rsid w:val="001E2A83"/>
    <w:pPr>
      <w:numPr>
        <w:ilvl w:val="1"/>
      </w:numPr>
    </w:pPr>
  </w:style>
  <w:style w:type="paragraph" w:customStyle="1" w:styleId="RecommendationHeading">
    <w:name w:val="Recommendation Heading"/>
    <w:basedOn w:val="BodyText"/>
    <w:next w:val="RecommendationNumber"/>
    <w:uiPriority w:val="28"/>
    <w:unhideWhenUsed/>
    <w:rsid w:val="00CA364E"/>
    <w:pPr>
      <w:spacing w:before="280"/>
    </w:pPr>
    <w:rPr>
      <w:rFonts w:ascii="Franklin Gothic Demi" w:hAnsi="Franklin Gothic Demi"/>
      <w:caps/>
      <w:color w:val="6F6652" w:themeColor="text2"/>
      <w:spacing w:val="10"/>
    </w:rPr>
  </w:style>
  <w:style w:type="paragraph" w:customStyle="1" w:styleId="Subtitlebox">
    <w:name w:val="Subtitle box"/>
    <w:aliases w:val="chart,table"/>
    <w:basedOn w:val="Caption"/>
    <w:uiPriority w:val="5"/>
    <w:rsid w:val="00425BAF"/>
    <w:pPr>
      <w:spacing w:before="0"/>
    </w:pPr>
    <w:rPr>
      <w:rFonts w:ascii="Franklin Gothic Book" w:hAnsi="Franklin Gothic Book"/>
      <w:sz w:val="17"/>
    </w:rPr>
  </w:style>
  <w:style w:type="paragraph" w:styleId="BodyText">
    <w:name w:val="Body Text"/>
    <w:aliases w:val="bt,Concepto,Body Text - Level 2,Body Text Char2 Char,Body Text Char Char1 Char,Body Text Char1 Char Char Char,Body Text Char Char Char Char Char,Body Text Char1 Char1 Char,Body Text Char Char Char1 Char,Body Text Char2 Char Char Char,t1,Body"/>
    <w:basedOn w:val="Normal"/>
    <w:link w:val="BodyTextChar"/>
    <w:uiPriority w:val="2"/>
    <w:qFormat/>
    <w:rsid w:val="00160C29"/>
    <w:pPr>
      <w:spacing w:before="140"/>
    </w:pPr>
    <w:rPr>
      <w:rFonts w:asciiTheme="minorHAnsi" w:eastAsia="Times New Roman" w:hAnsiTheme="minorHAnsi"/>
    </w:rPr>
  </w:style>
  <w:style w:type="paragraph" w:styleId="ListNumber2">
    <w:name w:val="List Number 2"/>
    <w:basedOn w:val="BodyText"/>
    <w:uiPriority w:val="2"/>
    <w:rsid w:val="00497862"/>
    <w:pPr>
      <w:numPr>
        <w:ilvl w:val="1"/>
        <w:numId w:val="15"/>
      </w:numPr>
      <w:spacing w:before="40"/>
    </w:pPr>
  </w:style>
  <w:style w:type="character" w:customStyle="1" w:styleId="BodyTextChar">
    <w:name w:val="Body Text Char"/>
    <w:aliases w:val="bt Char,Concepto Char,Body Text - Level 2 Char,Body Text Char2 Char Char,Body Text Char Char1 Char Char,Body Text Char1 Char Char Char Char,Body Text Char Char Char Char Char Char,Body Text Char1 Char1 Char Char,t1 Char,Body Char"/>
    <w:link w:val="BodyText"/>
    <w:uiPriority w:val="2"/>
    <w:rsid w:val="00160C29"/>
    <w:rPr>
      <w:rFonts w:asciiTheme="minorHAnsi" w:eastAsia="Times New Roman" w:hAnsiTheme="minorHAnsi"/>
    </w:rPr>
  </w:style>
  <w:style w:type="paragraph" w:styleId="Caption">
    <w:name w:val="caption"/>
    <w:basedOn w:val="BodyText"/>
    <w:next w:val="Subtitlebox"/>
    <w:link w:val="CaptionChar"/>
    <w:uiPriority w:val="99"/>
    <w:unhideWhenUsed/>
    <w:qFormat/>
    <w:rsid w:val="00160C29"/>
    <w:pPr>
      <w:keepNext/>
      <w:spacing w:before="360" w:after="80" w:line="260" w:lineRule="atLeast"/>
    </w:pPr>
    <w:rPr>
      <w:rFonts w:ascii="Franklin Gothic Demi" w:hAnsi="Franklin Gothic Demi"/>
      <w:szCs w:val="20"/>
    </w:rPr>
  </w:style>
  <w:style w:type="paragraph" w:customStyle="1" w:styleId="BoxHeading1">
    <w:name w:val="Box Heading 1"/>
    <w:basedOn w:val="Heading4"/>
    <w:next w:val="BodyText"/>
    <w:uiPriority w:val="9"/>
    <w:rsid w:val="009D667E"/>
    <w:pPr>
      <w:spacing w:before="240"/>
    </w:pPr>
    <w:rPr>
      <w:rFonts w:ascii="Franklin Gothic Demi" w:hAnsi="Franklin Gothic Demi"/>
      <w:b w:val="0"/>
      <w:i w:val="0"/>
      <w:color w:val="F61D12" w:themeColor="accent2"/>
    </w:rPr>
  </w:style>
  <w:style w:type="paragraph" w:customStyle="1" w:styleId="BoxHeading2">
    <w:name w:val="Box Heading 2"/>
    <w:basedOn w:val="BoxHeading1"/>
    <w:next w:val="BodyText"/>
    <w:uiPriority w:val="9"/>
    <w:rsid w:val="00F21CFB"/>
    <w:pPr>
      <w:spacing w:before="200"/>
    </w:pPr>
    <w:rPr>
      <w:rFonts w:ascii="Franklin Gothic Medium" w:hAnsi="Franklin Gothic Medium"/>
      <w:szCs w:val="20"/>
    </w:rPr>
  </w:style>
  <w:style w:type="paragraph" w:customStyle="1" w:styleId="ChartText">
    <w:name w:val="Chart Text"/>
    <w:basedOn w:val="TableTextEntries"/>
    <w:link w:val="ChartTextChar"/>
    <w:uiPriority w:val="23"/>
    <w:rsid w:val="00D10883"/>
    <w:pPr>
      <w:spacing w:before="0" w:after="0"/>
    </w:pPr>
    <w:rPr>
      <w:rFonts w:ascii="Franklin Gothic Medium" w:hAnsi="Franklin Gothic Medium"/>
    </w:rPr>
  </w:style>
  <w:style w:type="character" w:customStyle="1" w:styleId="ChartTextChar">
    <w:name w:val="Chart Text Char"/>
    <w:link w:val="ChartText"/>
    <w:uiPriority w:val="23"/>
    <w:rsid w:val="00D10883"/>
    <w:rPr>
      <w:rFonts w:ascii="Franklin Gothic Medium" w:eastAsia="Times New Roman" w:hAnsi="Franklin Gothic Medium"/>
      <w:sz w:val="16"/>
      <w:szCs w:val="18"/>
      <w:lang w:eastAsia="en-US"/>
    </w:rPr>
  </w:style>
  <w:style w:type="paragraph" w:customStyle="1" w:styleId="ChartBoldText">
    <w:name w:val="Chart Bold Text"/>
    <w:basedOn w:val="ChartText"/>
    <w:next w:val="ChartText"/>
    <w:uiPriority w:val="23"/>
    <w:rsid w:val="00DA2AB5"/>
    <w:pPr>
      <w:jc w:val="center"/>
    </w:pPr>
    <w:rPr>
      <w:rFonts w:ascii="Franklin Gothic Demi" w:hAnsi="Franklin Gothic Demi"/>
      <w:szCs w:val="17"/>
    </w:rPr>
  </w:style>
  <w:style w:type="paragraph" w:customStyle="1" w:styleId="ChartHighlight">
    <w:name w:val="Chart Highlight"/>
    <w:basedOn w:val="ChartBoldText"/>
    <w:uiPriority w:val="22"/>
    <w:rsid w:val="00DA2AB5"/>
    <w:pPr>
      <w:spacing w:line="220" w:lineRule="atLeast"/>
    </w:pPr>
    <w:rPr>
      <w:caps/>
      <w:sz w:val="20"/>
    </w:rPr>
  </w:style>
  <w:style w:type="paragraph" w:customStyle="1" w:styleId="Client">
    <w:name w:val="Client"/>
    <w:basedOn w:val="BodyText"/>
    <w:uiPriority w:val="32"/>
    <w:rsid w:val="00DA40B0"/>
    <w:pPr>
      <w:spacing w:before="0"/>
    </w:pPr>
    <w:rPr>
      <w:i/>
      <w:sz w:val="25"/>
    </w:rPr>
  </w:style>
  <w:style w:type="character" w:styleId="CommentReference">
    <w:name w:val="annotation reference"/>
    <w:basedOn w:val="BodyTextChar"/>
    <w:uiPriority w:val="49"/>
    <w:semiHidden/>
    <w:rsid w:val="000B2602"/>
    <w:rPr>
      <w:rFonts w:ascii="Franklin Gothic Demi" w:eastAsia="Times New Roman" w:hAnsi="Franklin Gothic Demi" w:cs="Times New Roman"/>
      <w:b w:val="0"/>
      <w:vanish/>
      <w:color w:val="FF00FF"/>
      <w:sz w:val="18"/>
      <w:szCs w:val="16"/>
    </w:rPr>
  </w:style>
  <w:style w:type="paragraph" w:styleId="CommentText">
    <w:name w:val="annotation text"/>
    <w:basedOn w:val="BodyText"/>
    <w:link w:val="CommentTextChar"/>
    <w:uiPriority w:val="49"/>
    <w:semiHidden/>
    <w:rsid w:val="00D83A2B"/>
    <w:pPr>
      <w:spacing w:before="80" w:line="240" w:lineRule="atLeast"/>
    </w:pPr>
    <w:rPr>
      <w:sz w:val="20"/>
      <w:szCs w:val="20"/>
    </w:rPr>
  </w:style>
  <w:style w:type="character" w:customStyle="1" w:styleId="CommentTextChar">
    <w:name w:val="Comment Text Char"/>
    <w:basedOn w:val="DefaultParagraphFont"/>
    <w:link w:val="CommentText"/>
    <w:uiPriority w:val="49"/>
    <w:semiHidden/>
    <w:rsid w:val="00D24560"/>
    <w:rPr>
      <w:rFonts w:asciiTheme="minorHAnsi" w:eastAsia="Times New Roman" w:hAnsiTheme="minorHAnsi"/>
      <w:sz w:val="20"/>
      <w:szCs w:val="20"/>
    </w:rPr>
  </w:style>
  <w:style w:type="numbering" w:customStyle="1" w:styleId="ChartListBullets">
    <w:name w:val="ChartListBullets"/>
    <w:uiPriority w:val="99"/>
    <w:rsid w:val="00CC4851"/>
    <w:pPr>
      <w:numPr>
        <w:numId w:val="3"/>
      </w:numPr>
    </w:pPr>
  </w:style>
  <w:style w:type="paragraph" w:customStyle="1" w:styleId="TableTextEntries">
    <w:name w:val="Table Text Entries"/>
    <w:basedOn w:val="BodyText"/>
    <w:link w:val="TableTextEntriesChar"/>
    <w:uiPriority w:val="13"/>
    <w:rsid w:val="00BA1241"/>
    <w:pPr>
      <w:keepLines/>
      <w:spacing w:before="80" w:after="80" w:line="200" w:lineRule="atLeast"/>
    </w:pPr>
    <w:rPr>
      <w:rFonts w:ascii="Franklin Gothic Book" w:hAnsi="Franklin Gothic Book"/>
      <w:sz w:val="16"/>
      <w:szCs w:val="18"/>
      <w:lang w:eastAsia="en-US"/>
    </w:rPr>
  </w:style>
  <w:style w:type="paragraph" w:customStyle="1" w:styleId="Note">
    <w:name w:val="Note"/>
    <w:basedOn w:val="TableTextEntries"/>
    <w:next w:val="Source"/>
    <w:link w:val="NoteCharChar"/>
    <w:uiPriority w:val="15"/>
    <w:rsid w:val="008D63BD"/>
    <w:pPr>
      <w:spacing w:before="40" w:after="0" w:line="180" w:lineRule="atLeast"/>
    </w:pPr>
    <w:rPr>
      <w:sz w:val="14"/>
      <w:szCs w:val="16"/>
    </w:rPr>
  </w:style>
  <w:style w:type="character" w:customStyle="1" w:styleId="NoteCharChar">
    <w:name w:val="Note Char Char"/>
    <w:link w:val="Note"/>
    <w:uiPriority w:val="15"/>
    <w:rsid w:val="008D63BD"/>
    <w:rPr>
      <w:rFonts w:ascii="Franklin Gothic Medium" w:eastAsia="Times New Roman" w:hAnsi="Franklin Gothic Medium" w:cs="Times New Roman"/>
      <w:sz w:val="14"/>
      <w:szCs w:val="16"/>
      <w:lang w:eastAsia="en-US"/>
    </w:rPr>
  </w:style>
  <w:style w:type="paragraph" w:customStyle="1" w:styleId="Source">
    <w:name w:val="Source"/>
    <w:basedOn w:val="Note"/>
    <w:next w:val="BodyText"/>
    <w:link w:val="SourceChar"/>
    <w:uiPriority w:val="16"/>
    <w:qFormat/>
    <w:rsid w:val="008D63BD"/>
    <w:pPr>
      <w:spacing w:after="60"/>
    </w:pPr>
  </w:style>
  <w:style w:type="paragraph" w:customStyle="1" w:styleId="Continued">
    <w:name w:val="Continued"/>
    <w:basedOn w:val="Source"/>
    <w:next w:val="BodyText"/>
    <w:link w:val="ContinuedChar"/>
    <w:uiPriority w:val="17"/>
    <w:rsid w:val="00BA1241"/>
    <w:pPr>
      <w:jc w:val="right"/>
    </w:pPr>
  </w:style>
  <w:style w:type="paragraph" w:styleId="Title">
    <w:name w:val="Title"/>
    <w:basedOn w:val="Normal"/>
    <w:next w:val="Subtitle"/>
    <w:link w:val="TitleChar"/>
    <w:uiPriority w:val="29"/>
    <w:qFormat/>
    <w:rsid w:val="00160C29"/>
    <w:pPr>
      <w:spacing w:line="500" w:lineRule="atLeast"/>
    </w:pPr>
    <w:rPr>
      <w:rFonts w:asciiTheme="majorHAnsi" w:eastAsia="Times New Roman" w:hAnsiTheme="majorHAnsi"/>
      <w:spacing w:val="-2"/>
      <w:kern w:val="28"/>
      <w:sz w:val="44"/>
      <w:szCs w:val="48"/>
    </w:rPr>
  </w:style>
  <w:style w:type="character" w:customStyle="1" w:styleId="TitleChar">
    <w:name w:val="Title Char"/>
    <w:basedOn w:val="DefaultParagraphFont"/>
    <w:link w:val="Title"/>
    <w:uiPriority w:val="29"/>
    <w:rsid w:val="00160C29"/>
    <w:rPr>
      <w:rFonts w:asciiTheme="majorHAnsi" w:eastAsia="Times New Roman" w:hAnsiTheme="majorHAnsi"/>
      <w:spacing w:val="-2"/>
      <w:kern w:val="28"/>
      <w:sz w:val="44"/>
      <w:szCs w:val="48"/>
    </w:rPr>
  </w:style>
  <w:style w:type="paragraph" w:styleId="Subtitle">
    <w:name w:val="Subtitle"/>
    <w:basedOn w:val="Title"/>
    <w:link w:val="SubtitleChar"/>
    <w:uiPriority w:val="30"/>
    <w:qFormat/>
    <w:rsid w:val="00160C29"/>
    <w:pPr>
      <w:spacing w:before="280" w:line="320" w:lineRule="atLeast"/>
    </w:pPr>
    <w:rPr>
      <w:sz w:val="25"/>
      <w:szCs w:val="28"/>
    </w:rPr>
  </w:style>
  <w:style w:type="character" w:customStyle="1" w:styleId="SubtitleChar">
    <w:name w:val="Subtitle Char"/>
    <w:basedOn w:val="DefaultParagraphFont"/>
    <w:link w:val="Subtitle"/>
    <w:uiPriority w:val="30"/>
    <w:rsid w:val="00160C29"/>
    <w:rPr>
      <w:rFonts w:asciiTheme="majorHAnsi" w:eastAsia="Times New Roman" w:hAnsiTheme="majorHAnsi"/>
      <w:spacing w:val="-2"/>
      <w:kern w:val="28"/>
      <w:sz w:val="25"/>
      <w:szCs w:val="28"/>
    </w:rPr>
  </w:style>
  <w:style w:type="paragraph" w:styleId="Date">
    <w:name w:val="Date"/>
    <w:basedOn w:val="Subtitle"/>
    <w:link w:val="DateChar"/>
    <w:uiPriority w:val="33"/>
    <w:rsid w:val="00DA40B0"/>
    <w:pPr>
      <w:spacing w:before="140" w:line="280" w:lineRule="atLeast"/>
    </w:pPr>
    <w:rPr>
      <w:i/>
      <w:color w:val="6F6652" w:themeColor="text2"/>
      <w:spacing w:val="0"/>
    </w:rPr>
  </w:style>
  <w:style w:type="character" w:customStyle="1" w:styleId="DateChar">
    <w:name w:val="Date Char"/>
    <w:basedOn w:val="DefaultParagraphFont"/>
    <w:link w:val="Date"/>
    <w:uiPriority w:val="33"/>
    <w:rsid w:val="001624ED"/>
    <w:rPr>
      <w:rFonts w:asciiTheme="majorHAnsi" w:eastAsia="Times New Roman" w:hAnsiTheme="majorHAnsi"/>
      <w:i/>
      <w:color w:val="6F6652" w:themeColor="text2"/>
      <w:kern w:val="28"/>
      <w:sz w:val="25"/>
      <w:szCs w:val="28"/>
    </w:rPr>
  </w:style>
  <w:style w:type="character" w:customStyle="1" w:styleId="DraftingNote">
    <w:name w:val="Drafting Note"/>
    <w:uiPriority w:val="2"/>
    <w:rsid w:val="00F31AEF"/>
    <w:rPr>
      <w:rFonts w:asciiTheme="minorHAnsi" w:hAnsiTheme="minorHAnsi"/>
      <w:b/>
      <w:color w:val="0070C0"/>
      <w:u w:val="dotted"/>
    </w:rPr>
  </w:style>
  <w:style w:type="paragraph" w:styleId="Footer">
    <w:name w:val="footer"/>
    <w:basedOn w:val="BodyText"/>
    <w:link w:val="FooterChar"/>
    <w:uiPriority w:val="99"/>
    <w:rsid w:val="00B52205"/>
    <w:pPr>
      <w:spacing w:before="0" w:line="200" w:lineRule="atLeast"/>
    </w:pPr>
    <w:rPr>
      <w:i/>
      <w:color w:val="6F6652" w:themeColor="text2"/>
      <w:sz w:val="16"/>
      <w:szCs w:val="14"/>
    </w:rPr>
  </w:style>
  <w:style w:type="character" w:customStyle="1" w:styleId="FooterChar">
    <w:name w:val="Footer Char"/>
    <w:basedOn w:val="DefaultParagraphFont"/>
    <w:link w:val="Footer"/>
    <w:uiPriority w:val="99"/>
    <w:rsid w:val="001624ED"/>
    <w:rPr>
      <w:rFonts w:asciiTheme="minorHAnsi" w:eastAsia="Times New Roman" w:hAnsiTheme="minorHAnsi"/>
      <w:i/>
      <w:color w:val="6F6652" w:themeColor="text2"/>
      <w:sz w:val="16"/>
      <w:szCs w:val="14"/>
    </w:rPr>
  </w:style>
  <w:style w:type="character" w:styleId="FootnoteReference">
    <w:name w:val="footnote reference"/>
    <w:uiPriority w:val="25"/>
    <w:unhideWhenUsed/>
    <w:rsid w:val="008A036A"/>
    <w:rPr>
      <w:rFonts w:ascii="Calisto MT" w:hAnsi="Calisto MT"/>
      <w:b w:val="0"/>
      <w:i w:val="0"/>
      <w:color w:val="auto"/>
      <w:w w:val="100"/>
      <w:position w:val="4"/>
      <w:sz w:val="18"/>
      <w:szCs w:val="21"/>
      <w:vertAlign w:val="baseline"/>
    </w:rPr>
  </w:style>
  <w:style w:type="paragraph" w:styleId="FootnoteText">
    <w:name w:val="footnote text"/>
    <w:basedOn w:val="BodyText"/>
    <w:link w:val="FootnoteTextChar"/>
    <w:uiPriority w:val="25"/>
    <w:unhideWhenUsed/>
    <w:rsid w:val="008A036A"/>
    <w:pPr>
      <w:spacing w:before="80" w:line="240" w:lineRule="atLeast"/>
      <w:ind w:left="284" w:hanging="284"/>
    </w:pPr>
    <w:rPr>
      <w:sz w:val="19"/>
      <w:szCs w:val="18"/>
    </w:rPr>
  </w:style>
  <w:style w:type="character" w:customStyle="1" w:styleId="FootnoteTextChar">
    <w:name w:val="Footnote Text Char"/>
    <w:basedOn w:val="DefaultParagraphFont"/>
    <w:link w:val="FootnoteText"/>
    <w:uiPriority w:val="25"/>
    <w:rsid w:val="002812E4"/>
    <w:rPr>
      <w:rFonts w:asciiTheme="minorHAnsi" w:eastAsia="Times New Roman" w:hAnsiTheme="minorHAnsi"/>
      <w:sz w:val="19"/>
      <w:szCs w:val="18"/>
    </w:rPr>
  </w:style>
  <w:style w:type="paragraph" w:styleId="Header">
    <w:name w:val="header"/>
    <w:basedOn w:val="BodyText"/>
    <w:link w:val="HeaderChar"/>
    <w:uiPriority w:val="99"/>
    <w:rsid w:val="006D44B3"/>
    <w:pPr>
      <w:tabs>
        <w:tab w:val="left" w:pos="-567"/>
        <w:tab w:val="left" w:pos="0"/>
        <w:tab w:val="right" w:pos="7938"/>
        <w:tab w:val="right" w:pos="8505"/>
      </w:tabs>
      <w:spacing w:before="0" w:line="240" w:lineRule="auto"/>
      <w:ind w:left="-2268" w:right="-2268"/>
    </w:pPr>
    <w:rPr>
      <w:rFonts w:ascii="Franklin Gothic Medium" w:hAnsi="Franklin Gothic Medium"/>
      <w:sz w:val="14"/>
      <w:szCs w:val="14"/>
    </w:rPr>
  </w:style>
  <w:style w:type="character" w:customStyle="1" w:styleId="HeaderChar">
    <w:name w:val="Header Char"/>
    <w:basedOn w:val="DefaultParagraphFont"/>
    <w:link w:val="Header"/>
    <w:uiPriority w:val="99"/>
    <w:rsid w:val="006D44B3"/>
    <w:rPr>
      <w:rFonts w:ascii="Franklin Gothic Medium" w:eastAsia="Times New Roman" w:hAnsi="Franklin Gothic Medium"/>
      <w:sz w:val="14"/>
      <w:szCs w:val="14"/>
    </w:rPr>
  </w:style>
  <w:style w:type="character" w:customStyle="1" w:styleId="Heading1Char">
    <w:name w:val="Heading 1 Char"/>
    <w:aliases w:val="h1 Char,EOI - Heading 1 (Low) Char,Heading 1 (low) Char,Para1 Char,h11 Char,h12 Char,ChapterHeadingNumber Char,Top 1 Char,ParaLevel1 Char,Level 1 Para Char,Level 1 Para1 Char,Level 1 Para2 Char,Level 1 Para3 Char,Level 1 Para4 Char,1 Char"/>
    <w:basedOn w:val="DefaultParagraphFont"/>
    <w:link w:val="Heading1"/>
    <w:rsid w:val="00160C29"/>
    <w:rPr>
      <w:rFonts w:asciiTheme="majorHAnsi" w:eastAsia="Times New Roman" w:hAnsiTheme="majorHAnsi"/>
      <w:i/>
      <w:kern w:val="28"/>
      <w:sz w:val="36"/>
      <w:szCs w:val="32"/>
    </w:rPr>
  </w:style>
  <w:style w:type="character" w:customStyle="1" w:styleId="Heading2Char">
    <w:name w:val="Heading 2 Char"/>
    <w:aliases w:val="Para2 Char,h2 Char,BT-Legal Numbering Char,Head hdbk Char,Top 2 Char,H2 Char,h2 main heading Char,B Sub/Bold Char,B Sub/Bold1 Char,B Sub/Bold2 Char,B Sub/Bold11 Char,h2 main heading1 Char,h2 main heading2 Char,B Sub/Bold3 Char,Para 2 Char"/>
    <w:basedOn w:val="DefaultParagraphFont"/>
    <w:link w:val="Heading2"/>
    <w:rsid w:val="00160C29"/>
    <w:rPr>
      <w:rFonts w:asciiTheme="majorHAnsi" w:eastAsia="Times New Roman" w:hAnsiTheme="majorHAnsi"/>
      <w:b/>
      <w:i/>
      <w:color w:val="F61D12" w:themeColor="accent2"/>
      <w:kern w:val="28"/>
      <w:sz w:val="30"/>
      <w:szCs w:val="26"/>
    </w:rPr>
  </w:style>
  <w:style w:type="paragraph" w:styleId="ListBullet2">
    <w:name w:val="List Bullet 2"/>
    <w:basedOn w:val="ListBullet"/>
    <w:link w:val="ListBullet2Char"/>
    <w:uiPriority w:val="2"/>
    <w:qFormat/>
    <w:rsid w:val="004C31EE"/>
    <w:pPr>
      <w:numPr>
        <w:ilvl w:val="1"/>
      </w:numPr>
      <w:spacing w:before="40"/>
      <w:ind w:left="568" w:hanging="284"/>
    </w:pPr>
  </w:style>
  <w:style w:type="character" w:customStyle="1" w:styleId="Heading3Char">
    <w:name w:val="Heading 3 Char"/>
    <w:aliases w:val="Normal + num Char,Level 1 - 2 Char,h3 Char,EOI - Heading 3 Char,h3 sub heading Char,Para3 Char,Paragraph (heading 3) Char,BTL Numbered Char,L3 Char,3 Char,Level 1 - 1 Char,Report Heading 3 Char,d Char,Tempo Heading 3 Char,H3 Char,h31 Char"/>
    <w:basedOn w:val="DefaultParagraphFont"/>
    <w:link w:val="Heading3"/>
    <w:rsid w:val="00160C29"/>
    <w:rPr>
      <w:rFonts w:eastAsia="Times New Roman"/>
      <w:b/>
      <w:i/>
      <w:kern w:val="28"/>
      <w:sz w:val="25"/>
      <w:szCs w:val="22"/>
    </w:rPr>
  </w:style>
  <w:style w:type="character" w:customStyle="1" w:styleId="Heading4Char">
    <w:name w:val="Heading 4 Char"/>
    <w:aliases w:val="h4 Char,L4 Char,Level 2 - a Char,sd Char,Standard H3 Char,h41 Char,Titre 4 Char,1.1.1.1 Char,bullet Char,bl Char,bb Char,h4 sub sub heading Char,Level 2 - (a) Char,4 Char,Org Heading 2 Char,Sub3Para Char,proj4 Char,proj41 Char,proj42 Char"/>
    <w:basedOn w:val="DefaultParagraphFont"/>
    <w:link w:val="Heading4"/>
    <w:rsid w:val="00160C29"/>
    <w:rPr>
      <w:rFonts w:eastAsia="Times New Roman"/>
      <w:b/>
      <w:i/>
      <w:color w:val="6F6652" w:themeColor="text2"/>
      <w:kern w:val="28"/>
      <w:szCs w:val="22"/>
    </w:rPr>
  </w:style>
  <w:style w:type="character" w:customStyle="1" w:styleId="Heading5Char">
    <w:name w:val="Heading 5 Char"/>
    <w:aliases w:val="h5 Char,L5 Char,Level 3 - i Char,L51 Char,Para5 Char,i. Char,H1 Char,subsubpara Char,1.1.1.1.1 Char,H11 Char,3rd sub-clause Char,h51 Char,h52 Char,5 Char,H111 Char,VS5 Char,remove 5 Char,-25. Char,DO NOT USE 5 Char,Further Points Char"/>
    <w:basedOn w:val="DefaultParagraphFont"/>
    <w:link w:val="Heading5"/>
    <w:rsid w:val="00742A5F"/>
    <w:rPr>
      <w:rFonts w:asciiTheme="minorHAnsi" w:eastAsia="Times New Roman" w:hAnsiTheme="minorHAnsi"/>
      <w:i/>
      <w:color w:val="6F6652" w:themeColor="text2"/>
      <w:kern w:val="28"/>
      <w:szCs w:val="22"/>
    </w:rPr>
  </w:style>
  <w:style w:type="character" w:customStyle="1" w:styleId="Heading6Char">
    <w:name w:val="Heading 6 Char"/>
    <w:aliases w:val="Square Bullet list Char,Sub5Para Char,L1 PIP Char,a Char,b Char,H6 Char,Heading 6(unused) Char,Heading 6(unused)1 Char,VS6 Char,Main Char,DO NOT USE 6 Char,Points in Text Char,Points in Text1 Char,Points in Text2 Char,Points in Text3 Char"/>
    <w:basedOn w:val="DefaultParagraphFont"/>
    <w:link w:val="Heading6"/>
    <w:rsid w:val="00160C29"/>
    <w:rPr>
      <w:rFonts w:asciiTheme="majorHAnsi" w:eastAsia="Times New Roman" w:hAnsiTheme="majorHAnsi"/>
      <w:bCs/>
      <w:i/>
      <w:kern w:val="28"/>
      <w:sz w:val="36"/>
      <w:szCs w:val="32"/>
    </w:rPr>
  </w:style>
  <w:style w:type="character" w:customStyle="1" w:styleId="Heading7Char">
    <w:name w:val="Heading 7 Char"/>
    <w:aliases w:val="Indented hyphen Char,L2 PIP Char,H7 Char,Heading 7(unused) Char,Heading 7(unused)1 Char,DO NOT USE 7 Char,Legal Level 1.1. Char,not Kinhill1 Char"/>
    <w:basedOn w:val="DefaultParagraphFont"/>
    <w:link w:val="Heading7"/>
    <w:rsid w:val="00182068"/>
    <w:rPr>
      <w:rFonts w:eastAsia="Times New Roman"/>
      <w:b/>
      <w:i/>
      <w:color w:val="F61D12" w:themeColor="accent2"/>
      <w:kern w:val="28"/>
      <w:sz w:val="30"/>
      <w:szCs w:val="26"/>
    </w:rPr>
  </w:style>
  <w:style w:type="character" w:customStyle="1" w:styleId="Heading8Char">
    <w:name w:val="Heading 8 Char"/>
    <w:aliases w:val="L3 PIP Char,H8 Char,Heading 8(unused) Char,Heading 8(unused)1 Char,DO NOT USE Char,DO NOT USE 8 Char,Legal Level 1.1.1. Char"/>
    <w:basedOn w:val="DefaultParagraphFont"/>
    <w:link w:val="Heading8"/>
    <w:rsid w:val="00160C29"/>
    <w:rPr>
      <w:rFonts w:eastAsia="Times New Roman"/>
      <w:b/>
      <w:i/>
      <w:kern w:val="28"/>
      <w:sz w:val="25"/>
      <w:szCs w:val="22"/>
    </w:rPr>
  </w:style>
  <w:style w:type="character" w:customStyle="1" w:styleId="Heading9Char">
    <w:name w:val="Heading 9 Char"/>
    <w:aliases w:val="Spare5 Char,H9 Char,Heading 9(unused) Char,Heading 9(unused)1 Char,DO NOT USE 9 Char,Legal Level 1.1.1.1. Char"/>
    <w:basedOn w:val="DefaultParagraphFont"/>
    <w:link w:val="Heading9"/>
    <w:rsid w:val="00160C29"/>
    <w:rPr>
      <w:rFonts w:eastAsia="Times New Roman"/>
      <w:b/>
      <w:i/>
      <w:kern w:val="28"/>
      <w:szCs w:val="22"/>
    </w:rPr>
  </w:style>
  <w:style w:type="character" w:styleId="Hyperlink">
    <w:name w:val="Hyperlink"/>
    <w:uiPriority w:val="99"/>
    <w:semiHidden/>
    <w:rsid w:val="00FE6AD6"/>
    <w:rPr>
      <w:b w:val="0"/>
      <w:i w:val="0"/>
      <w:color w:val="6F6652" w:themeColor="text2"/>
      <w:u w:val="none"/>
    </w:rPr>
  </w:style>
  <w:style w:type="paragraph" w:customStyle="1" w:styleId="Invisiblepara">
    <w:name w:val="Invisible para"/>
    <w:basedOn w:val="Normal"/>
    <w:uiPriority w:val="99"/>
    <w:rsid w:val="00664723"/>
    <w:pPr>
      <w:keepNext/>
      <w:spacing w:before="320" w:line="80" w:lineRule="exact"/>
    </w:pPr>
    <w:rPr>
      <w:rFonts w:eastAsia="Times New Roman"/>
      <w:szCs w:val="20"/>
    </w:rPr>
  </w:style>
  <w:style w:type="character" w:customStyle="1" w:styleId="NoteLabel">
    <w:name w:val="Note Label"/>
    <w:uiPriority w:val="15"/>
    <w:rsid w:val="008D63BD"/>
    <w:rPr>
      <w:rFonts w:ascii="Franklin Gothic Demi" w:hAnsi="Franklin Gothic Demi"/>
      <w:b w:val="0"/>
      <w:i w:val="0"/>
      <w:color w:val="9B917E" w:themeColor="accent4"/>
      <w:position w:val="4"/>
      <w:sz w:val="14"/>
      <w:szCs w:val="16"/>
    </w:rPr>
  </w:style>
  <w:style w:type="character" w:styleId="PageNumber">
    <w:name w:val="page number"/>
    <w:uiPriority w:val="99"/>
    <w:rsid w:val="00AB00C7"/>
    <w:rPr>
      <w:rFonts w:ascii="Franklin Gothic Demi" w:hAnsi="Franklin Gothic Demi"/>
      <w:b w:val="0"/>
      <w:color w:val="006B7A" w:themeColor="accent1"/>
      <w:sz w:val="20"/>
      <w:szCs w:val="20"/>
    </w:rPr>
  </w:style>
  <w:style w:type="paragraph" w:styleId="Quote">
    <w:name w:val="Quote"/>
    <w:basedOn w:val="BodyText"/>
    <w:next w:val="BodyText"/>
    <w:link w:val="QuoteChar"/>
    <w:uiPriority w:val="3"/>
    <w:qFormat/>
    <w:rsid w:val="00160C29"/>
    <w:pPr>
      <w:spacing w:before="70" w:line="260" w:lineRule="atLeast"/>
      <w:ind w:left="284"/>
    </w:pPr>
    <w:rPr>
      <w:sz w:val="19"/>
      <w:szCs w:val="20"/>
    </w:rPr>
  </w:style>
  <w:style w:type="character" w:customStyle="1" w:styleId="QuoteChar">
    <w:name w:val="Quote Char"/>
    <w:basedOn w:val="DefaultParagraphFont"/>
    <w:link w:val="Quote"/>
    <w:uiPriority w:val="3"/>
    <w:rsid w:val="00160C29"/>
    <w:rPr>
      <w:rFonts w:asciiTheme="minorHAnsi" w:eastAsia="Times New Roman" w:hAnsiTheme="minorHAnsi"/>
      <w:sz w:val="19"/>
      <w:szCs w:val="20"/>
    </w:rPr>
  </w:style>
  <w:style w:type="paragraph" w:customStyle="1" w:styleId="RecommendationNumber">
    <w:name w:val="Recommendation Number"/>
    <w:basedOn w:val="BodyText"/>
    <w:next w:val="RecommendationNumber2"/>
    <w:uiPriority w:val="28"/>
    <w:rsid w:val="002C0234"/>
    <w:pPr>
      <w:numPr>
        <w:numId w:val="8"/>
      </w:numPr>
      <w:spacing w:before="80"/>
    </w:pPr>
    <w:rPr>
      <w:rFonts w:ascii="Franklin Gothic Book" w:eastAsia="MS Mincho" w:hAnsi="Franklin Gothic Book" w:cs="MS Mincho"/>
    </w:rPr>
  </w:style>
  <w:style w:type="paragraph" w:customStyle="1" w:styleId="Reference">
    <w:name w:val="Reference"/>
    <w:basedOn w:val="BodyText"/>
    <w:uiPriority w:val="3"/>
    <w:rsid w:val="00160C29"/>
    <w:pPr>
      <w:spacing w:before="70" w:line="260" w:lineRule="atLeast"/>
      <w:ind w:left="284" w:hanging="284"/>
    </w:pPr>
    <w:rPr>
      <w:sz w:val="19"/>
      <w:szCs w:val="20"/>
    </w:rPr>
  </w:style>
  <w:style w:type="paragraph" w:customStyle="1" w:styleId="Reporttype">
    <w:name w:val="Report type"/>
    <w:basedOn w:val="Date"/>
    <w:next w:val="Title"/>
    <w:uiPriority w:val="31"/>
    <w:rsid w:val="009A4238"/>
    <w:pPr>
      <w:spacing w:before="0" w:after="280" w:line="260" w:lineRule="atLeast"/>
    </w:pPr>
    <w:rPr>
      <w:rFonts w:ascii="Franklin Gothic Demi" w:hAnsi="Franklin Gothic Demi"/>
      <w:i w:val="0"/>
      <w:caps/>
      <w:color w:val="F61D12" w:themeColor="accent2"/>
      <w:spacing w:val="44"/>
      <w:sz w:val="22"/>
    </w:rPr>
  </w:style>
  <w:style w:type="paragraph" w:customStyle="1" w:styleId="TableDataEntries">
    <w:name w:val="Table Data Entries"/>
    <w:basedOn w:val="TableTextEntries"/>
    <w:uiPriority w:val="11"/>
    <w:rsid w:val="003C4883"/>
    <w:pPr>
      <w:spacing w:before="40" w:after="40"/>
      <w:jc w:val="right"/>
    </w:pPr>
  </w:style>
  <w:style w:type="paragraph" w:customStyle="1" w:styleId="TableDataColumnHeading">
    <w:name w:val="Table Data Column Heading"/>
    <w:basedOn w:val="TableDataEntries"/>
    <w:uiPriority w:val="11"/>
    <w:rsid w:val="00E879B8"/>
    <w:pPr>
      <w:keepNext/>
      <w:spacing w:before="80" w:after="80"/>
    </w:pPr>
    <w:rPr>
      <w:rFonts w:ascii="Franklin Gothic Demi" w:hAnsi="Franklin Gothic Demi"/>
      <w:color w:val="FFFFFF"/>
    </w:rPr>
  </w:style>
  <w:style w:type="paragraph" w:customStyle="1" w:styleId="TableHeading1">
    <w:name w:val="Table Heading 1"/>
    <w:basedOn w:val="TableTextEntries"/>
    <w:next w:val="TableTextEntries"/>
    <w:uiPriority w:val="10"/>
    <w:rsid w:val="00FC141A"/>
    <w:pPr>
      <w:spacing w:before="140"/>
    </w:pPr>
    <w:rPr>
      <w:rFonts w:ascii="Franklin Gothic Demi" w:hAnsi="Franklin Gothic Demi"/>
      <w:color w:val="6F6652" w:themeColor="text2"/>
    </w:rPr>
  </w:style>
  <w:style w:type="paragraph" w:customStyle="1" w:styleId="TableHeading2">
    <w:name w:val="Table Heading 2"/>
    <w:basedOn w:val="TableHeading1"/>
    <w:next w:val="TableTextEntries"/>
    <w:uiPriority w:val="10"/>
    <w:rsid w:val="00591C8C"/>
    <w:pPr>
      <w:spacing w:before="80"/>
    </w:pPr>
    <w:rPr>
      <w:rFonts w:ascii="Franklin Gothic Medium" w:hAnsi="Franklin Gothic Medium"/>
    </w:rPr>
  </w:style>
  <w:style w:type="paragraph" w:customStyle="1" w:styleId="TableTextColumnHeading">
    <w:name w:val="Table Text Column Heading"/>
    <w:basedOn w:val="TableDataColumnHeading"/>
    <w:uiPriority w:val="13"/>
    <w:rsid w:val="00D950CE"/>
    <w:pPr>
      <w:jc w:val="left"/>
    </w:pPr>
  </w:style>
  <w:style w:type="paragraph" w:customStyle="1" w:styleId="TableUnit">
    <w:name w:val="Table Unit"/>
    <w:basedOn w:val="TableDataColumnHeading"/>
    <w:next w:val="TableDataEntries"/>
    <w:uiPriority w:val="11"/>
    <w:rsid w:val="00AF5770"/>
    <w:rPr>
      <w:rFonts w:ascii="Franklin Gothic Book" w:hAnsi="Franklin Gothic Book"/>
      <w:color w:val="auto"/>
      <w:szCs w:val="17"/>
    </w:rPr>
  </w:style>
  <w:style w:type="paragraph" w:styleId="TOC1">
    <w:name w:val="toc 1"/>
    <w:basedOn w:val="BodyText"/>
    <w:next w:val="TOC2"/>
    <w:uiPriority w:val="39"/>
    <w:rsid w:val="006B34C3"/>
    <w:pPr>
      <w:tabs>
        <w:tab w:val="left" w:pos="340"/>
        <w:tab w:val="right" w:pos="7938"/>
      </w:tabs>
      <w:spacing w:line="260" w:lineRule="atLeast"/>
      <w:ind w:right="567"/>
    </w:pPr>
    <w:rPr>
      <w:rFonts w:ascii="Franklin Gothic Demi" w:hAnsi="Franklin Gothic Demi"/>
      <w:szCs w:val="24"/>
    </w:rPr>
  </w:style>
  <w:style w:type="paragraph" w:styleId="TOC2">
    <w:name w:val="toc 2"/>
    <w:basedOn w:val="TOC1"/>
    <w:uiPriority w:val="39"/>
    <w:rsid w:val="00D908FD"/>
    <w:pPr>
      <w:tabs>
        <w:tab w:val="clear" w:pos="340"/>
      </w:tabs>
      <w:spacing w:before="60"/>
      <w:ind w:left="340"/>
    </w:pPr>
    <w:rPr>
      <w:rFonts w:ascii="Calisto MT" w:hAnsi="Calisto MT"/>
    </w:rPr>
  </w:style>
  <w:style w:type="paragraph" w:styleId="TOC3">
    <w:name w:val="toc 3"/>
    <w:basedOn w:val="TOC2"/>
    <w:next w:val="BodyText"/>
    <w:uiPriority w:val="39"/>
    <w:semiHidden/>
    <w:rsid w:val="00D908FD"/>
    <w:pPr>
      <w:ind w:left="680"/>
    </w:pPr>
  </w:style>
  <w:style w:type="paragraph" w:styleId="TOC6">
    <w:name w:val="toc 6"/>
    <w:basedOn w:val="BodyText"/>
    <w:next w:val="BodyText"/>
    <w:uiPriority w:val="39"/>
    <w:semiHidden/>
    <w:rsid w:val="0052602A"/>
    <w:pPr>
      <w:tabs>
        <w:tab w:val="left" w:pos="284"/>
        <w:tab w:val="right" w:pos="7655"/>
      </w:tabs>
      <w:ind w:left="284" w:right="567" w:hanging="284"/>
    </w:pPr>
  </w:style>
  <w:style w:type="paragraph" w:styleId="TOC7">
    <w:name w:val="toc 7"/>
    <w:basedOn w:val="TOC6"/>
    <w:next w:val="TOC1"/>
    <w:uiPriority w:val="39"/>
    <w:semiHidden/>
    <w:rsid w:val="009C0B20"/>
    <w:pPr>
      <w:tabs>
        <w:tab w:val="left" w:pos="1418"/>
      </w:tabs>
      <w:spacing w:before="80"/>
      <w:ind w:left="709" w:hanging="425"/>
    </w:pPr>
  </w:style>
  <w:style w:type="numbering" w:customStyle="1" w:styleId="HeadingNumbers">
    <w:name w:val="HeadingNumbers"/>
    <w:uiPriority w:val="99"/>
    <w:rsid w:val="00FD7C5A"/>
    <w:pPr>
      <w:numPr>
        <w:numId w:val="5"/>
      </w:numPr>
    </w:pPr>
  </w:style>
  <w:style w:type="paragraph" w:customStyle="1" w:styleId="TableListBullet">
    <w:name w:val="Table List Bullet"/>
    <w:basedOn w:val="TableTextEntries"/>
    <w:uiPriority w:val="14"/>
    <w:rsid w:val="00E35B83"/>
    <w:pPr>
      <w:numPr>
        <w:numId w:val="7"/>
      </w:numPr>
      <w:spacing w:line="210" w:lineRule="atLeast"/>
    </w:pPr>
    <w:rPr>
      <w:szCs w:val="19"/>
    </w:rPr>
  </w:style>
  <w:style w:type="paragraph" w:customStyle="1" w:styleId="TableListBullet2">
    <w:name w:val="Table List Bullet 2"/>
    <w:basedOn w:val="TableListBullet"/>
    <w:uiPriority w:val="14"/>
    <w:rsid w:val="00B402A3"/>
    <w:pPr>
      <w:numPr>
        <w:ilvl w:val="1"/>
      </w:numPr>
    </w:pPr>
  </w:style>
  <w:style w:type="paragraph" w:customStyle="1" w:styleId="TableListNumber">
    <w:name w:val="Table List Number"/>
    <w:basedOn w:val="TableTextEntries"/>
    <w:uiPriority w:val="14"/>
    <w:rsid w:val="00497862"/>
    <w:pPr>
      <w:numPr>
        <w:numId w:val="1"/>
      </w:numPr>
      <w:spacing w:before="40" w:after="40"/>
    </w:pPr>
    <w:rPr>
      <w:szCs w:val="19"/>
    </w:rPr>
  </w:style>
  <w:style w:type="paragraph" w:customStyle="1" w:styleId="TableListNumber2">
    <w:name w:val="Table List Number 2"/>
    <w:basedOn w:val="TableListNumber"/>
    <w:uiPriority w:val="14"/>
    <w:rsid w:val="00B402A3"/>
    <w:pPr>
      <w:numPr>
        <w:ilvl w:val="1"/>
      </w:numPr>
    </w:pPr>
  </w:style>
  <w:style w:type="numbering" w:customStyle="1" w:styleId="TableListBullets">
    <w:name w:val="TableListBullets"/>
    <w:uiPriority w:val="99"/>
    <w:rsid w:val="00E35B83"/>
    <w:pPr>
      <w:numPr>
        <w:numId w:val="2"/>
      </w:numPr>
    </w:pPr>
  </w:style>
  <w:style w:type="numbering" w:customStyle="1" w:styleId="TableListNumbers">
    <w:name w:val="TableListNumbers"/>
    <w:uiPriority w:val="99"/>
    <w:rsid w:val="00497862"/>
    <w:pPr>
      <w:numPr>
        <w:numId w:val="1"/>
      </w:numPr>
    </w:pPr>
  </w:style>
  <w:style w:type="character" w:styleId="PlaceholderText">
    <w:name w:val="Placeholder Text"/>
    <w:basedOn w:val="DefaultParagraphFont"/>
    <w:uiPriority w:val="99"/>
    <w:semiHidden/>
    <w:rsid w:val="00AF4E66"/>
    <w:rPr>
      <w:color w:val="808080"/>
    </w:rPr>
  </w:style>
  <w:style w:type="paragraph" w:customStyle="1" w:styleId="ChartListBullet">
    <w:name w:val="Chart List Bullet"/>
    <w:basedOn w:val="TableListBullet"/>
    <w:uiPriority w:val="24"/>
    <w:rsid w:val="00CC4851"/>
    <w:pPr>
      <w:numPr>
        <w:numId w:val="3"/>
      </w:numPr>
      <w:spacing w:before="50" w:after="0" w:line="200" w:lineRule="atLeast"/>
    </w:pPr>
    <w:rPr>
      <w:rFonts w:ascii="Franklin Gothic Medium" w:hAnsi="Franklin Gothic Medium"/>
      <w:szCs w:val="18"/>
    </w:rPr>
  </w:style>
  <w:style w:type="paragraph" w:customStyle="1" w:styleId="ChartListBullet2">
    <w:name w:val="Chart List Bullet 2"/>
    <w:basedOn w:val="ChartText"/>
    <w:uiPriority w:val="24"/>
    <w:rsid w:val="00CC4851"/>
    <w:pPr>
      <w:numPr>
        <w:ilvl w:val="1"/>
        <w:numId w:val="3"/>
      </w:numPr>
      <w:spacing w:before="30"/>
    </w:pPr>
  </w:style>
  <w:style w:type="paragraph" w:customStyle="1" w:styleId="ChartListNumber0">
    <w:name w:val="Chart List Number"/>
    <w:basedOn w:val="ChartText"/>
    <w:uiPriority w:val="24"/>
    <w:rsid w:val="004563C5"/>
    <w:pPr>
      <w:numPr>
        <w:numId w:val="4"/>
      </w:numPr>
      <w:spacing w:before="60"/>
    </w:pPr>
  </w:style>
  <w:style w:type="numbering" w:customStyle="1" w:styleId="ChartListNumber">
    <w:name w:val="ChartListNumber"/>
    <w:uiPriority w:val="99"/>
    <w:rsid w:val="004563C5"/>
    <w:pPr>
      <w:numPr>
        <w:numId w:val="4"/>
      </w:numPr>
    </w:pPr>
  </w:style>
  <w:style w:type="numbering" w:customStyle="1" w:styleId="RecommendationNumbers">
    <w:name w:val="RecommendationNumbers"/>
    <w:uiPriority w:val="99"/>
    <w:rsid w:val="002C0234"/>
    <w:pPr>
      <w:numPr>
        <w:numId w:val="6"/>
      </w:numPr>
    </w:pPr>
  </w:style>
  <w:style w:type="paragraph" w:customStyle="1" w:styleId="Abbreviation">
    <w:name w:val="Abbreviation"/>
    <w:basedOn w:val="BodyText"/>
    <w:uiPriority w:val="3"/>
    <w:rsid w:val="002321B8"/>
    <w:pPr>
      <w:ind w:left="1134" w:hanging="1134"/>
    </w:pPr>
  </w:style>
  <w:style w:type="paragraph" w:styleId="TableofFigures">
    <w:name w:val="table of figures"/>
    <w:basedOn w:val="BodyText"/>
    <w:next w:val="BodyText"/>
    <w:uiPriority w:val="99"/>
    <w:rsid w:val="00830E27"/>
    <w:pPr>
      <w:tabs>
        <w:tab w:val="left" w:pos="510"/>
        <w:tab w:val="right" w:pos="7938"/>
      </w:tabs>
      <w:spacing w:before="60" w:line="260" w:lineRule="atLeast"/>
      <w:ind w:left="510" w:right="567" w:hanging="510"/>
    </w:pPr>
  </w:style>
  <w:style w:type="table" w:styleId="TableGrid">
    <w:name w:val="Table Grid"/>
    <w:basedOn w:val="TableNormal"/>
    <w:uiPriority w:val="59"/>
    <w:rsid w:val="00C93691"/>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519F1"/>
    <w:rPr>
      <w:color w:val="9B917E" w:themeColor="followedHyperlink"/>
      <w:u w:val="single"/>
    </w:rPr>
  </w:style>
  <w:style w:type="paragraph" w:styleId="NoSpacing">
    <w:name w:val="No Spacing"/>
    <w:basedOn w:val="Normal"/>
    <w:uiPriority w:val="1"/>
    <w:qFormat/>
    <w:rsid w:val="00160C29"/>
    <w:pPr>
      <w:spacing w:line="240" w:lineRule="auto"/>
    </w:pPr>
    <w:rPr>
      <w:rFonts w:asciiTheme="minorHAnsi" w:eastAsiaTheme="minorHAnsi" w:hAnsiTheme="minorHAnsi"/>
      <w:color w:val="000000" w:themeColor="text1"/>
      <w:szCs w:val="20"/>
      <w:lang w:val="en-US" w:eastAsia="ja-JP"/>
    </w:rPr>
  </w:style>
  <w:style w:type="paragraph" w:styleId="CommentSubject">
    <w:name w:val="annotation subject"/>
    <w:basedOn w:val="CommentText"/>
    <w:next w:val="CommentText"/>
    <w:link w:val="CommentSubjectChar"/>
    <w:uiPriority w:val="99"/>
    <w:semiHidden/>
    <w:rsid w:val="00EB66C5"/>
    <w:pPr>
      <w:spacing w:before="0" w:line="240" w:lineRule="auto"/>
    </w:pPr>
    <w:rPr>
      <w:rFonts w:ascii="Calibri" w:eastAsiaTheme="minorEastAsia" w:hAnsi="Calibri" w:cstheme="minorBidi"/>
      <w:b/>
      <w:bCs/>
    </w:rPr>
  </w:style>
  <w:style w:type="character" w:customStyle="1" w:styleId="CommentSubjectChar">
    <w:name w:val="Comment Subject Char"/>
    <w:basedOn w:val="CommentTextChar"/>
    <w:link w:val="CommentSubject"/>
    <w:uiPriority w:val="99"/>
    <w:semiHidden/>
    <w:rsid w:val="002812E4"/>
    <w:rPr>
      <w:rFonts w:ascii="Calibri" w:eastAsia="Times New Roman" w:hAnsi="Calibri" w:cstheme="minorBidi"/>
      <w:b/>
      <w:bCs/>
      <w:sz w:val="20"/>
      <w:szCs w:val="20"/>
    </w:rPr>
  </w:style>
  <w:style w:type="paragraph" w:styleId="Revision">
    <w:name w:val="Revision"/>
    <w:hidden/>
    <w:uiPriority w:val="99"/>
    <w:semiHidden/>
    <w:rsid w:val="00EB66C5"/>
    <w:pPr>
      <w:spacing w:before="0" w:line="240" w:lineRule="auto"/>
    </w:pPr>
  </w:style>
  <w:style w:type="paragraph" w:styleId="BalloonText">
    <w:name w:val="Balloon Text"/>
    <w:basedOn w:val="Normal"/>
    <w:link w:val="BalloonTextChar"/>
    <w:semiHidden/>
    <w:unhideWhenUsed/>
    <w:rsid w:val="00EB66C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EB66C5"/>
    <w:rPr>
      <w:rFonts w:ascii="Tahoma" w:hAnsi="Tahoma" w:cs="Tahoma"/>
      <w:sz w:val="16"/>
      <w:szCs w:val="16"/>
    </w:rPr>
  </w:style>
  <w:style w:type="paragraph" w:customStyle="1" w:styleId="HighlightMessage">
    <w:name w:val="Highlight Message"/>
    <w:basedOn w:val="BodyText"/>
    <w:next w:val="BodyText"/>
    <w:rsid w:val="00814B8B"/>
    <w:pPr>
      <w:keepNext/>
      <w:spacing w:before="360" w:line="260" w:lineRule="atLeast"/>
      <w:ind w:right="1701"/>
    </w:pPr>
    <w:rPr>
      <w:rFonts w:ascii="Franklin Gothic Heavy" w:hAnsi="Franklin Gothic Heavy"/>
      <w:color w:val="F61D12" w:themeColor="accent2"/>
      <w:szCs w:val="16"/>
      <w:lang w:eastAsia="en-US"/>
    </w:rPr>
  </w:style>
  <w:style w:type="paragraph" w:customStyle="1" w:styleId="Chart">
    <w:name w:val="Chart"/>
    <w:basedOn w:val="BodyText"/>
    <w:uiPriority w:val="99"/>
    <w:unhideWhenUsed/>
    <w:rsid w:val="00576C2E"/>
    <w:pPr>
      <w:spacing w:before="0" w:line="200" w:lineRule="atLeast"/>
    </w:pPr>
    <w:rPr>
      <w:lang w:eastAsia="en-US"/>
    </w:rPr>
  </w:style>
  <w:style w:type="paragraph" w:customStyle="1" w:styleId="KeyPoint">
    <w:name w:val="Key Point"/>
    <w:basedOn w:val="BodyText"/>
    <w:uiPriority w:val="1"/>
    <w:rsid w:val="00825668"/>
    <w:pPr>
      <w:numPr>
        <w:numId w:val="11"/>
      </w:numPr>
    </w:pPr>
    <w:rPr>
      <w:rFonts w:ascii="Franklin Gothic Demi" w:hAnsi="Franklin Gothic Demi"/>
      <w:color w:val="6F6652" w:themeColor="text2"/>
      <w:szCs w:val="20"/>
      <w:lang w:eastAsia="en-US"/>
    </w:rPr>
  </w:style>
  <w:style w:type="paragraph" w:customStyle="1" w:styleId="ChapterSummary">
    <w:name w:val="Chapter Summary"/>
    <w:basedOn w:val="KeyPoint"/>
    <w:uiPriority w:val="1"/>
    <w:rsid w:val="00FC141A"/>
    <w:pPr>
      <w:numPr>
        <w:numId w:val="0"/>
      </w:numPr>
    </w:pPr>
  </w:style>
  <w:style w:type="paragraph" w:customStyle="1" w:styleId="ChapterIntroduction">
    <w:name w:val="Chapter Introduction"/>
    <w:basedOn w:val="ChapterSummary"/>
    <w:next w:val="BodyText"/>
    <w:uiPriority w:val="1"/>
    <w:rsid w:val="00A510ED"/>
    <w:pPr>
      <w:pBdr>
        <w:top w:val="single" w:sz="4" w:space="4" w:color="9B917E" w:themeColor="accent4"/>
        <w:bottom w:val="single" w:sz="4" w:space="6" w:color="9B917E" w:themeColor="accent4"/>
      </w:pBdr>
      <w:spacing w:after="180"/>
    </w:pPr>
    <w:rPr>
      <w:rFonts w:asciiTheme="minorHAnsi" w:hAnsiTheme="minorHAnsi"/>
      <w:b/>
      <w:i/>
      <w:color w:val="006B7A" w:themeColor="accent1"/>
      <w:sz w:val="22"/>
    </w:rPr>
  </w:style>
  <w:style w:type="paragraph" w:customStyle="1" w:styleId="Confidential">
    <w:name w:val="Confidential"/>
    <w:basedOn w:val="Reporttype"/>
    <w:uiPriority w:val="31"/>
    <w:rsid w:val="005D3C6B"/>
    <w:pPr>
      <w:spacing w:after="0"/>
    </w:pPr>
    <w:rPr>
      <w:rFonts w:ascii="Franklin Gothic Book" w:hAnsi="Franklin Gothic Book"/>
      <w:color w:val="auto"/>
      <w:spacing w:val="10"/>
    </w:rPr>
  </w:style>
  <w:style w:type="numbering" w:customStyle="1" w:styleId="ListNumbers">
    <w:name w:val="ListNumbers"/>
    <w:next w:val="NoList"/>
    <w:uiPriority w:val="99"/>
    <w:rsid w:val="00497862"/>
    <w:pPr>
      <w:numPr>
        <w:numId w:val="10"/>
      </w:numPr>
    </w:pPr>
  </w:style>
  <w:style w:type="paragraph" w:customStyle="1" w:styleId="PartNumber">
    <w:name w:val="Part Number"/>
    <w:basedOn w:val="Reporttype"/>
    <w:uiPriority w:val="34"/>
    <w:semiHidden/>
    <w:rsid w:val="006E03FF"/>
  </w:style>
  <w:style w:type="paragraph" w:customStyle="1" w:styleId="PartTitle">
    <w:name w:val="Part Title"/>
    <w:basedOn w:val="Title"/>
    <w:link w:val="PartTitleChar"/>
    <w:uiPriority w:val="34"/>
    <w:semiHidden/>
    <w:rsid w:val="00145444"/>
    <w:pPr>
      <w:spacing w:line="440" w:lineRule="atLeast"/>
    </w:pPr>
    <w:rPr>
      <w:sz w:val="36"/>
    </w:rPr>
  </w:style>
  <w:style w:type="character" w:customStyle="1" w:styleId="PartTitleChar">
    <w:name w:val="Part Title Char"/>
    <w:basedOn w:val="TitleChar"/>
    <w:link w:val="PartTitle"/>
    <w:uiPriority w:val="34"/>
    <w:semiHidden/>
    <w:rsid w:val="007B3F04"/>
    <w:rPr>
      <w:rFonts w:asciiTheme="majorHAnsi" w:eastAsia="Times New Roman" w:hAnsiTheme="majorHAnsi"/>
      <w:spacing w:val="-2"/>
      <w:kern w:val="28"/>
      <w:sz w:val="36"/>
      <w:szCs w:val="48"/>
    </w:rPr>
  </w:style>
  <w:style w:type="character" w:customStyle="1" w:styleId="ListBulletChar">
    <w:name w:val="List Bullet Char"/>
    <w:aliases w:val="Char Char, Char Char"/>
    <w:link w:val="ListBullet"/>
    <w:uiPriority w:val="2"/>
    <w:locked/>
    <w:rsid w:val="00160C29"/>
    <w:rPr>
      <w:rFonts w:asciiTheme="minorHAnsi" w:eastAsia="Times New Roman" w:hAnsiTheme="minorHAnsi"/>
    </w:rPr>
  </w:style>
  <w:style w:type="paragraph" w:styleId="TOC4">
    <w:name w:val="toc 4"/>
    <w:basedOn w:val="TOC1"/>
    <w:next w:val="TOC1"/>
    <w:uiPriority w:val="39"/>
    <w:semiHidden/>
    <w:rsid w:val="00D908FD"/>
    <w:pPr>
      <w:spacing w:before="360"/>
      <w:ind w:right="0"/>
    </w:pPr>
    <w:rPr>
      <w:caps/>
      <w:color w:val="9B917E" w:themeColor="accent4"/>
      <w:spacing w:val="10"/>
      <w:sz w:val="22"/>
    </w:rPr>
  </w:style>
  <w:style w:type="paragraph" w:styleId="TOCHeading">
    <w:name w:val="TOC Heading"/>
    <w:basedOn w:val="Heading4"/>
    <w:next w:val="TableofFigures"/>
    <w:uiPriority w:val="39"/>
    <w:semiHidden/>
    <w:rsid w:val="00FC141A"/>
    <w:pPr>
      <w:keepLines/>
      <w:numPr>
        <w:ilvl w:val="0"/>
        <w:numId w:val="0"/>
      </w:numPr>
      <w:outlineLvl w:val="9"/>
    </w:pPr>
    <w:rPr>
      <w:rFonts w:ascii="Franklin Gothic Demi" w:eastAsiaTheme="majorEastAsia" w:hAnsi="Franklin Gothic Demi" w:cstheme="majorBidi"/>
      <w:b w:val="0"/>
      <w:bCs/>
      <w:i w:val="0"/>
      <w:caps/>
      <w:color w:val="006B7A" w:themeColor="accent1"/>
      <w:spacing w:val="10"/>
      <w:sz w:val="22"/>
      <w:szCs w:val="28"/>
    </w:rPr>
  </w:style>
  <w:style w:type="character" w:customStyle="1" w:styleId="ContinuedChar">
    <w:name w:val="Continued Char"/>
    <w:basedOn w:val="DefaultParagraphFont"/>
    <w:link w:val="Continued"/>
    <w:uiPriority w:val="17"/>
    <w:rsid w:val="007A2A3B"/>
    <w:rPr>
      <w:rFonts w:ascii="Franklin Gothic Book" w:eastAsia="Times New Roman" w:hAnsi="Franklin Gothic Book"/>
      <w:sz w:val="14"/>
      <w:szCs w:val="16"/>
      <w:lang w:eastAsia="en-US"/>
    </w:rPr>
  </w:style>
  <w:style w:type="paragraph" w:styleId="ListParagraph">
    <w:name w:val="List Paragraph"/>
    <w:basedOn w:val="Normal"/>
    <w:uiPriority w:val="34"/>
    <w:qFormat/>
    <w:rsid w:val="00160C29"/>
    <w:pPr>
      <w:ind w:left="720"/>
      <w:contextualSpacing/>
    </w:pPr>
  </w:style>
  <w:style w:type="character" w:customStyle="1" w:styleId="CaptionChar">
    <w:name w:val="Caption Char"/>
    <w:basedOn w:val="BodyTextChar"/>
    <w:link w:val="Caption"/>
    <w:uiPriority w:val="99"/>
    <w:rsid w:val="00160C29"/>
    <w:rPr>
      <w:rFonts w:ascii="Franklin Gothic Demi" w:eastAsia="Times New Roman" w:hAnsi="Franklin Gothic Demi"/>
      <w:szCs w:val="20"/>
    </w:rPr>
  </w:style>
  <w:style w:type="paragraph" w:customStyle="1" w:styleId="Summary2">
    <w:name w:val="Summary 2"/>
    <w:basedOn w:val="Heading2"/>
    <w:next w:val="BodyText"/>
    <w:rsid w:val="006544F3"/>
  </w:style>
  <w:style w:type="paragraph" w:customStyle="1" w:styleId="Summary3">
    <w:name w:val="Summary 3"/>
    <w:basedOn w:val="Heading3"/>
    <w:next w:val="BodyText"/>
    <w:rsid w:val="006544F3"/>
  </w:style>
  <w:style w:type="paragraph" w:customStyle="1" w:styleId="Summary4">
    <w:name w:val="Summary 4"/>
    <w:basedOn w:val="Heading4"/>
    <w:next w:val="BodyText"/>
    <w:rsid w:val="006544F3"/>
  </w:style>
  <w:style w:type="paragraph" w:customStyle="1" w:styleId="KeyPoint2">
    <w:name w:val="Key Point 2"/>
    <w:basedOn w:val="KeyPoint"/>
    <w:next w:val="BodyText"/>
    <w:uiPriority w:val="1"/>
    <w:rsid w:val="00825668"/>
    <w:pPr>
      <w:numPr>
        <w:ilvl w:val="1"/>
      </w:numPr>
      <w:spacing w:before="80"/>
    </w:pPr>
  </w:style>
  <w:style w:type="paragraph" w:customStyle="1" w:styleId="KeyPoint3">
    <w:name w:val="Key Point 3"/>
    <w:basedOn w:val="KeyPoint2"/>
    <w:next w:val="BodyText"/>
    <w:uiPriority w:val="1"/>
    <w:rsid w:val="00825668"/>
    <w:pPr>
      <w:numPr>
        <w:ilvl w:val="2"/>
      </w:numPr>
      <w:spacing w:before="60"/>
    </w:pPr>
  </w:style>
  <w:style w:type="numbering" w:customStyle="1" w:styleId="KeyPointBullets">
    <w:name w:val="KeyPointBullets"/>
    <w:basedOn w:val="ListBullets"/>
    <w:uiPriority w:val="99"/>
    <w:rsid w:val="00825668"/>
    <w:pPr>
      <w:numPr>
        <w:numId w:val="11"/>
      </w:numPr>
    </w:pPr>
  </w:style>
  <w:style w:type="numbering" w:customStyle="1" w:styleId="NoteListNumber">
    <w:name w:val="NoteListNumber"/>
    <w:uiPriority w:val="99"/>
    <w:rsid w:val="00E864C1"/>
    <w:pPr>
      <w:numPr>
        <w:numId w:val="12"/>
      </w:numPr>
    </w:pPr>
  </w:style>
  <w:style w:type="paragraph" w:styleId="NormalWeb">
    <w:name w:val="Normal (Web)"/>
    <w:basedOn w:val="Normal"/>
    <w:uiPriority w:val="99"/>
    <w:unhideWhenUsed/>
    <w:rsid w:val="0071617D"/>
    <w:pPr>
      <w:spacing w:before="100" w:beforeAutospacing="1" w:after="100" w:afterAutospacing="1" w:line="240" w:lineRule="auto"/>
    </w:pPr>
    <w:rPr>
      <w:rFonts w:ascii="Times New Roman" w:hAnsi="Times New Roman"/>
      <w:sz w:val="24"/>
      <w:szCs w:val="24"/>
    </w:rPr>
  </w:style>
  <w:style w:type="paragraph" w:customStyle="1" w:styleId="NoteNumber">
    <w:name w:val="Note Number"/>
    <w:basedOn w:val="Note"/>
    <w:uiPriority w:val="15"/>
    <w:rsid w:val="00E6555A"/>
    <w:pPr>
      <w:numPr>
        <w:ilvl w:val="1"/>
        <w:numId w:val="13"/>
      </w:numPr>
    </w:pPr>
    <w:rPr>
      <w:szCs w:val="15"/>
    </w:rPr>
  </w:style>
  <w:style w:type="table" w:customStyle="1" w:styleId="LayoutGrid">
    <w:name w:val="Layout Grid"/>
    <w:basedOn w:val="TableNormal"/>
    <w:uiPriority w:val="99"/>
    <w:rsid w:val="006D44B3"/>
    <w:pPr>
      <w:spacing w:before="0" w:line="240" w:lineRule="auto"/>
    </w:pPr>
    <w:tblPr>
      <w:tblCellMar>
        <w:left w:w="0" w:type="dxa"/>
        <w:right w:w="0" w:type="dxa"/>
      </w:tblCellMar>
    </w:tblPr>
  </w:style>
  <w:style w:type="paragraph" w:customStyle="1" w:styleId="Customtabletitle">
    <w:name w:val="Custom table title"/>
    <w:rsid w:val="005409B7"/>
    <w:pPr>
      <w:keepNext/>
      <w:spacing w:before="360" w:after="80" w:line="260" w:lineRule="atLeast"/>
    </w:pPr>
    <w:rPr>
      <w:rFonts w:ascii="Franklin Gothic Demi" w:eastAsia="Times New Roman" w:hAnsi="Franklin Gothic Demi"/>
      <w:szCs w:val="20"/>
    </w:rPr>
  </w:style>
  <w:style w:type="paragraph" w:customStyle="1" w:styleId="SenderAddress">
    <w:name w:val="Sender Address"/>
    <w:basedOn w:val="BodyText"/>
    <w:rsid w:val="00D4564F"/>
    <w:pPr>
      <w:tabs>
        <w:tab w:val="left" w:pos="1134"/>
      </w:tabs>
      <w:spacing w:before="0" w:after="120" w:line="260" w:lineRule="atLeast"/>
    </w:pPr>
    <w:rPr>
      <w:sz w:val="19"/>
    </w:rPr>
  </w:style>
  <w:style w:type="paragraph" w:customStyle="1" w:styleId="Disclaimer">
    <w:name w:val="Disclaimer"/>
    <w:basedOn w:val="Normal"/>
    <w:rsid w:val="00A838D1"/>
    <w:pPr>
      <w:spacing w:before="140"/>
    </w:pPr>
  </w:style>
  <w:style w:type="paragraph" w:customStyle="1" w:styleId="DisclaimerHeading">
    <w:name w:val="Disclaimer Heading"/>
    <w:basedOn w:val="BodyText"/>
    <w:rsid w:val="00F72AED"/>
    <w:pPr>
      <w:spacing w:before="5000"/>
    </w:pPr>
    <w:rPr>
      <w:rFonts w:ascii="Franklin Gothic Demi" w:hAnsi="Franklin Gothic Demi"/>
      <w:caps/>
      <w:spacing w:val="10"/>
      <w:szCs w:val="22"/>
    </w:rPr>
  </w:style>
  <w:style w:type="paragraph" w:customStyle="1" w:styleId="Heading1NotNumbered">
    <w:name w:val="Heading 1 NotNumbered"/>
    <w:basedOn w:val="Heading1"/>
    <w:next w:val="BodyText"/>
    <w:rsid w:val="00801EC2"/>
    <w:pPr>
      <w:numPr>
        <w:numId w:val="0"/>
      </w:numPr>
    </w:pPr>
    <w:rPr>
      <w:lang w:bidi="fa-IR"/>
    </w:rPr>
  </w:style>
  <w:style w:type="paragraph" w:customStyle="1" w:styleId="ShortReportCoverTagline">
    <w:name w:val="ShortReportCoverTagline"/>
    <w:basedOn w:val="BodyText"/>
    <w:rsid w:val="00BE67D2"/>
    <w:pPr>
      <w:spacing w:before="0" w:line="240" w:lineRule="auto"/>
    </w:pPr>
    <w:rPr>
      <w:rFonts w:ascii="Franklin Gothic Medium" w:hAnsi="Franklin Gothic Medium"/>
      <w:caps/>
      <w:color w:val="6F6652" w:themeColor="text2"/>
      <w:spacing w:val="10"/>
      <w:sz w:val="20"/>
    </w:rPr>
  </w:style>
  <w:style w:type="character" w:customStyle="1" w:styleId="TableTextEntriesChar">
    <w:name w:val="Table Text Entries Char"/>
    <w:basedOn w:val="DefaultParagraphFont"/>
    <w:link w:val="TableTextEntries"/>
    <w:uiPriority w:val="13"/>
    <w:locked/>
    <w:rsid w:val="007C6A5F"/>
    <w:rPr>
      <w:rFonts w:ascii="Franklin Gothic Book" w:eastAsia="Times New Roman" w:hAnsi="Franklin Gothic Book"/>
      <w:sz w:val="16"/>
      <w:szCs w:val="18"/>
      <w:lang w:eastAsia="en-US"/>
    </w:rPr>
  </w:style>
  <w:style w:type="character" w:customStyle="1" w:styleId="SourceChar">
    <w:name w:val="Source Char"/>
    <w:basedOn w:val="DefaultParagraphFont"/>
    <w:link w:val="Source"/>
    <w:uiPriority w:val="16"/>
    <w:locked/>
    <w:rsid w:val="007C6A5F"/>
    <w:rPr>
      <w:rFonts w:ascii="Franklin Gothic Book" w:eastAsia="Times New Roman" w:hAnsi="Franklin Gothic Book"/>
      <w:sz w:val="14"/>
      <w:szCs w:val="16"/>
      <w:lang w:eastAsia="en-US"/>
    </w:rPr>
  </w:style>
  <w:style w:type="character" w:customStyle="1" w:styleId="ListBullet2Char">
    <w:name w:val="List Bullet 2 Char"/>
    <w:basedOn w:val="DefaultParagraphFont"/>
    <w:link w:val="ListBullet2"/>
    <w:uiPriority w:val="2"/>
    <w:locked/>
    <w:rsid w:val="007C6A5F"/>
    <w:rPr>
      <w:rFonts w:asciiTheme="minorHAnsi" w:eastAsia="Times New Roman" w:hAnsiTheme="minorHAnsi"/>
    </w:rPr>
  </w:style>
  <w:style w:type="paragraph" w:styleId="PlainText">
    <w:name w:val="Plain Text"/>
    <w:basedOn w:val="Normal"/>
    <w:link w:val="PlainTextChar"/>
    <w:uiPriority w:val="99"/>
    <w:semiHidden/>
    <w:unhideWhenUsed/>
    <w:rsid w:val="007C6A5F"/>
    <w:pPr>
      <w:spacing w:line="240" w:lineRule="auto"/>
    </w:pPr>
    <w:rPr>
      <w:rFonts w:ascii="Calibri" w:eastAsiaTheme="minorHAnsi" w:hAnsi="Calibri" w:cstheme="minorBidi"/>
      <w:sz w:val="22"/>
      <w:lang w:eastAsia="en-US"/>
    </w:rPr>
  </w:style>
  <w:style w:type="character" w:customStyle="1" w:styleId="PlainTextChar">
    <w:name w:val="Plain Text Char"/>
    <w:basedOn w:val="DefaultParagraphFont"/>
    <w:link w:val="PlainText"/>
    <w:uiPriority w:val="99"/>
    <w:semiHidden/>
    <w:rsid w:val="007C6A5F"/>
    <w:rPr>
      <w:rFonts w:ascii="Calibri" w:eastAsiaTheme="minorHAnsi" w:hAnsi="Calibri" w:cstheme="minorBidi"/>
      <w:sz w:val="22"/>
      <w:lang w:eastAsia="en-US"/>
    </w:rPr>
  </w:style>
  <w:style w:type="character" w:styleId="Emphasis">
    <w:name w:val="Emphasis"/>
    <w:basedOn w:val="DefaultParagraphFont"/>
    <w:uiPriority w:val="20"/>
    <w:qFormat/>
    <w:rsid w:val="007C6A5F"/>
    <w:rPr>
      <w:i/>
      <w:iCs/>
    </w:rPr>
  </w:style>
  <w:style w:type="character" w:customStyle="1" w:styleId="UnresolvedMention1">
    <w:name w:val="Unresolved Mention1"/>
    <w:basedOn w:val="DefaultParagraphFont"/>
    <w:uiPriority w:val="99"/>
    <w:semiHidden/>
    <w:unhideWhenUsed/>
    <w:rsid w:val="007C6A5F"/>
    <w:rPr>
      <w:color w:val="605E5C"/>
      <w:shd w:val="clear" w:color="auto" w:fill="E1DFDD"/>
    </w:rPr>
  </w:style>
  <w:style w:type="paragraph" w:customStyle="1" w:styleId="SingleTxtG">
    <w:name w:val="_ Single Txt_G"/>
    <w:basedOn w:val="Normal"/>
    <w:link w:val="SingleTxtGChar"/>
    <w:qFormat/>
    <w:rsid w:val="007C6A5F"/>
    <w:pPr>
      <w:suppressAutoHyphens/>
      <w:kinsoku w:val="0"/>
      <w:overflowPunct w:val="0"/>
      <w:autoSpaceDE w:val="0"/>
      <w:autoSpaceDN w:val="0"/>
      <w:adjustRightInd w:val="0"/>
      <w:snapToGrid w:val="0"/>
      <w:spacing w:after="120" w:line="240" w:lineRule="atLeast"/>
      <w:ind w:left="1134" w:right="1134"/>
      <w:jc w:val="both"/>
    </w:pPr>
    <w:rPr>
      <w:rFonts w:ascii="Times New Roman" w:eastAsiaTheme="minorHAnsi" w:hAnsi="Times New Roman"/>
      <w:sz w:val="20"/>
      <w:szCs w:val="20"/>
      <w:lang w:val="en-GB" w:eastAsia="en-US"/>
    </w:rPr>
  </w:style>
  <w:style w:type="character" w:customStyle="1" w:styleId="SingleTxtGChar">
    <w:name w:val="_ Single Txt_G Char"/>
    <w:link w:val="SingleTxtG"/>
    <w:locked/>
    <w:rsid w:val="007C6A5F"/>
    <w:rPr>
      <w:rFonts w:ascii="Times New Roman" w:eastAsiaTheme="minorHAnsi" w:hAnsi="Times New Roman"/>
      <w:sz w:val="20"/>
      <w:szCs w:val="20"/>
      <w:lang w:val="en-GB" w:eastAsia="en-US"/>
    </w:rPr>
  </w:style>
  <w:style w:type="character" w:customStyle="1" w:styleId="UnresolvedMention11">
    <w:name w:val="Unresolved Mention11"/>
    <w:basedOn w:val="DefaultParagraphFont"/>
    <w:uiPriority w:val="99"/>
    <w:semiHidden/>
    <w:unhideWhenUsed/>
    <w:rsid w:val="007C6A5F"/>
    <w:rPr>
      <w:color w:val="605E5C"/>
      <w:shd w:val="clear" w:color="auto" w:fill="E1DFDD"/>
    </w:rPr>
  </w:style>
  <w:style w:type="paragraph" w:customStyle="1" w:styleId="BoardText">
    <w:name w:val="Board_Text"/>
    <w:basedOn w:val="Normal"/>
    <w:link w:val="BoardTextChar"/>
    <w:rsid w:val="007C6A5F"/>
    <w:pPr>
      <w:spacing w:after="120" w:line="240" w:lineRule="auto"/>
    </w:pPr>
    <w:rPr>
      <w:rFonts w:ascii="Arial" w:eastAsia="Times New Roman" w:hAnsi="Arial"/>
      <w:sz w:val="24"/>
      <w:szCs w:val="20"/>
      <w:lang w:eastAsia="en-US"/>
    </w:rPr>
  </w:style>
  <w:style w:type="character" w:customStyle="1" w:styleId="BoardTextChar">
    <w:name w:val="Board_Text Char"/>
    <w:link w:val="BoardText"/>
    <w:rsid w:val="007C6A5F"/>
    <w:rPr>
      <w:rFonts w:ascii="Arial" w:eastAsia="Times New Roman" w:hAnsi="Arial"/>
      <w:sz w:val="24"/>
      <w:szCs w:val="20"/>
      <w:lang w:eastAsia="en-US"/>
    </w:rPr>
  </w:style>
  <w:style w:type="character" w:customStyle="1" w:styleId="UnresolvedMention2">
    <w:name w:val="Unresolved Mention2"/>
    <w:basedOn w:val="DefaultParagraphFont"/>
    <w:uiPriority w:val="99"/>
    <w:semiHidden/>
    <w:unhideWhenUsed/>
    <w:rsid w:val="007C6A5F"/>
    <w:rPr>
      <w:color w:val="605E5C"/>
      <w:shd w:val="clear" w:color="auto" w:fill="E1DFDD"/>
    </w:rPr>
  </w:style>
  <w:style w:type="character" w:customStyle="1" w:styleId="the-question">
    <w:name w:val="the-question"/>
    <w:basedOn w:val="DefaultParagraphFont"/>
    <w:rsid w:val="007C6A5F"/>
  </w:style>
  <w:style w:type="paragraph" w:customStyle="1" w:styleId="Default">
    <w:name w:val="Default"/>
    <w:rsid w:val="007C6A5F"/>
    <w:pPr>
      <w:autoSpaceDE w:val="0"/>
      <w:autoSpaceDN w:val="0"/>
      <w:adjustRightInd w:val="0"/>
      <w:spacing w:before="0" w:line="240" w:lineRule="auto"/>
    </w:pPr>
    <w:rPr>
      <w:rFonts w:ascii="Times New Roman" w:hAnsi="Times New Roman"/>
      <w:color w:val="000000"/>
      <w:sz w:val="24"/>
      <w:szCs w:val="24"/>
      <w:lang w:val="en-GB"/>
    </w:rPr>
  </w:style>
  <w:style w:type="character" w:customStyle="1" w:styleId="UnresolvedMention3">
    <w:name w:val="Unresolved Mention3"/>
    <w:basedOn w:val="DefaultParagraphFont"/>
    <w:uiPriority w:val="99"/>
    <w:semiHidden/>
    <w:unhideWhenUsed/>
    <w:rsid w:val="007C6A5F"/>
    <w:rPr>
      <w:color w:val="605E5C"/>
      <w:shd w:val="clear" w:color="auto" w:fill="E1DFDD"/>
    </w:rPr>
  </w:style>
  <w:style w:type="character" w:customStyle="1" w:styleId="UnresolvedMention4">
    <w:name w:val="Unresolved Mention4"/>
    <w:basedOn w:val="DefaultParagraphFont"/>
    <w:uiPriority w:val="99"/>
    <w:semiHidden/>
    <w:unhideWhenUsed/>
    <w:rsid w:val="007C6A5F"/>
    <w:rPr>
      <w:color w:val="605E5C"/>
      <w:shd w:val="clear" w:color="auto" w:fill="E1DFDD"/>
    </w:rPr>
  </w:style>
  <w:style w:type="table" w:styleId="TableGridLight">
    <w:name w:val="Grid Table Light"/>
    <w:basedOn w:val="TableNormal"/>
    <w:uiPriority w:val="40"/>
    <w:rsid w:val="00CE132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961375">
      <w:bodyDiv w:val="1"/>
      <w:marLeft w:val="0"/>
      <w:marRight w:val="0"/>
      <w:marTop w:val="0"/>
      <w:marBottom w:val="0"/>
      <w:divBdr>
        <w:top w:val="none" w:sz="0" w:space="0" w:color="auto"/>
        <w:left w:val="none" w:sz="0" w:space="0" w:color="auto"/>
        <w:bottom w:val="none" w:sz="0" w:space="0" w:color="auto"/>
        <w:right w:val="none" w:sz="0" w:space="0" w:color="auto"/>
      </w:divBdr>
    </w:div>
    <w:div w:id="686180482">
      <w:bodyDiv w:val="1"/>
      <w:marLeft w:val="0"/>
      <w:marRight w:val="0"/>
      <w:marTop w:val="0"/>
      <w:marBottom w:val="0"/>
      <w:divBdr>
        <w:top w:val="none" w:sz="0" w:space="0" w:color="auto"/>
        <w:left w:val="none" w:sz="0" w:space="0" w:color="auto"/>
        <w:bottom w:val="none" w:sz="0" w:space="0" w:color="auto"/>
        <w:right w:val="none" w:sz="0" w:space="0" w:color="auto"/>
      </w:divBdr>
    </w:div>
    <w:div w:id="915242328">
      <w:bodyDiv w:val="1"/>
      <w:marLeft w:val="0"/>
      <w:marRight w:val="0"/>
      <w:marTop w:val="0"/>
      <w:marBottom w:val="0"/>
      <w:divBdr>
        <w:top w:val="none" w:sz="0" w:space="0" w:color="auto"/>
        <w:left w:val="none" w:sz="0" w:space="0" w:color="auto"/>
        <w:bottom w:val="none" w:sz="0" w:space="0" w:color="auto"/>
        <w:right w:val="none" w:sz="0" w:space="0" w:color="auto"/>
      </w:divBdr>
    </w:div>
    <w:div w:id="1298536351">
      <w:bodyDiv w:val="1"/>
      <w:marLeft w:val="0"/>
      <w:marRight w:val="0"/>
      <w:marTop w:val="0"/>
      <w:marBottom w:val="0"/>
      <w:divBdr>
        <w:top w:val="none" w:sz="0" w:space="0" w:color="auto"/>
        <w:left w:val="none" w:sz="0" w:space="0" w:color="auto"/>
        <w:bottom w:val="none" w:sz="0" w:space="0" w:color="auto"/>
        <w:right w:val="none" w:sz="0" w:space="0" w:color="auto"/>
      </w:divBdr>
    </w:div>
    <w:div w:id="194827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s.nsw.gov.au/housing/policies/acquiring-new-public-housing-policy" TargetMode="External"/><Relationship Id="rId21" Type="http://schemas.openxmlformats.org/officeDocument/2006/relationships/image" Target="media/image2.png"/><Relationship Id="rId42" Type="http://schemas.openxmlformats.org/officeDocument/2006/relationships/hyperlink" Target="https://www.ncbi.nlm.nih.gov/pubmed/12588572" TargetMode="External"/><Relationship Id="rId47" Type="http://schemas.openxmlformats.org/officeDocument/2006/relationships/image" Target="media/image16.emf"/><Relationship Id="rId63" Type="http://schemas.openxmlformats.org/officeDocument/2006/relationships/header" Target="header9.xml"/><Relationship Id="rId68" Type="http://schemas.openxmlformats.org/officeDocument/2006/relationships/image" Target="media/image26.jpeg"/><Relationship Id="rId84" Type="http://schemas.openxmlformats.org/officeDocument/2006/relationships/footer" Target="footer11.xml"/><Relationship Id="rId16" Type="http://schemas.openxmlformats.org/officeDocument/2006/relationships/footer" Target="footer3.xml"/><Relationship Id="rId11" Type="http://schemas.openxmlformats.org/officeDocument/2006/relationships/hyperlink" Target="mailto:ciesyd@TheCIE.com.au" TargetMode="External"/><Relationship Id="rId32" Type="http://schemas.openxmlformats.org/officeDocument/2006/relationships/image" Target="media/image11.emf"/><Relationship Id="rId37" Type="http://schemas.openxmlformats.org/officeDocument/2006/relationships/image" Target="media/image13.emf"/><Relationship Id="rId53" Type="http://schemas.openxmlformats.org/officeDocument/2006/relationships/hyperlink" Target="https://www.pmc.gov.au/sites/default/files/publications/value-of-statistical-life-guidance-note_0_0.pdf" TargetMode="External"/><Relationship Id="rId58" Type="http://schemas.openxmlformats.org/officeDocument/2006/relationships/header" Target="header6.xml"/><Relationship Id="rId74" Type="http://schemas.openxmlformats.org/officeDocument/2006/relationships/image" Target="media/image32.jpeg"/><Relationship Id="rId79" Type="http://schemas.openxmlformats.org/officeDocument/2006/relationships/image" Target="media/image37.jpeg"/><Relationship Id="rId5" Type="http://schemas.openxmlformats.org/officeDocument/2006/relationships/webSettings" Target="webSettings.xm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hyperlink" Target="https://scia.org.au/accessible-housing/" TargetMode="External"/><Relationship Id="rId30" Type="http://schemas.openxmlformats.org/officeDocument/2006/relationships/image" Target="media/image9.emf"/><Relationship Id="rId35" Type="http://schemas.openxmlformats.org/officeDocument/2006/relationships/hyperlink" Target="https://www.domain.com.au/research/house-price-report/december-2019/" TargetMode="External"/><Relationship Id="rId43" Type="http://schemas.openxmlformats.org/officeDocument/2006/relationships/hyperlink" Target="https://www.ncbi.nlm.nih.gov/pubmed/21226674" TargetMode="External"/><Relationship Id="rId48" Type="http://schemas.openxmlformats.org/officeDocument/2006/relationships/image" Target="media/image17.emf"/><Relationship Id="rId56" Type="http://schemas.openxmlformats.org/officeDocument/2006/relationships/image" Target="media/image22.png"/><Relationship Id="rId64" Type="http://schemas.openxmlformats.org/officeDocument/2006/relationships/footer" Target="footer8.xml"/><Relationship Id="rId69" Type="http://schemas.openxmlformats.org/officeDocument/2006/relationships/image" Target="media/image27.jpeg"/><Relationship Id="rId77"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image" Target="media/image19.emf"/><Relationship Id="rId72" Type="http://schemas.openxmlformats.org/officeDocument/2006/relationships/image" Target="media/image30.png"/><Relationship Id="rId80" Type="http://schemas.openxmlformats.org/officeDocument/2006/relationships/image" Target="media/image38.jpeg"/><Relationship Id="rId85"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http://www.TheCIE.com.au" TargetMode="External"/><Relationship Id="rId17" Type="http://schemas.openxmlformats.org/officeDocument/2006/relationships/header" Target="header4.xml"/><Relationship Id="rId25" Type="http://schemas.openxmlformats.org/officeDocument/2006/relationships/image" Target="media/image6.emf"/><Relationship Id="rId33" Type="http://schemas.openxmlformats.org/officeDocument/2006/relationships/image" Target="media/image12.tmp"/><Relationship Id="rId38" Type="http://schemas.openxmlformats.org/officeDocument/2006/relationships/chart" Target="charts/chart1.xml"/><Relationship Id="rId46" Type="http://schemas.openxmlformats.org/officeDocument/2006/relationships/hyperlink" Target="https://www.fairwork.gov.au/how-we-will-help/templates-and-guides/fact-sheets/minimum-workplace-entitlements/minimum-wages" TargetMode="External"/><Relationship Id="rId59" Type="http://schemas.openxmlformats.org/officeDocument/2006/relationships/header" Target="header7.xml"/><Relationship Id="rId67" Type="http://schemas.openxmlformats.org/officeDocument/2006/relationships/image" Target="media/image25.png"/><Relationship Id="rId20" Type="http://schemas.openxmlformats.org/officeDocument/2006/relationships/footer" Target="footer5.xml"/><Relationship Id="rId41" Type="http://schemas.openxmlformats.org/officeDocument/2006/relationships/hyperlink" Target="https://www.ncbi.nlm.nih.gov/pubmed/23579066" TargetMode="External"/><Relationship Id="rId54" Type="http://schemas.openxmlformats.org/officeDocument/2006/relationships/image" Target="media/image20.png"/><Relationship Id="rId62" Type="http://schemas.openxmlformats.org/officeDocument/2006/relationships/header" Target="header8.xml"/><Relationship Id="rId70" Type="http://schemas.openxmlformats.org/officeDocument/2006/relationships/image" Target="media/image28.jpeg"/><Relationship Id="rId75" Type="http://schemas.openxmlformats.org/officeDocument/2006/relationships/image" Target="media/image33.jpeg"/><Relationship Id="rId83"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4.emf"/><Relationship Id="rId28" Type="http://schemas.openxmlformats.org/officeDocument/2006/relationships/image" Target="media/image7.emf"/><Relationship Id="rId36" Type="http://schemas.openxmlformats.org/officeDocument/2006/relationships/hyperlink" Target="https://www.commsec.com.au/content/dam/EN/ResearchNews/ECOReport.20.11.17_Biggest%20homes_size-fall.pdf" TargetMode="External"/><Relationship Id="rId49" Type="http://schemas.openxmlformats.org/officeDocument/2006/relationships/hyperlink" Target="https://www.gen-agedcaredata.gov.au/Resources/Access-data/2019/September/Aged-care-data-snapshot%E2%80%942019" TargetMode="External"/><Relationship Id="rId57" Type="http://schemas.openxmlformats.org/officeDocument/2006/relationships/image" Target="media/image23.png"/><Relationship Id="rId10"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hyperlink" Target="https://www.abs.gov.au/AUSSTATS/abs@.nsf/Lookup/3302.0.55.001Main+Features12016-2018?OpenDocument" TargetMode="External"/><Relationship Id="rId52" Type="http://schemas.openxmlformats.org/officeDocument/2006/relationships/hyperlink" Target="http://ghdx.healthdata.org/record/ihme-data/gbd-2017-disability-weights" TargetMode="External"/><Relationship Id="rId60" Type="http://schemas.openxmlformats.org/officeDocument/2006/relationships/footer" Target="footer6.xml"/><Relationship Id="rId65" Type="http://schemas.openxmlformats.org/officeDocument/2006/relationships/footer" Target="footer9.xml"/><Relationship Id="rId73" Type="http://schemas.openxmlformats.org/officeDocument/2006/relationships/image" Target="media/image31.png"/><Relationship Id="rId78" Type="http://schemas.openxmlformats.org/officeDocument/2006/relationships/image" Target="media/image36.jpeg"/><Relationship Id="rId81" Type="http://schemas.openxmlformats.org/officeDocument/2006/relationships/header" Target="header10.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image" Target="media/image14.png"/><Relationship Id="rId34" Type="http://schemas.openxmlformats.org/officeDocument/2006/relationships/hyperlink" Target="https://www.domain.com.au/research/house-price-report/december-2019/" TargetMode="External"/><Relationship Id="rId50" Type="http://schemas.openxmlformats.org/officeDocument/2006/relationships/image" Target="media/image18.emf"/><Relationship Id="rId55" Type="http://schemas.openxmlformats.org/officeDocument/2006/relationships/image" Target="media/image21.png"/><Relationship Id="rId76"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image" Target="media/image5.emf"/><Relationship Id="rId40" Type="http://schemas.openxmlformats.org/officeDocument/2006/relationships/image" Target="media/image15.png"/><Relationship Id="rId45" Type="http://schemas.openxmlformats.org/officeDocument/2006/relationships/hyperlink" Target="https://www.ndis.gov.au/providers/price-guides-and-pricing" TargetMode="External"/><Relationship Id="rId66" Type="http://schemas.openxmlformats.org/officeDocument/2006/relationships/image" Target="media/image24.png"/><Relationship Id="rId87" Type="http://schemas.openxmlformats.org/officeDocument/2006/relationships/theme" Target="theme/theme1.xml"/><Relationship Id="rId61" Type="http://schemas.openxmlformats.org/officeDocument/2006/relationships/footer" Target="footer7.xml"/><Relationship Id="rId82" Type="http://schemas.openxmlformats.org/officeDocument/2006/relationships/header" Target="header11.xml"/></Relationships>
</file>

<file path=word/_rels/footnotes.xml.rels><?xml version="1.0" encoding="UTF-8" standalone="yes"?>
<Relationships xmlns="http://schemas.openxmlformats.org/package/2006/relationships"><Relationship Id="rId8" Type="http://schemas.openxmlformats.org/officeDocument/2006/relationships/hyperlink" Target="https://www.gen-agedcaredata.gov.au/Resources/Access-data/2019/September/Aged-care-data-snapshot%E2%80%942019" TargetMode="External"/><Relationship Id="rId13" Type="http://schemas.openxmlformats.org/officeDocument/2006/relationships/hyperlink" Target="https://www.aihw.gov.au/reports/australias-welfare/social-isolation-and-loneliness" TargetMode="External"/><Relationship Id="rId18" Type="http://schemas.openxmlformats.org/officeDocument/2006/relationships/hyperlink" Target="https://www.ndis.gov.au/providers/price-guides-and-pricing" TargetMode="External"/><Relationship Id="rId26" Type="http://schemas.openxmlformats.org/officeDocument/2006/relationships/hyperlink" Target="https://agedcare.royalcommission.gov.au/Pages/default.aspx" TargetMode="External"/><Relationship Id="rId3" Type="http://schemas.openxmlformats.org/officeDocument/2006/relationships/hyperlink" Target="https://www.abs.gov.au/AUSSTATS/abs@.nsf/Lookup/4430.0Main+Features152018?OpenDocument" TargetMode="External"/><Relationship Id="rId21" Type="http://schemas.openxmlformats.org/officeDocument/2006/relationships/hyperlink" Target="https://www.ihpa.gov.au/what-we-do/subacute-and-non-acute-care" TargetMode="External"/><Relationship Id="rId7" Type="http://schemas.openxmlformats.org/officeDocument/2006/relationships/hyperlink" Target="https://www.villages.com.au/info-centre/post/news/national-survey-shows-retirement-village-residents-happier-than-their-peers" TargetMode="External"/><Relationship Id="rId12" Type="http://schemas.openxmlformats.org/officeDocument/2006/relationships/hyperlink" Target="https://www.aihw.gov.au/reports/australias-welfare/social-isolation-and-loneliness" TargetMode="External"/><Relationship Id="rId17" Type="http://schemas.openxmlformats.org/officeDocument/2006/relationships/hyperlink" Target="https://www.fairwork.gov.au/how-we-will-help/templates-and-guides/fact-sheets/minimum-workplace-entitlements/minimum-wages" TargetMode="External"/><Relationship Id="rId25" Type="http://schemas.openxmlformats.org/officeDocument/2006/relationships/hyperlink" Target="https://www.dss.gov.au/disability-and-carers/programmes-services/for-people-with-disability/younger-people-with-disability-in-residential-aged-care-initiative" TargetMode="External"/><Relationship Id="rId2" Type="http://schemas.openxmlformats.org/officeDocument/2006/relationships/hyperlink" Target="https://www.ag.gov.au/rights-and-protections/human-rights-and-anti-discrimination/united-nations-human-rights-reporting" TargetMode="External"/><Relationship Id="rId16" Type="http://schemas.openxmlformats.org/officeDocument/2006/relationships/hyperlink" Target="https://www.abs.gov.au/AUSSTATS/abs@.nsf/Lookup/3302.0.55.001Main+Features12016-2018?OpenDocument" TargetMode="External"/><Relationship Id="rId20" Type="http://schemas.openxmlformats.org/officeDocument/2006/relationships/hyperlink" Target="https://www.aihw.gov.au/reports-data/myhospitals/content/glossary" TargetMode="External"/><Relationship Id="rId1" Type="http://schemas.openxmlformats.org/officeDocument/2006/relationships/hyperlink" Target="https://www.un.org/development/desa/disabilities/convention-on-the-rights-of-persons-with-disabilities/article-9-accessibility.html" TargetMode="External"/><Relationship Id="rId6" Type="http://schemas.openxmlformats.org/officeDocument/2006/relationships/hyperlink" Target="https://www.dss.gov.au/housing-support/programmes-services/commonwealth-rent-assistance" TargetMode="External"/><Relationship Id="rId11" Type="http://schemas.openxmlformats.org/officeDocument/2006/relationships/hyperlink" Target="https://www.openagent.com.au/blog/how-much-moving-cost?at=v5&amp;utm_expid=.6ZprDALXQh2rpM05ZARdBA.1&amp;utm_referrer=https%3A%2F%2Fwww.google.com%2F" TargetMode="External"/><Relationship Id="rId24" Type="http://schemas.openxmlformats.org/officeDocument/2006/relationships/hyperlink" Target="https://www.gen-agedcaredata.gov.au/Resources/Access-data/2019/September/Aged-care-data-snapshot%E2%80%942019" TargetMode="External"/><Relationship Id="rId5" Type="http://schemas.openxmlformats.org/officeDocument/2006/relationships/hyperlink" Target="https://www.myagedcare.gov.au/help-at-home/commonwealth-home-support-programme" TargetMode="External"/><Relationship Id="rId15" Type="http://schemas.openxmlformats.org/officeDocument/2006/relationships/hyperlink" Target="https://shriver.umassmed.edu/news/2015-07-08-130000/shriver-center-studying-falls-prevention-people-intellectual-and-developmental-disabilities" TargetMode="External"/><Relationship Id="rId23" Type="http://schemas.openxmlformats.org/officeDocument/2006/relationships/hyperlink" Target="https://www.gen-agedcaredata.gov.au/Resources/Access-data/2019/September/Aged-care-data-snapshot%E2%80%942019" TargetMode="External"/><Relationship Id="rId10" Type="http://schemas.openxmlformats.org/officeDocument/2006/relationships/hyperlink" Target="https://www.service.com.au/articles/bathroom/how-long-does-a-bathroom-renovation-take" TargetMode="External"/><Relationship Id="rId19" Type="http://schemas.openxmlformats.org/officeDocument/2006/relationships/hyperlink" Target="https://www.openagent.com.au/blog/how-much-moving-cost?at=v5&amp;utm_expid=.6ZprDALXQh2rpM05ZARdBA.1&amp;utm_referrer=https%3A%2F%2Fwww.google.com%2F" TargetMode="External"/><Relationship Id="rId4" Type="http://schemas.openxmlformats.org/officeDocument/2006/relationships/hyperlink" Target="https://www.ndis.gov.au/providers/essentials-providers-working-ndia/specialist-disability-accommodation" TargetMode="External"/><Relationship Id="rId9" Type="http://schemas.openxmlformats.org/officeDocument/2006/relationships/hyperlink" Target="https://www.gen-agedcaredata.gov.au/Resources/Access-data/2019/September/Aged-care-data-snapshot%E2%80%942019" TargetMode="External"/><Relationship Id="rId14" Type="http://schemas.openxmlformats.org/officeDocument/2006/relationships/hyperlink" Target="https://www.rentprep.com/legal/average-apartment-turnover-rate/" TargetMode="External"/><Relationship Id="rId22" Type="http://schemas.openxmlformats.org/officeDocument/2006/relationships/hyperlink" Target="https://www.myagedcare.gov.au/short-term-care/transition-care"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thecie.local\Public\Group\Canberra%20Clients\DIIS%20ABCB%20accessible%20housing_2019%20CDII6\Survey\ABCB%20charts%20BM.xlsm"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44081131237613"/>
          <c:y val="6.0897697986574559E-2"/>
          <c:w val="0.84427573450735249"/>
          <c:h val="0.74059067087494734"/>
        </c:manualLayout>
      </c:layout>
      <c:areaChart>
        <c:grouping val="stacked"/>
        <c:varyColors val="0"/>
        <c:ser>
          <c:idx val="2"/>
          <c:order val="0"/>
          <c:tx>
            <c:strRef>
              <c:f>Sheet1!$B$4</c:f>
              <c:strCache>
                <c:ptCount val="1"/>
                <c:pt idx="0">
                  <c:v>Suitable for living or overnight visits – Toilet, shower and bedroom on entry level</c:v>
                </c:pt>
              </c:strCache>
            </c:strRef>
          </c:tx>
          <c:spPr>
            <a:solidFill>
              <a:srgbClr val="C6BFAB">
                <a:alpha val="75000"/>
              </a:srgbClr>
            </a:solidFill>
            <a:ln w="25400">
              <a:noFill/>
            </a:ln>
          </c:spPr>
          <c:cat>
            <c:numRef>
              <c:f>Sheet1!$C$1:$N$1</c:f>
              <c:numCache>
                <c:formatCode>General</c:formatCode>
                <c:ptCount val="12"/>
                <c:pt idx="0">
                  <c:v>2020</c:v>
                </c:pt>
                <c:pt idx="1">
                  <c:v>2021</c:v>
                </c:pt>
                <c:pt idx="2">
                  <c:v>2022</c:v>
                </c:pt>
                <c:pt idx="3">
                  <c:v>2023</c:v>
                </c:pt>
                <c:pt idx="4">
                  <c:v>2024</c:v>
                </c:pt>
                <c:pt idx="5">
                  <c:v>2025</c:v>
                </c:pt>
                <c:pt idx="6">
                  <c:v>2026</c:v>
                </c:pt>
                <c:pt idx="7">
                  <c:v>2027</c:v>
                </c:pt>
                <c:pt idx="8">
                  <c:v>2028</c:v>
                </c:pt>
                <c:pt idx="9">
                  <c:v>2029</c:v>
                </c:pt>
                <c:pt idx="10">
                  <c:v>2030</c:v>
                </c:pt>
                <c:pt idx="11">
                  <c:v>2031</c:v>
                </c:pt>
              </c:numCache>
            </c:numRef>
          </c:cat>
          <c:val>
            <c:numRef>
              <c:f>Sheet1!$C$4:$N$4</c:f>
              <c:numCache>
                <c:formatCode>General</c:formatCode>
                <c:ptCount val="12"/>
                <c:pt idx="0">
                  <c:v>0.68799999999999994</c:v>
                </c:pt>
                <c:pt idx="1">
                  <c:v>0.6905659437513133</c:v>
                </c:pt>
                <c:pt idx="2">
                  <c:v>0.69308857127016021</c:v>
                </c:pt>
                <c:pt idx="3">
                  <c:v>0.69813455753822251</c:v>
                </c:pt>
                <c:pt idx="4">
                  <c:v>0.70309536145803653</c:v>
                </c:pt>
                <c:pt idx="5">
                  <c:v>0.70797242101061675</c:v>
                </c:pt>
                <c:pt idx="6">
                  <c:v>0.71276714990211976</c:v>
                </c:pt>
                <c:pt idx="7">
                  <c:v>0.71748093797363333</c:v>
                </c:pt>
                <c:pt idx="8">
                  <c:v>0.72211515160404749</c:v>
                </c:pt>
                <c:pt idx="9">
                  <c:v>0.72667113410612472</c:v>
                </c:pt>
                <c:pt idx="10">
                  <c:v>0.73115020611588422</c:v>
                </c:pt>
                <c:pt idx="11">
                  <c:v>0.73555366597541261</c:v>
                </c:pt>
              </c:numCache>
            </c:numRef>
          </c:val>
          <c:extLst>
            <c:ext xmlns:c16="http://schemas.microsoft.com/office/drawing/2014/chart" uri="{C3380CC4-5D6E-409C-BE32-E72D297353CC}">
              <c16:uniqueId val="{00000000-320D-4889-852F-1AF711008D70}"/>
            </c:ext>
          </c:extLst>
        </c:ser>
        <c:ser>
          <c:idx val="1"/>
          <c:order val="1"/>
          <c:tx>
            <c:strRef>
              <c:f>Sheet1!$B$3</c:f>
              <c:strCache>
                <c:ptCount val="1"/>
                <c:pt idx="0">
                  <c:v>Suitable for short visits – Toilet, but no shower on entry level </c:v>
                </c:pt>
              </c:strCache>
            </c:strRef>
          </c:tx>
          <c:spPr>
            <a:solidFill>
              <a:srgbClr val="F61D12">
                <a:alpha val="75000"/>
              </a:srgbClr>
            </a:solidFill>
            <a:ln w="25400">
              <a:noFill/>
            </a:ln>
          </c:spPr>
          <c:cat>
            <c:numRef>
              <c:f>Sheet1!$C$1:$N$1</c:f>
              <c:numCache>
                <c:formatCode>General</c:formatCode>
                <c:ptCount val="12"/>
                <c:pt idx="0">
                  <c:v>2020</c:v>
                </c:pt>
                <c:pt idx="1">
                  <c:v>2021</c:v>
                </c:pt>
                <c:pt idx="2">
                  <c:v>2022</c:v>
                </c:pt>
                <c:pt idx="3">
                  <c:v>2023</c:v>
                </c:pt>
                <c:pt idx="4">
                  <c:v>2024</c:v>
                </c:pt>
                <c:pt idx="5">
                  <c:v>2025</c:v>
                </c:pt>
                <c:pt idx="6">
                  <c:v>2026</c:v>
                </c:pt>
                <c:pt idx="7">
                  <c:v>2027</c:v>
                </c:pt>
                <c:pt idx="8">
                  <c:v>2028</c:v>
                </c:pt>
                <c:pt idx="9">
                  <c:v>2029</c:v>
                </c:pt>
                <c:pt idx="10">
                  <c:v>2030</c:v>
                </c:pt>
                <c:pt idx="11">
                  <c:v>2031</c:v>
                </c:pt>
              </c:numCache>
            </c:numRef>
          </c:cat>
          <c:val>
            <c:numRef>
              <c:f>Sheet1!$C$3:$N$3</c:f>
              <c:numCache>
                <c:formatCode>General</c:formatCode>
                <c:ptCount val="12"/>
                <c:pt idx="0">
                  <c:v>0.153</c:v>
                </c:pt>
                <c:pt idx="1">
                  <c:v>0.15278054428442714</c:v>
                </c:pt>
                <c:pt idx="2">
                  <c:v>0.15256479324663103</c:v>
                </c:pt>
                <c:pt idx="3">
                  <c:v>0.1501074835647731</c:v>
                </c:pt>
                <c:pt idx="4">
                  <c:v>0.14769165624096259</c:v>
                </c:pt>
                <c:pt idx="5">
                  <c:v>0.14531661100284801</c:v>
                </c:pt>
                <c:pt idx="6">
                  <c:v>0.14298165939952176</c:v>
                </c:pt>
                <c:pt idx="7">
                  <c:v>0.14068612460195981</c:v>
                </c:pt>
                <c:pt idx="8">
                  <c:v>0.13842934120683029</c:v>
                </c:pt>
                <c:pt idx="9">
                  <c:v>0.13621065504361393</c:v>
                </c:pt>
                <c:pt idx="10">
                  <c:v>0.13402942298498066</c:v>
                </c:pt>
                <c:pt idx="11">
                  <c:v>0.13188501276036721</c:v>
                </c:pt>
              </c:numCache>
            </c:numRef>
          </c:val>
          <c:extLst>
            <c:ext xmlns:c16="http://schemas.microsoft.com/office/drawing/2014/chart" uri="{C3380CC4-5D6E-409C-BE32-E72D297353CC}">
              <c16:uniqueId val="{00000001-320D-4889-852F-1AF711008D70}"/>
            </c:ext>
          </c:extLst>
        </c:ser>
        <c:ser>
          <c:idx val="0"/>
          <c:order val="2"/>
          <c:tx>
            <c:strRef>
              <c:f>Sheet1!$B$2</c:f>
              <c:strCache>
                <c:ptCount val="1"/>
                <c:pt idx="0">
                  <c:v>Unsuitable – No toilet or shower on entry level  </c:v>
                </c:pt>
              </c:strCache>
            </c:strRef>
          </c:tx>
          <c:spPr>
            <a:solidFill>
              <a:srgbClr val="006B7A">
                <a:alpha val="75000"/>
              </a:srgbClr>
            </a:solidFill>
            <a:ln w="25400">
              <a:noFill/>
            </a:ln>
          </c:spPr>
          <c:cat>
            <c:numRef>
              <c:f>Sheet1!$C$1:$N$1</c:f>
              <c:numCache>
                <c:formatCode>General</c:formatCode>
                <c:ptCount val="12"/>
                <c:pt idx="0">
                  <c:v>2020</c:v>
                </c:pt>
                <c:pt idx="1">
                  <c:v>2021</c:v>
                </c:pt>
                <c:pt idx="2">
                  <c:v>2022</c:v>
                </c:pt>
                <c:pt idx="3">
                  <c:v>2023</c:v>
                </c:pt>
                <c:pt idx="4">
                  <c:v>2024</c:v>
                </c:pt>
                <c:pt idx="5">
                  <c:v>2025</c:v>
                </c:pt>
                <c:pt idx="6">
                  <c:v>2026</c:v>
                </c:pt>
                <c:pt idx="7">
                  <c:v>2027</c:v>
                </c:pt>
                <c:pt idx="8">
                  <c:v>2028</c:v>
                </c:pt>
                <c:pt idx="9">
                  <c:v>2029</c:v>
                </c:pt>
                <c:pt idx="10">
                  <c:v>2030</c:v>
                </c:pt>
                <c:pt idx="11">
                  <c:v>2031</c:v>
                </c:pt>
              </c:numCache>
            </c:numRef>
          </c:cat>
          <c:val>
            <c:numRef>
              <c:f>Sheet1!$C$2:$N$2</c:f>
              <c:numCache>
                <c:formatCode>General</c:formatCode>
                <c:ptCount val="12"/>
                <c:pt idx="0">
                  <c:v>0.15900000000000003</c:v>
                </c:pt>
                <c:pt idx="1">
                  <c:v>0.15665351196425958</c:v>
                </c:pt>
                <c:pt idx="2">
                  <c:v>0.15434663548320887</c:v>
                </c:pt>
                <c:pt idx="3">
                  <c:v>0.15175795889700452</c:v>
                </c:pt>
                <c:pt idx="4">
                  <c:v>0.14921298230100113</c:v>
                </c:pt>
                <c:pt idx="5">
                  <c:v>0.1467109679865356</c:v>
                </c:pt>
                <c:pt idx="6">
                  <c:v>0.14425119069835887</c:v>
                </c:pt>
                <c:pt idx="7">
                  <c:v>0.14183293742440725</c:v>
                </c:pt>
                <c:pt idx="8">
                  <c:v>0.13945550718912267</c:v>
                </c:pt>
                <c:pt idx="9">
                  <c:v>0.13711821085026185</c:v>
                </c:pt>
                <c:pt idx="10">
                  <c:v>0.13482037089913571</c:v>
                </c:pt>
                <c:pt idx="11">
                  <c:v>0.13256132126422079</c:v>
                </c:pt>
              </c:numCache>
            </c:numRef>
          </c:val>
          <c:extLst>
            <c:ext xmlns:c16="http://schemas.microsoft.com/office/drawing/2014/chart" uri="{C3380CC4-5D6E-409C-BE32-E72D297353CC}">
              <c16:uniqueId val="{00000002-320D-4889-852F-1AF711008D70}"/>
            </c:ext>
          </c:extLst>
        </c:ser>
        <c:dLbls>
          <c:showLegendKey val="0"/>
          <c:showVal val="0"/>
          <c:showCatName val="0"/>
          <c:showSerName val="0"/>
          <c:showPercent val="0"/>
          <c:showBubbleSize val="0"/>
        </c:dLbls>
        <c:axId val="577844320"/>
        <c:axId val="577846280"/>
      </c:areaChart>
      <c:catAx>
        <c:axId val="577844320"/>
        <c:scaling>
          <c:orientation val="minMax"/>
        </c:scaling>
        <c:delete val="0"/>
        <c:axPos val="b"/>
        <c:numFmt formatCode="0" sourceLinked="0"/>
        <c:majorTickMark val="out"/>
        <c:minorTickMark val="none"/>
        <c:tickLblPos val="nextTo"/>
        <c:spPr>
          <a:ln w="3175">
            <a:solidFill>
              <a:srgbClr val="000000"/>
            </a:solidFill>
            <a:prstDash val="solid"/>
          </a:ln>
        </c:spPr>
        <c:txPr>
          <a:bodyPr rot="-5400000" vert="horz"/>
          <a:lstStyle/>
          <a:p>
            <a:pPr>
              <a:defRPr/>
            </a:pPr>
            <a:endParaRPr lang="en-US"/>
          </a:p>
        </c:txPr>
        <c:crossAx val="577846280"/>
        <c:crosses val="autoZero"/>
        <c:auto val="1"/>
        <c:lblAlgn val="ctr"/>
        <c:lblOffset val="100"/>
        <c:tickLblSkip val="1"/>
        <c:tickMarkSkip val="1"/>
        <c:noMultiLvlLbl val="0"/>
      </c:catAx>
      <c:valAx>
        <c:axId val="577846280"/>
        <c:scaling>
          <c:orientation val="minMax"/>
          <c:max val="1"/>
        </c:scaling>
        <c:delete val="0"/>
        <c:axPos val="l"/>
        <c:majorGridlines>
          <c:spPr>
            <a:ln w="3175">
              <a:solidFill>
                <a:srgbClr val="000000"/>
              </a:solidFill>
              <a:prstDash val="solid"/>
            </a:ln>
          </c:spPr>
        </c:majorGridlines>
        <c:title>
          <c:tx>
            <c:rich>
              <a:bodyPr/>
              <a:lstStyle/>
              <a:p>
                <a:pPr>
                  <a:defRPr sz="800" b="0">
                    <a:latin typeface="Franklin Gothic Medium"/>
                    <a:ea typeface="Franklin Gothic Medium"/>
                    <a:cs typeface="Franklin Gothic Medium"/>
                  </a:defRPr>
                </a:pPr>
                <a:r>
                  <a:rPr lang="en-AU"/>
                  <a:t>Proportion of rental housing</a:t>
                </a:r>
                <a:r>
                  <a:rPr lang="en-AU" baseline="0"/>
                  <a:t> stock</a:t>
                </a:r>
                <a:endParaRPr lang="en-AU"/>
              </a:p>
            </c:rich>
          </c:tx>
          <c:overlay val="0"/>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577844320"/>
        <c:crosses val="autoZero"/>
        <c:crossBetween val="midCat"/>
      </c:valAx>
      <c:spPr>
        <a:noFill/>
        <a:ln w="3175">
          <a:solidFill>
            <a:srgbClr val="000000"/>
          </a:solidFill>
          <a:prstDash val="solid"/>
        </a:ln>
      </c:spPr>
    </c:plotArea>
    <c:legend>
      <c:legendPos val="t"/>
      <c:legendEntry>
        <c:idx val="0"/>
        <c:txPr>
          <a:bodyPr/>
          <a:lstStyle/>
          <a:p>
            <a:pPr>
              <a:defRPr>
                <a:solidFill>
                  <a:schemeClr val="bg1"/>
                </a:solidFill>
              </a:defRPr>
            </a:pPr>
            <a:endParaRPr lang="en-US"/>
          </a:p>
        </c:txPr>
      </c:legendEntry>
      <c:legendEntry>
        <c:idx val="2"/>
        <c:txPr>
          <a:bodyPr/>
          <a:lstStyle/>
          <a:p>
            <a:pPr>
              <a:defRPr>
                <a:solidFill>
                  <a:schemeClr val="bg1"/>
                </a:solidFill>
              </a:defRPr>
            </a:pPr>
            <a:endParaRPr lang="en-US"/>
          </a:p>
        </c:txPr>
      </c:legendEntry>
      <c:layout>
        <c:manualLayout>
          <c:xMode val="edge"/>
          <c:yMode val="edge"/>
          <c:x val="9.2342543801106416E-2"/>
          <c:y val="5.5663196862234657E-2"/>
          <c:w val="0.77612544802867378"/>
          <c:h val="0.32143005290689924"/>
        </c:manualLayout>
      </c:layout>
      <c:overlay val="0"/>
      <c:spPr>
        <a:noFill/>
        <a:ln w="25400">
          <a:noFill/>
        </a:ln>
      </c:spPr>
      <c:txPr>
        <a:bodyPr/>
        <a:lstStyle/>
        <a:p>
          <a:pPr>
            <a:defRPr>
              <a:solidFill>
                <a:schemeClr val="bg1"/>
              </a:solidFill>
            </a:defRPr>
          </a:pPr>
          <a:endParaRPr lang="en-US"/>
        </a:p>
      </c:txPr>
    </c:legend>
    <c:plotVisOnly val="1"/>
    <c:dispBlanksAs val="zero"/>
    <c:showDLblsOverMax val="0"/>
  </c:chart>
  <c:spPr>
    <a:noFill/>
    <a:ln w="57150">
      <a:solidFill>
        <a:srgbClr val="E9E8E5"/>
      </a:solidFill>
    </a:ln>
  </c:spPr>
  <c:txPr>
    <a:bodyPr/>
    <a:lstStyle/>
    <a:p>
      <a:pPr>
        <a:defRPr sz="800" b="0" i="0" u="none" strike="noStrike" baseline="0">
          <a:solidFill>
            <a:srgbClr val="000000"/>
          </a:solidFill>
          <a:latin typeface="Franklin Gothic Book" pitchFamily="34" charset="0"/>
          <a:ea typeface="Arial"/>
          <a:cs typeface="Arial"/>
        </a:defRPr>
      </a:pPr>
      <a:endParaRPr lang="en-US"/>
    </a:p>
  </c:txPr>
  <c:externalData r:id="rId2">
    <c:autoUpdate val="0"/>
  </c:externalData>
</c:chartSpace>
</file>

<file path=word/theme/theme1.xml><?xml version="1.0" encoding="utf-8"?>
<a:theme xmlns:a="http://schemas.openxmlformats.org/drawingml/2006/main" name="TheCIE">
  <a:themeElements>
    <a:clrScheme name="TheCIE">
      <a:dk1>
        <a:sysClr val="windowText" lastClr="000000"/>
      </a:dk1>
      <a:lt1>
        <a:sysClr val="window" lastClr="FFFFFF"/>
      </a:lt1>
      <a:dk2>
        <a:srgbClr val="6F6652"/>
      </a:dk2>
      <a:lt2>
        <a:srgbClr val="E9E8E5"/>
      </a:lt2>
      <a:accent1>
        <a:srgbClr val="006B7A"/>
      </a:accent1>
      <a:accent2>
        <a:srgbClr val="F61D12"/>
      </a:accent2>
      <a:accent3>
        <a:srgbClr val="C6BFAB"/>
      </a:accent3>
      <a:accent4>
        <a:srgbClr val="9B917E"/>
      </a:accent4>
      <a:accent5>
        <a:srgbClr val="6F6652"/>
      </a:accent5>
      <a:accent6>
        <a:srgbClr val="9AC2C4"/>
      </a:accent6>
      <a:hlink>
        <a:srgbClr val="6F6652"/>
      </a:hlink>
      <a:folHlink>
        <a:srgbClr val="9B917E"/>
      </a:folHlink>
    </a:clrScheme>
    <a:fontScheme name="TheCIE">
      <a:majorFont>
        <a:latin typeface="Calisto MT"/>
        <a:ea typeface=""/>
        <a:cs typeface=""/>
      </a:majorFont>
      <a:minorFont>
        <a:latin typeface="Calisto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6D9B251F-2AAC-4600-B709-9EB2E96CA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290</Pages>
  <Words>94002</Words>
  <Characters>492572</Characters>
  <Application>Microsoft Office Word</Application>
  <DocSecurity>0</DocSecurity>
  <Lines>18945</Lines>
  <Paragraphs>14306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2020-07-15T02:09:00Z</dcterms:created>
  <dcterms:modified xsi:type="dcterms:W3CDTF">2020-07-15T02:09:00Z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